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4775835</wp:posOffset>
            </wp:positionH>
            <wp:positionV relativeFrom="page">
              <wp:posOffset>144780</wp:posOffset>
            </wp:positionV>
            <wp:extent cx="1397635"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866140"/>
                    </a:xfrm>
                    <a:prstGeom prst="rect">
                      <a:avLst/>
                    </a:prstGeom>
                    <a:noFill/>
                  </pic:spPr>
                </pic:pic>
              </a:graphicData>
            </a:graphic>
          </wp:anchor>
        </w:drawing>
        <w:t>OMB APPROVAL</w:t>
      </w:r>
    </w:p>
    <w:p>
      <w:pPr>
        <w:ind w:left="7300"/>
        <w:spacing w:after="0"/>
        <w:rPr>
          <w:sz w:val="20"/>
          <w:szCs w:val="20"/>
          <w:color w:val="auto"/>
        </w:rPr>
      </w:pPr>
      <w:r>
        <w:rPr>
          <w:sz w:val="1"/>
          <w:szCs w:val="1"/>
          <w:color w:val="auto"/>
        </w:rPr>
        <w:drawing>
          <wp:inline distT="0" distB="0" distL="0" distR="0">
            <wp:extent cx="34290" cy="180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80975"/>
                    </a:xfrm>
                    <a:prstGeom prst="rect">
                      <a:avLst/>
                    </a:prstGeom>
                    <a:noFill/>
                    <a:ln>
                      <a:noFill/>
                    </a:ln>
                  </pic:spPr>
                </pic:pic>
              </a:graphicData>
            </a:graphic>
          </wp:inline>
        </w:drawing>
      </w:r>
      <w:r>
        <w:rPr>
          <w:rFonts w:ascii="Arial" w:cs="Arial" w:eastAsia="Arial" w:hAnsi="Arial"/>
          <w:sz w:val="16"/>
          <w:szCs w:val="16"/>
          <w:color w:val="auto"/>
        </w:rPr>
        <w:t>OMB Number: 3235-0145</w:t>
      </w:r>
    </w:p>
    <w:p>
      <w:pPr>
        <w:spacing w:after="0" w:line="16" w:lineRule="exact"/>
        <w:rPr>
          <w:sz w:val="24"/>
          <w:szCs w:val="24"/>
          <w:color w:val="auto"/>
        </w:rPr>
      </w:pPr>
    </w:p>
    <w:p>
      <w:pPr>
        <w:ind w:left="7340"/>
        <w:spacing w:after="0"/>
        <w:rPr>
          <w:sz w:val="20"/>
          <w:szCs w:val="20"/>
          <w:color w:val="auto"/>
        </w:rPr>
      </w:pPr>
      <w:r>
        <w:rPr>
          <w:rFonts w:ascii="Arial" w:cs="Arial" w:eastAsia="Arial" w:hAnsi="Arial"/>
          <w:sz w:val="15"/>
          <w:szCs w:val="15"/>
          <w:color w:val="auto"/>
        </w:rPr>
        <w:t>Expires: February 28, 2009</w:t>
      </w:r>
    </w:p>
    <w:p>
      <w:pPr>
        <w:spacing w:after="0" w:line="96" w:lineRule="exact"/>
        <w:rPr>
          <w:sz w:val="24"/>
          <w:szCs w:val="24"/>
          <w:color w:val="auto"/>
        </w:rPr>
      </w:pPr>
    </w:p>
    <w:p>
      <w:pPr>
        <w:ind w:left="7340"/>
        <w:spacing w:after="0"/>
        <w:rPr>
          <w:sz w:val="20"/>
          <w:szCs w:val="20"/>
          <w:color w:val="auto"/>
        </w:rPr>
      </w:pPr>
      <w:r>
        <w:rPr>
          <w:rFonts w:ascii="Arial" w:cs="Arial" w:eastAsia="Arial" w:hAnsi="Arial"/>
          <w:sz w:val="16"/>
          <w:szCs w:val="16"/>
          <w:color w:val="auto"/>
        </w:rPr>
        <w:t>Estimated average burden</w:t>
      </w:r>
    </w:p>
    <w:p>
      <w:pPr>
        <w:spacing w:after="0" w:line="38" w:lineRule="exact"/>
        <w:rPr>
          <w:sz w:val="24"/>
          <w:szCs w:val="24"/>
          <w:color w:val="auto"/>
        </w:rPr>
      </w:pPr>
    </w:p>
    <w:p>
      <w:pPr>
        <w:ind w:left="7340"/>
        <w:spacing w:after="0"/>
        <w:rPr>
          <w:sz w:val="20"/>
          <w:szCs w:val="20"/>
          <w:color w:val="auto"/>
        </w:rPr>
      </w:pPr>
      <w:r>
        <w:rPr>
          <w:rFonts w:ascii="Arial" w:cs="Arial" w:eastAsia="Arial" w:hAnsi="Arial"/>
          <w:sz w:val="16"/>
          <w:szCs w:val="16"/>
          <w:color w:val="auto"/>
        </w:rPr>
        <w:t>hours per response. . . 11</w:t>
      </w:r>
    </w:p>
    <w:p>
      <w:pPr>
        <w:spacing w:after="0" w:line="200" w:lineRule="exact"/>
        <w:rPr>
          <w:sz w:val="24"/>
          <w:szCs w:val="24"/>
          <w:color w:val="auto"/>
        </w:rPr>
      </w:pPr>
    </w:p>
    <w:p>
      <w:pPr>
        <w:spacing w:after="0" w:line="266"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59"/>
        <w:spacing w:after="0"/>
        <w:rPr>
          <w:sz w:val="20"/>
          <w:szCs w:val="20"/>
          <w:color w:val="auto"/>
        </w:rPr>
      </w:pPr>
      <w:r>
        <w:rPr>
          <w:rFonts w:ascii="Arial" w:cs="Arial" w:eastAsia="Arial" w:hAnsi="Arial"/>
          <w:sz w:val="22"/>
          <w:szCs w:val="22"/>
          <w:b w:val="1"/>
          <w:bCs w:val="1"/>
          <w:color w:val="auto"/>
        </w:rPr>
        <w:t>Washington, D.C. 20549</w:t>
      </w:r>
    </w:p>
    <w:p>
      <w:pPr>
        <w:spacing w:after="0" w:line="267" w:lineRule="exact"/>
        <w:rPr>
          <w:sz w:val="24"/>
          <w:szCs w:val="24"/>
          <w:color w:val="auto"/>
        </w:rPr>
      </w:pPr>
    </w:p>
    <w:p>
      <w:pPr>
        <w:jc w:val="center"/>
        <w:ind w:right="75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(Amendment No. 1 )</w:t>
      </w:r>
    </w:p>
    <w:p>
      <w:pPr>
        <w:spacing w:after="0" w:line="256"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Evercore Partners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29977A105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852170</wp:posOffset>
            </wp:positionH>
            <wp:positionV relativeFrom="paragraph">
              <wp:posOffset>73660</wp:posOffset>
            </wp:positionV>
            <wp:extent cx="430911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09110" cy="21590"/>
                    </a:xfrm>
                    <a:prstGeom prst="rect">
                      <a:avLst/>
                    </a:prstGeom>
                    <a:noFill/>
                  </pic:spPr>
                </pic:pic>
              </a:graphicData>
            </a:graphic>
          </wp:anchor>
        </w:drawing>
      </w:r>
    </w:p>
    <w:p>
      <w:pPr>
        <w:spacing w:after="0" w:line="213"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February 29,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60" w:lineRule="exact"/>
        <w:rPr>
          <w:sz w:val="24"/>
          <w:szCs w:val="24"/>
          <w:color w:val="auto"/>
        </w:rPr>
      </w:pPr>
    </w:p>
    <w:p>
      <w:pPr>
        <w:ind w:left="620" w:hanging="55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ectPr>
          <w:pgSz w:w="11900" w:h="16838" w:orient="portrait"/>
          <w:cols w:equalWidth="0" w:num="1">
            <w:col w:w="10219"/>
          </w:cols>
          <w:pgMar w:left="240" w:top="280" w:right="1440" w:bottom="169" w:gutter="0" w:footer="0" w:header="0"/>
        </w:sectPr>
      </w:pPr>
    </w:p>
    <w:p>
      <w:pPr>
        <w:spacing w:after="0" w:line="98" w:lineRule="exact"/>
        <w:rPr>
          <w:sz w:val="24"/>
          <w:szCs w:val="24"/>
          <w:color w:val="auto"/>
        </w:r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9"/>
          <w:szCs w:val="19"/>
          <w:color w:val="auto"/>
        </w:rPr>
        <w:t>Rule 13d-1(c)</w:t>
      </w:r>
    </w:p>
    <w:p>
      <w:pPr>
        <w:spacing w:after="0" w:line="132" w:lineRule="exact"/>
        <w:rPr>
          <w:sz w:val="24"/>
          <w:szCs w:val="24"/>
          <w:color w:val="auto"/>
        </w:rPr>
      </w:pPr>
    </w:p>
    <w:p>
      <w:pPr>
        <w:sectPr>
          <w:pgSz w:w="11900" w:h="16838" w:orient="portrait"/>
          <w:cols w:equalWidth="0" w:num="2">
            <w:col w:w="200" w:space="420"/>
            <w:col w:w="9599"/>
          </w:cols>
          <w:pgMar w:left="240" w:top="280" w:right="1440" w:bottom="169" w:gutter="0" w:footer="0" w:header="0"/>
          <w:type w:val="continuous"/>
        </w:sect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Rule 13d-1(d)</w:t>
      </w:r>
    </w:p>
    <w:p>
      <w:pPr>
        <w:spacing w:after="0" w:line="234" w:lineRule="exact"/>
        <w:rPr>
          <w:sz w:val="24"/>
          <w:szCs w:val="24"/>
          <w:color w:val="auto"/>
        </w:rPr>
      </w:pPr>
    </w:p>
    <w:p>
      <w:pPr>
        <w:sectPr>
          <w:pgSz w:w="11900" w:h="16838" w:orient="portrait"/>
          <w:cols w:equalWidth="0" w:num="2">
            <w:col w:w="200" w:space="420"/>
            <w:col w:w="9599"/>
          </w:cols>
          <w:pgMar w:left="240" w:top="280" w:right="1440" w:bottom="169" w:gutter="0" w:footer="0" w:header="0"/>
          <w:type w:val="continuous"/>
        </w:sectPr>
      </w:pPr>
    </w:p>
    <w:p>
      <w:pPr>
        <w:spacing w:after="0" w:line="74" w:lineRule="exact"/>
        <w:rPr>
          <w:sz w:val="24"/>
          <w:szCs w:val="24"/>
          <w:color w:val="auto"/>
        </w:rPr>
      </w:pPr>
    </w:p>
    <w:p>
      <w:pPr>
        <w:jc w:val="both"/>
        <w:ind w:left="20" w:right="1259"/>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ind w:left="20" w:right="1259"/>
        <w:spacing w:after="0" w:line="238"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8" w:lineRule="exact"/>
        <w:rPr>
          <w:sz w:val="24"/>
          <w:szCs w:val="24"/>
          <w:color w:val="auto"/>
        </w:rPr>
      </w:pPr>
    </w:p>
    <w:p>
      <w:pPr>
        <w:ind w:left="60"/>
        <w:spacing w:after="0"/>
        <w:rPr>
          <w:sz w:val="20"/>
          <w:szCs w:val="20"/>
          <w:color w:val="auto"/>
        </w:rPr>
      </w:pPr>
      <w:r>
        <w:rPr>
          <w:rFonts w:ascii="Arial" w:cs="Arial" w:eastAsia="Arial" w:hAnsi="Arial"/>
          <w:sz w:val="22"/>
          <w:szCs w:val="22"/>
          <w:color w:val="auto"/>
        </w:rPr>
        <w:t>CUSIP No. 29977A105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6940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4"/>
          <w:szCs w:val="24"/>
          <w:color w:val="auto"/>
        </w:rPr>
      </w:pPr>
    </w:p>
    <w:p>
      <w:pPr>
        <w:ind w:left="700" w:right="6699" w:hanging="435"/>
        <w:spacing w:after="0" w:line="326"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(a) Names of Reporting Persons. Wells Fargo &amp; Company</w:t>
      </w:r>
    </w:p>
    <w:p>
      <w:pPr>
        <w:spacing w:after="0" w:line="1" w:lineRule="exact"/>
        <w:rPr>
          <w:sz w:val="24"/>
          <w:szCs w:val="24"/>
          <w:color w:val="auto"/>
        </w:rPr>
      </w:pPr>
    </w:p>
    <w:p>
      <w:pPr>
        <w:ind w:left="700" w:right="8479" w:hanging="3"/>
        <w:spacing w:after="0" w:line="328" w:lineRule="auto"/>
        <w:tabs>
          <w:tab w:leader="none" w:pos="1006" w:val="left"/>
        </w:tabs>
        <w:numPr>
          <w:ilvl w:val="1"/>
          <w:numId w:val="3"/>
        </w:numPr>
        <w:rPr>
          <w:rFonts w:ascii="Arial" w:cs="Arial" w:eastAsia="Arial" w:hAnsi="Arial"/>
          <w:sz w:val="19"/>
          <w:szCs w:val="19"/>
          <w:color w:val="auto"/>
        </w:rPr>
      </w:pPr>
      <w:r>
        <w:rPr>
          <w:rFonts w:ascii="Arial" w:cs="Arial" w:eastAsia="Arial" w:hAnsi="Arial"/>
          <w:sz w:val="19"/>
          <w:szCs w:val="19"/>
          <w:color w:val="auto"/>
        </w:rPr>
        <w:t>Tax ID 41-0449260</w:t>
      </w:r>
    </w:p>
    <w:p>
      <w:pPr>
        <w:spacing w:after="0" w:line="348" w:lineRule="exact"/>
        <w:rPr>
          <w:rFonts w:ascii="Arial" w:cs="Arial" w:eastAsia="Arial" w:hAnsi="Arial"/>
          <w:sz w:val="19"/>
          <w:szCs w:val="19"/>
          <w:color w:val="auto"/>
        </w:rPr>
      </w:pPr>
    </w:p>
    <w:p>
      <w:pPr>
        <w:ind w:left="700" w:hanging="435"/>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040" w:hanging="343"/>
        <w:spacing w:after="0"/>
        <w:tabs>
          <w:tab w:leader="none" w:pos="104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60" w:hanging="363"/>
        <w:spacing w:after="0"/>
        <w:tabs>
          <w:tab w:leader="none" w:pos="106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-748665</wp:posOffset>
            </wp:positionV>
            <wp:extent cx="5629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219"/>
          </w:cols>
          <w:pgMar w:left="240" w:top="280" w:right="1440" w:bottom="169" w:gutter="0" w:footer="0" w:header="0"/>
          <w:type w:val="continuous"/>
        </w:sectPr>
      </w:pPr>
    </w:p>
    <w:bookmarkStart w:id="1" w:name="page2"/>
    <w:bookmarkEnd w:id="1"/>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850,406</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0</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1,139,863</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-996315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-996315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-550545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-550545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-104140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-104140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0"/>
        <w:spacing w:after="0"/>
        <w:tabs>
          <w:tab w:leader="none" w:pos="16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Dispositive Power 0</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1,139,863</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10.22 %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-1640840</wp:posOffset>
            </wp:positionV>
            <wp:extent cx="562991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right="7539" w:hanging="374"/>
        <w:spacing w:after="0" w:line="326" w:lineRule="auto"/>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Name of Issuer Evercore Partners Inc.</w:t>
      </w: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Address of Issuer's Principal Executive Offices</w:t>
      </w:r>
    </w:p>
    <w:p>
      <w:pPr>
        <w:spacing w:after="0" w:line="9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55 EAST 52ND STREET, 43RD FLOOR, NEW YORK NY 10055</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right="731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Name of Person Filing Wells Fargo &amp; Company</w:t>
      </w:r>
    </w:p>
    <w:p>
      <w:pPr>
        <w:ind w:left="700" w:right="433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420 Montgomery Street, San Francisco, CA 94163</w:t>
      </w:r>
    </w:p>
    <w:p>
      <w:pPr>
        <w:ind w:left="700" w:right="847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Citizenship Delaware</w:t>
      </w:r>
    </w:p>
    <w:p>
      <w:pPr>
        <w:ind w:left="700" w:right="717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Title of Class of Securities Class A Common Stock</w:t>
      </w:r>
    </w:p>
    <w:p>
      <w:pPr>
        <w:ind w:left="700" w:right="8099" w:hanging="374"/>
        <w:spacing w:after="0" w:line="328"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CUSIP Number 29977A105</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240" w:right="1299" w:hanging="936"/>
        <w:spacing w:after="0" w:line="251" w:lineRule="auto"/>
        <w:tabs>
          <w:tab w:leader="none" w:pos="794"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ectPr>
          <w:pgSz w:w="11900" w:h="16838" w:orient="portrait"/>
          <w:cols w:equalWidth="0" w:num="1">
            <w:col w:w="10159"/>
          </w:cols>
          <w:pgMar w:left="300" w:top="118" w:right="1440" w:bottom="0" w:gutter="0" w:footer="0" w:header="0"/>
        </w:sectPr>
      </w:pPr>
    </w:p>
    <w:bookmarkStart w:id="2" w:name="page3"/>
    <w:bookmarkEnd w:id="2"/>
    <w:p>
      <w:pPr>
        <w:ind w:left="1240" w:right="1559" w:hanging="900"/>
        <w:spacing w:after="0" w:line="251" w:lineRule="auto"/>
        <w:tabs>
          <w:tab w:leader="none" w:pos="794"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240.13d-1(b)(1)(ii) (F);</w:t>
      </w:r>
    </w:p>
    <w:p>
      <w:pPr>
        <w:spacing w:after="0" w:line="66" w:lineRule="exact"/>
        <w:rPr>
          <w:sz w:val="20"/>
          <w:szCs w:val="20"/>
          <w:color w:val="auto"/>
        </w:rPr>
      </w:pPr>
    </w:p>
    <w:p>
      <w:pPr>
        <w:ind w:left="300"/>
        <w:spacing w:after="0"/>
        <w:tabs>
          <w:tab w:leader="none" w:pos="760" w:val="left"/>
          <w:tab w:leader="none" w:pos="1220" w:val="left"/>
        </w:tabs>
        <w:rPr>
          <w:sz w:val="20"/>
          <w:szCs w:val="20"/>
          <w:color w:val="auto"/>
        </w:rPr>
      </w:pPr>
      <w:r>
        <w:rPr>
          <w:rFonts w:ascii="Arial" w:cs="Arial" w:eastAsia="Arial" w:hAnsi="Arial"/>
          <w:sz w:val="22"/>
          <w:szCs w:val="22"/>
          <w:color w:val="auto"/>
        </w:rPr>
        <w:t>(g)</w:t>
        <w:tab/>
        <w:t>[X</w:t>
      </w:r>
      <w:r>
        <w:rPr>
          <w:sz w:val="20"/>
          <w:szCs w:val="20"/>
          <w:color w:val="auto"/>
        </w:rPr>
        <w:tab/>
      </w:r>
      <w:r>
        <w:rPr>
          <w:rFonts w:ascii="Arial" w:cs="Arial" w:eastAsia="Arial" w:hAnsi="Arial"/>
          <w:sz w:val="19"/>
          <w:szCs w:val="19"/>
          <w:color w:val="auto"/>
        </w:rPr>
        <w:t>A parent holding company or control person in accordance with 240.13d-1(b)(1)(ii)(G);</w:t>
      </w:r>
    </w:p>
    <w:p>
      <w:pPr>
        <w:spacing w:after="0" w:line="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1240" w:right="1459" w:hanging="936"/>
        <w:spacing w:after="0" w:line="251" w:lineRule="auto"/>
        <w:tabs>
          <w:tab w:leader="none" w:pos="794" w:val="left"/>
        </w:tabs>
        <w:numPr>
          <w:ilvl w:val="0"/>
          <w:numId w:val="12"/>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240" w:right="1719" w:hanging="888"/>
        <w:spacing w:after="0" w:line="239" w:lineRule="auto"/>
        <w:tabs>
          <w:tab w:leader="none" w:pos="794" w:val="left"/>
        </w:tabs>
        <w:numPr>
          <w:ilvl w:val="0"/>
          <w:numId w:val="12"/>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24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 ]  Group, in accordance with 240.13d-1(b)(1)(ii)(J).</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760" w:hanging="434"/>
        <w:spacing w:after="0"/>
        <w:tabs>
          <w:tab w:leader="none" w:pos="7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Amount beneficially owned: 1,139,863</w:t>
      </w:r>
    </w:p>
    <w:p>
      <w:pPr>
        <w:spacing w:after="0" w:line="98" w:lineRule="exact"/>
        <w:rPr>
          <w:rFonts w:ascii="Arial" w:cs="Arial" w:eastAsia="Arial" w:hAnsi="Arial"/>
          <w:sz w:val="22"/>
          <w:szCs w:val="22"/>
          <w:color w:val="auto"/>
        </w:rPr>
      </w:pPr>
    </w:p>
    <w:p>
      <w:pPr>
        <w:ind w:left="760" w:hanging="434"/>
        <w:spacing w:after="0"/>
        <w:tabs>
          <w:tab w:leader="none" w:pos="7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Percent of class: 10.22%</w:t>
      </w:r>
    </w:p>
    <w:p>
      <w:pPr>
        <w:spacing w:after="0" w:line="98" w:lineRule="exact"/>
        <w:rPr>
          <w:rFonts w:ascii="Arial" w:cs="Arial" w:eastAsia="Arial" w:hAnsi="Arial"/>
          <w:sz w:val="22"/>
          <w:szCs w:val="22"/>
          <w:color w:val="auto"/>
        </w:rPr>
      </w:pPr>
    </w:p>
    <w:p>
      <w:pPr>
        <w:ind w:left="760" w:hanging="434"/>
        <w:spacing w:after="0"/>
        <w:tabs>
          <w:tab w:leader="none" w:pos="7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560" w:hanging="802"/>
        <w:spacing w:after="0"/>
        <w:tabs>
          <w:tab w:leader="none" w:pos="15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Sole power to vote or to direct the vote 850,406</w:t>
      </w:r>
    </w:p>
    <w:p>
      <w:pPr>
        <w:spacing w:after="0" w:line="98" w:lineRule="exact"/>
        <w:rPr>
          <w:rFonts w:ascii="Arial" w:cs="Arial" w:eastAsia="Arial" w:hAnsi="Arial"/>
          <w:sz w:val="22"/>
          <w:szCs w:val="22"/>
          <w:color w:val="auto"/>
        </w:rPr>
      </w:pPr>
    </w:p>
    <w:p>
      <w:pPr>
        <w:ind w:left="1560" w:hanging="802"/>
        <w:spacing w:after="0"/>
        <w:tabs>
          <w:tab w:leader="none" w:pos="15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98" w:lineRule="exact"/>
        <w:rPr>
          <w:rFonts w:ascii="Arial" w:cs="Arial" w:eastAsia="Arial" w:hAnsi="Arial"/>
          <w:sz w:val="22"/>
          <w:szCs w:val="22"/>
          <w:color w:val="auto"/>
        </w:rPr>
      </w:pPr>
    </w:p>
    <w:p>
      <w:pPr>
        <w:ind w:left="1560" w:hanging="802"/>
        <w:spacing w:after="0"/>
        <w:tabs>
          <w:tab w:leader="none" w:pos="15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1,139,863</w:t>
      </w:r>
    </w:p>
    <w:p>
      <w:pPr>
        <w:spacing w:after="0" w:line="98" w:lineRule="exact"/>
        <w:rPr>
          <w:rFonts w:ascii="Arial" w:cs="Arial" w:eastAsia="Arial" w:hAnsi="Arial"/>
          <w:sz w:val="22"/>
          <w:szCs w:val="22"/>
          <w:color w:val="auto"/>
        </w:rPr>
      </w:pPr>
    </w:p>
    <w:p>
      <w:pPr>
        <w:ind w:left="1560" w:hanging="802"/>
        <w:spacing w:after="0"/>
        <w:tabs>
          <w:tab w:leader="none" w:pos="15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365760</wp:posOffset>
            </wp:positionV>
            <wp:extent cx="563816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45720</wp:posOffset>
            </wp:positionV>
            <wp:extent cx="570293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2935" cy="17145"/>
                    </a:xfrm>
                    <a:prstGeom prst="rect">
                      <a:avLst/>
                    </a:prstGeom>
                    <a:noFill/>
                  </pic:spPr>
                </pic:pic>
              </a:graphicData>
            </a:graphic>
          </wp:anchor>
        </w:drawing>
      </w:r>
    </w:p>
    <w:p>
      <w:pPr>
        <w:spacing w:after="0" w:line="111" w:lineRule="exact"/>
        <w:rPr>
          <w:sz w:val="20"/>
          <w:szCs w:val="20"/>
          <w:color w:val="auto"/>
        </w:rPr>
      </w:pPr>
    </w:p>
    <w:p>
      <w:pPr>
        <w:ind w:left="760" w:hanging="434"/>
        <w:spacing w:after="0"/>
        <w:tabs>
          <w:tab w:leader="none" w:pos="7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 Names of Reporting Persons.</w:t>
      </w:r>
    </w:p>
    <w:p>
      <w:pPr>
        <w:spacing w:after="0" w:line="8" w:lineRule="exact"/>
        <w:rPr>
          <w:rFonts w:ascii="Arial" w:cs="Arial" w:eastAsia="Arial" w:hAnsi="Arial"/>
          <w:sz w:val="22"/>
          <w:szCs w:val="22"/>
          <w:color w:val="auto"/>
        </w:rPr>
      </w:pPr>
    </w:p>
    <w:p>
      <w:pPr>
        <w:ind w:left="760"/>
        <w:spacing w:after="0"/>
        <w:rPr>
          <w:rFonts w:ascii="Arial" w:cs="Arial" w:eastAsia="Arial" w:hAnsi="Arial"/>
          <w:sz w:val="22"/>
          <w:szCs w:val="22"/>
          <w:color w:val="auto"/>
        </w:rPr>
      </w:pPr>
      <w:r>
        <w:rPr>
          <w:rFonts w:ascii="Arial" w:cs="Arial" w:eastAsia="Arial" w:hAnsi="Arial"/>
          <w:sz w:val="22"/>
          <w:szCs w:val="22"/>
          <w:color w:val="auto"/>
        </w:rPr>
        <w:t>Wells Capital Management Incorporated</w:t>
      </w:r>
    </w:p>
    <w:p>
      <w:pPr>
        <w:spacing w:after="0" w:line="80" w:lineRule="exact"/>
        <w:rPr>
          <w:sz w:val="20"/>
          <w:szCs w:val="20"/>
          <w:color w:val="auto"/>
        </w:rPr>
      </w:pPr>
    </w:p>
    <w:p>
      <w:pPr>
        <w:ind w:left="760" w:right="8359" w:hanging="2"/>
        <w:spacing w:after="0" w:line="328" w:lineRule="auto"/>
        <w:tabs>
          <w:tab w:leader="none" w:pos="1066" w:val="left"/>
        </w:tabs>
        <w:numPr>
          <w:ilvl w:val="1"/>
          <w:numId w:val="15"/>
        </w:numPr>
        <w:rPr>
          <w:rFonts w:ascii="Arial" w:cs="Arial" w:eastAsia="Arial" w:hAnsi="Arial"/>
          <w:sz w:val="19"/>
          <w:szCs w:val="19"/>
          <w:color w:val="auto"/>
        </w:rPr>
      </w:pPr>
      <w:r>
        <w:rPr>
          <w:rFonts w:ascii="Arial" w:cs="Arial" w:eastAsia="Arial" w:hAnsi="Arial"/>
          <w:sz w:val="19"/>
          <w:szCs w:val="19"/>
          <w:color w:val="auto"/>
        </w:rPr>
        <w:t>Tax ID 95-3692822</w:t>
      </w:r>
    </w:p>
    <w:p>
      <w:pPr>
        <w:spacing w:after="0" w:line="348" w:lineRule="exact"/>
        <w:rPr>
          <w:rFonts w:ascii="Arial" w:cs="Arial" w:eastAsia="Arial" w:hAnsi="Arial"/>
          <w:sz w:val="19"/>
          <w:szCs w:val="19"/>
          <w:color w:val="auto"/>
        </w:rPr>
      </w:pPr>
    </w:p>
    <w:p>
      <w:pPr>
        <w:ind w:left="760" w:hanging="434"/>
        <w:spacing w:after="0"/>
        <w:tabs>
          <w:tab w:leader="none" w:pos="7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100" w:hanging="342"/>
        <w:spacing w:after="0"/>
        <w:tabs>
          <w:tab w:leader="none" w:pos="1100" w:val="left"/>
        </w:tabs>
        <w:numPr>
          <w:ilvl w:val="1"/>
          <w:numId w:val="16"/>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120" w:hanging="362"/>
        <w:spacing w:after="0"/>
        <w:tabs>
          <w:tab w:leader="none" w:pos="1120" w:val="left"/>
        </w:tabs>
        <w:numPr>
          <w:ilvl w:val="1"/>
          <w:numId w:val="16"/>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760" w:hanging="434"/>
        <w:spacing w:after="0"/>
        <w:tabs>
          <w:tab w:leader="none" w:pos="7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-1194435</wp:posOffset>
            </wp:positionV>
            <wp:extent cx="563816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3816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3816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3816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3816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20"/>
        <w:spacing w:after="0"/>
        <w:tabs>
          <w:tab w:leader="none" w:pos="740" w:val="left"/>
        </w:tabs>
        <w:rPr>
          <w:sz w:val="20"/>
          <w:szCs w:val="20"/>
          <w:color w:val="auto"/>
        </w:rPr>
      </w:pPr>
      <w:r>
        <w:rPr>
          <w:rFonts w:ascii="Arial" w:cs="Arial" w:eastAsia="Arial" w:hAnsi="Arial"/>
          <w:sz w:val="22"/>
          <w:szCs w:val="22"/>
          <w:color w:val="auto"/>
        </w:rPr>
        <w:t>4.</w:t>
        <w:tab/>
        <w:t>Citizenship or Place of Organization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3816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5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76"/>
              </w:rPr>
              <w:t>5.</w:t>
            </w:r>
          </w:p>
        </w:tc>
        <w:tc>
          <w:tcPr>
            <w:tcW w:w="7140" w:type="dxa"/>
            <w:vAlign w:val="bottom"/>
          </w:tcPr>
          <w:p>
            <w:pPr>
              <w:ind w:left="40"/>
              <w:spacing w:after="0"/>
              <w:rPr>
                <w:sz w:val="20"/>
                <w:szCs w:val="20"/>
                <w:color w:val="auto"/>
              </w:rPr>
            </w:pPr>
            <w:r>
              <w:rPr>
                <w:rFonts w:ascii="Arial" w:cs="Arial" w:eastAsia="Arial" w:hAnsi="Arial"/>
                <w:sz w:val="22"/>
                <w:szCs w:val="22"/>
                <w:color w:val="auto"/>
              </w:rPr>
              <w:t>Sole Voting Power 240,655</w:t>
            </w:r>
          </w:p>
        </w:tc>
        <w:tc>
          <w:tcPr>
            <w:tcW w:w="0" w:type="dxa"/>
            <w:vAlign w:val="bottom"/>
          </w:tcPr>
          <w:p>
            <w:pPr>
              <w:spacing w:after="0"/>
              <w:rPr>
                <w:sz w:val="1"/>
                <w:szCs w:val="1"/>
                <w:color w:val="auto"/>
              </w:rPr>
            </w:pPr>
          </w:p>
        </w:tc>
      </w:tr>
      <w:tr>
        <w:trPr>
          <w:trHeight w:val="216"/>
        </w:trPr>
        <w:tc>
          <w:tcPr>
            <w:tcW w:w="156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180" w:type="dxa"/>
            <w:vAlign w:val="bottom"/>
            <w:tcBorders>
              <w:bottom w:val="single" w:sz="8" w:color="808080"/>
            </w:tcBorders>
          </w:tcPr>
          <w:p>
            <w:pPr>
              <w:spacing w:after="0"/>
              <w:rPr>
                <w:sz w:val="18"/>
                <w:szCs w:val="18"/>
                <w:color w:val="auto"/>
              </w:rPr>
            </w:pPr>
          </w:p>
        </w:tc>
        <w:tc>
          <w:tcPr>
            <w:tcW w:w="7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5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180" w:type="dxa"/>
            <w:vAlign w:val="bottom"/>
          </w:tcPr>
          <w:p>
            <w:pPr>
              <w:jc w:val="right"/>
              <w:spacing w:after="0" w:line="243" w:lineRule="exact"/>
              <w:rPr>
                <w:sz w:val="20"/>
                <w:szCs w:val="20"/>
                <w:color w:val="auto"/>
              </w:rPr>
            </w:pPr>
            <w:r>
              <w:rPr>
                <w:rFonts w:ascii="Arial" w:cs="Arial" w:eastAsia="Arial" w:hAnsi="Arial"/>
                <w:sz w:val="22"/>
                <w:szCs w:val="22"/>
                <w:color w:val="auto"/>
                <w:w w:val="76"/>
              </w:rPr>
              <w:t>6.</w:t>
            </w:r>
          </w:p>
        </w:tc>
        <w:tc>
          <w:tcPr>
            <w:tcW w:w="7140" w:type="dxa"/>
            <w:vAlign w:val="bottom"/>
          </w:tcPr>
          <w:p>
            <w:pPr>
              <w:ind w:left="80"/>
              <w:spacing w:after="0" w:line="243" w:lineRule="exact"/>
              <w:rPr>
                <w:sz w:val="20"/>
                <w:szCs w:val="20"/>
                <w:color w:val="auto"/>
              </w:rPr>
            </w:pPr>
            <w:r>
              <w:rPr>
                <w:rFonts w:ascii="Arial" w:cs="Arial" w:eastAsia="Arial" w:hAnsi="Arial"/>
                <w:sz w:val="22"/>
                <w:szCs w:val="22"/>
                <w:color w:val="auto"/>
              </w:rPr>
              <w:t>Shared Voting Power 0</w:t>
            </w:r>
          </w:p>
        </w:tc>
        <w:tc>
          <w:tcPr>
            <w:tcW w:w="0" w:type="dxa"/>
            <w:vAlign w:val="bottom"/>
          </w:tcPr>
          <w:p>
            <w:pPr>
              <w:spacing w:after="0"/>
              <w:rPr>
                <w:sz w:val="1"/>
                <w:szCs w:val="1"/>
                <w:color w:val="auto"/>
              </w:rPr>
            </w:pPr>
          </w:p>
        </w:tc>
      </w:tr>
      <w:tr>
        <w:trPr>
          <w:trHeight w:val="261"/>
        </w:trPr>
        <w:tc>
          <w:tcPr>
            <w:tcW w:w="1560" w:type="dxa"/>
            <w:vAlign w:val="bottom"/>
          </w:tcPr>
          <w:p>
            <w:pPr>
              <w:spacing w:after="0" w:line="248" w:lineRule="exact"/>
              <w:rPr>
                <w:sz w:val="20"/>
                <w:szCs w:val="20"/>
                <w:color w:val="auto"/>
              </w:rPr>
            </w:pPr>
            <w:r>
              <w:rPr>
                <w:rFonts w:ascii="Arial" w:cs="Arial" w:eastAsia="Arial" w:hAnsi="Arial"/>
                <w:sz w:val="22"/>
                <w:szCs w:val="22"/>
                <w:color w:val="auto"/>
              </w:rPr>
              <w:t>Beneficially</w:t>
            </w:r>
          </w:p>
        </w:tc>
        <w:tc>
          <w:tcPr>
            <w:tcW w:w="180" w:type="dxa"/>
            <w:vAlign w:val="bottom"/>
            <w:tcBorders>
              <w:bottom w:val="single" w:sz="8" w:color="808080"/>
            </w:tcBorders>
          </w:tcPr>
          <w:p>
            <w:pPr>
              <w:spacing w:after="0"/>
              <w:rPr>
                <w:sz w:val="22"/>
                <w:szCs w:val="22"/>
                <w:color w:val="auto"/>
              </w:rPr>
            </w:pPr>
          </w:p>
        </w:tc>
        <w:tc>
          <w:tcPr>
            <w:tcW w:w="71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1560" w:type="dxa"/>
            <w:vAlign w:val="bottom"/>
          </w:tcPr>
          <w:p>
            <w:pPr>
              <w:spacing w:after="0" w:line="205" w:lineRule="exact"/>
              <w:rPr>
                <w:sz w:val="20"/>
                <w:szCs w:val="20"/>
                <w:color w:val="auto"/>
              </w:rPr>
            </w:pPr>
            <w:r>
              <w:rPr>
                <w:rFonts w:ascii="Arial" w:cs="Arial" w:eastAsia="Arial" w:hAnsi="Arial"/>
                <w:sz w:val="22"/>
                <w:szCs w:val="22"/>
                <w:color w:val="auto"/>
              </w:rPr>
              <w:t>Owned by</w:t>
            </w:r>
          </w:p>
        </w:tc>
        <w:tc>
          <w:tcPr>
            <w:tcW w:w="180" w:type="dxa"/>
            <w:vAlign w:val="bottom"/>
            <w:vMerge w:val="restart"/>
          </w:tcPr>
          <w:p>
            <w:pPr>
              <w:jc w:val="right"/>
              <w:spacing w:after="0"/>
              <w:rPr>
                <w:sz w:val="20"/>
                <w:szCs w:val="20"/>
                <w:color w:val="auto"/>
              </w:rPr>
            </w:pPr>
            <w:r>
              <w:rPr>
                <w:rFonts w:ascii="Arial" w:cs="Arial" w:eastAsia="Arial" w:hAnsi="Arial"/>
                <w:sz w:val="22"/>
                <w:szCs w:val="22"/>
                <w:color w:val="auto"/>
                <w:w w:val="76"/>
              </w:rPr>
              <w:t>7.</w:t>
            </w:r>
          </w:p>
        </w:tc>
        <w:tc>
          <w:tcPr>
            <w:tcW w:w="7140" w:type="dxa"/>
            <w:vAlign w:val="bottom"/>
            <w:vMerge w:val="restart"/>
          </w:tcPr>
          <w:p>
            <w:pPr>
              <w:ind w:left="40"/>
              <w:spacing w:after="0"/>
              <w:rPr>
                <w:sz w:val="20"/>
                <w:szCs w:val="20"/>
                <w:color w:val="auto"/>
              </w:rPr>
            </w:pPr>
            <w:r>
              <w:rPr>
                <w:rFonts w:ascii="Arial" w:cs="Arial" w:eastAsia="Arial" w:hAnsi="Arial"/>
                <w:sz w:val="22"/>
                <w:szCs w:val="22"/>
                <w:color w:val="auto"/>
              </w:rPr>
              <w:t>Sole Dispositive Power 795,563</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Arial" w:cs="Arial" w:eastAsia="Arial" w:hAnsi="Arial"/>
                <w:sz w:val="22"/>
                <w:szCs w:val="22"/>
                <w:color w:val="auto"/>
              </w:rPr>
              <w:t>Each Reporting</w:t>
            </w:r>
          </w:p>
        </w:tc>
        <w:tc>
          <w:tcPr>
            <w:tcW w:w="180" w:type="dxa"/>
            <w:vAlign w:val="bottom"/>
            <w:vMerge w:val="continue"/>
          </w:tcPr>
          <w:p>
            <w:pPr>
              <w:spacing w:after="0"/>
              <w:rPr>
                <w:sz w:val="21"/>
                <w:szCs w:val="21"/>
                <w:color w:val="auto"/>
              </w:rPr>
            </w:pPr>
          </w:p>
        </w:tc>
        <w:tc>
          <w:tcPr>
            <w:tcW w:w="7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560" w:type="dxa"/>
            <w:vAlign w:val="bottom"/>
          </w:tcPr>
          <w:p>
            <w:pPr>
              <w:spacing w:after="0" w:line="221" w:lineRule="exact"/>
              <w:rPr>
                <w:sz w:val="20"/>
                <w:szCs w:val="20"/>
                <w:color w:val="auto"/>
              </w:rPr>
            </w:pPr>
            <w:r>
              <w:rPr>
                <w:rFonts w:ascii="Arial" w:cs="Arial" w:eastAsia="Arial" w:hAnsi="Arial"/>
                <w:sz w:val="22"/>
                <w:szCs w:val="22"/>
                <w:color w:val="auto"/>
              </w:rPr>
              <w:t>Person With</w:t>
            </w:r>
          </w:p>
        </w:tc>
        <w:tc>
          <w:tcPr>
            <w:tcW w:w="180" w:type="dxa"/>
            <w:vAlign w:val="bottom"/>
            <w:tcBorders>
              <w:bottom w:val="single" w:sz="8" w:color="808080"/>
            </w:tcBorders>
          </w:tcPr>
          <w:p>
            <w:pPr>
              <w:spacing w:after="0"/>
              <w:rPr>
                <w:sz w:val="20"/>
                <w:szCs w:val="20"/>
                <w:color w:val="auto"/>
              </w:rPr>
            </w:pPr>
          </w:p>
        </w:tc>
        <w:tc>
          <w:tcPr>
            <w:tcW w:w="71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5624830</wp:posOffset>
            </wp:positionH>
            <wp:positionV relativeFrom="paragraph">
              <wp:posOffset>-906145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-906145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-460375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-460375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1" w:lineRule="exact"/>
        <w:rPr>
          <w:sz w:val="20"/>
          <w:szCs w:val="20"/>
          <w:color w:val="auto"/>
        </w:rPr>
      </w:pPr>
    </w:p>
    <w:p>
      <w:pPr>
        <w:ind w:left="1780" w:hanging="225"/>
        <w:spacing w:after="0"/>
        <w:tabs>
          <w:tab w:leader="none" w:pos="1780" w:val="left"/>
        </w:tabs>
        <w:numPr>
          <w:ilvl w:val="1"/>
          <w:numId w:val="17"/>
        </w:numPr>
        <w:rPr>
          <w:rFonts w:ascii="Arial" w:cs="Arial" w:eastAsia="Arial" w:hAnsi="Arial"/>
          <w:sz w:val="22"/>
          <w:szCs w:val="22"/>
          <w:color w:val="auto"/>
        </w:rPr>
      </w:pPr>
      <w:r>
        <w:rPr>
          <w:rFonts w:ascii="Arial" w:cs="Arial" w:eastAsia="Arial" w:hAnsi="Arial"/>
          <w:sz w:val="22"/>
          <w:szCs w:val="22"/>
          <w:color w:val="auto"/>
        </w:rPr>
        <w:t>Shared Dispositive Power 0</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760" w:hanging="434"/>
        <w:spacing w:after="0"/>
        <w:tabs>
          <w:tab w:leader="none" w:pos="7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795,563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563816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3816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3816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ectPr>
          <w:pgSz w:w="11900" w:h="16838" w:orient="portrait"/>
          <w:cols w:equalWidth="0" w:num="1">
            <w:col w:w="10159"/>
          </w:cols>
          <w:pgMar w:left="300" w:top="118" w:right="1440" w:bottom="109" w:gutter="0" w:footer="0" w:header="0"/>
        </w:sectPr>
      </w:pPr>
    </w:p>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Arial" w:cs="Arial" w:eastAsia="Arial" w:hAnsi="Arial"/>
          <w:sz w:val="19"/>
          <w:szCs w:val="19"/>
          <w:color w:val="auto"/>
        </w:rPr>
        <w:t>10.  Check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563816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ectPr>
          <w:pgSz w:w="11900" w:h="16838" w:orient="portrait"/>
          <w:cols w:equalWidth="0" w:num="1">
            <w:col w:w="10159"/>
          </w:cols>
          <w:pgMar w:left="300" w:top="118" w:right="1440" w:bottom="109" w:gutter="0" w:footer="0" w:header="0"/>
          <w:type w:val="continuous"/>
        </w:sectPr>
      </w:pPr>
    </w:p>
    <w:bookmarkStart w:id="3" w:name="page4"/>
    <w:bookmarkEnd w:id="3"/>
    <w:p>
      <w:pPr>
        <w:ind w:left="760" w:hanging="434"/>
        <w:spacing w:after="0"/>
        <w:tabs>
          <w:tab w:leader="none" w:pos="7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Percent of Class Represented by Amount in Row (9) 7.13 %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760" w:hanging="434"/>
        <w:spacing w:after="0"/>
        <w:tabs>
          <w:tab w:leader="none" w:pos="7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563816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3816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3816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3816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right="7539" w:hanging="374"/>
        <w:spacing w:after="0" w:line="326" w:lineRule="auto"/>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Name of Issuer Evercore Partners Inc.</w:t>
      </w:r>
    </w:p>
    <w:p>
      <w:pPr>
        <w:ind w:left="700" w:hanging="374"/>
        <w:spacing w:after="0"/>
        <w:tabs>
          <w:tab w:leader="none" w:pos="7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Address of Issuer's Principal Executive Offices</w:t>
      </w:r>
    </w:p>
    <w:p>
      <w:pPr>
        <w:spacing w:after="0" w:line="9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55 EAST 52ND STREET, 43RD FLOOR, NEW YORK NY 10055</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hanging="374"/>
        <w:spacing w:after="0"/>
        <w:tabs>
          <w:tab w:leader="none" w:pos="7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Wells Capital Management Incorporated</w:t>
      </w:r>
    </w:p>
    <w:p>
      <w:pPr>
        <w:spacing w:after="0" w:line="80" w:lineRule="exact"/>
        <w:rPr>
          <w:rFonts w:ascii="Arial" w:cs="Arial" w:eastAsia="Arial" w:hAnsi="Arial"/>
          <w:sz w:val="22"/>
          <w:szCs w:val="22"/>
          <w:color w:val="auto"/>
        </w:rPr>
      </w:pPr>
    </w:p>
    <w:p>
      <w:pPr>
        <w:ind w:left="700" w:right="4339" w:hanging="374"/>
        <w:spacing w:after="0" w:line="326" w:lineRule="auto"/>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525 Market Street, San Francisco, CA 94105</w:t>
      </w:r>
    </w:p>
    <w:p>
      <w:pPr>
        <w:ind w:left="700" w:right="8479" w:hanging="374"/>
        <w:spacing w:after="0" w:line="326" w:lineRule="auto"/>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Citizenship California</w:t>
      </w:r>
    </w:p>
    <w:p>
      <w:pPr>
        <w:ind w:left="700" w:right="7179" w:hanging="374"/>
        <w:spacing w:after="0" w:line="326" w:lineRule="auto"/>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Title of Class of Securities Class A Common Stock</w:t>
      </w:r>
    </w:p>
    <w:p>
      <w:pPr>
        <w:ind w:left="700" w:right="8099" w:hanging="374"/>
        <w:spacing w:after="0" w:line="328" w:lineRule="auto"/>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CUSIP Number 29977A105</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240" w:right="1299" w:hanging="936"/>
        <w:spacing w:after="0" w:line="251" w:lineRule="auto"/>
        <w:tabs>
          <w:tab w:leader="none" w:pos="794" w:val="left"/>
        </w:tabs>
        <w:numPr>
          <w:ilvl w:val="0"/>
          <w:numId w:val="22"/>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sz w:val="20"/>
          <w:szCs w:val="20"/>
          <w:color w:val="auto"/>
        </w:rPr>
      </w:pPr>
    </w:p>
    <w:p>
      <w:pPr>
        <w:ind w:left="320"/>
        <w:spacing w:after="0"/>
        <w:tabs>
          <w:tab w:leader="none" w:pos="760" w:val="left"/>
          <w:tab w:leader="none" w:pos="1220" w:val="left"/>
        </w:tabs>
        <w:rPr>
          <w:sz w:val="20"/>
          <w:szCs w:val="20"/>
          <w:color w:val="auto"/>
        </w:rPr>
      </w:pPr>
      <w:r>
        <w:rPr>
          <w:rFonts w:ascii="Arial" w:cs="Arial" w:eastAsia="Arial" w:hAnsi="Arial"/>
          <w:sz w:val="22"/>
          <w:szCs w:val="22"/>
          <w:color w:val="auto"/>
        </w:rPr>
        <w:t>(e)</w:t>
        <w:tab/>
        <w:t>[X</w:t>
      </w:r>
      <w:r>
        <w:rPr>
          <w:sz w:val="20"/>
          <w:szCs w:val="20"/>
          <w:color w:val="auto"/>
        </w:rPr>
        <w:tab/>
      </w:r>
      <w:r>
        <w:rPr>
          <w:rFonts w:ascii="Arial" w:cs="Arial" w:eastAsia="Arial" w:hAnsi="Arial"/>
          <w:sz w:val="19"/>
          <w:szCs w:val="19"/>
          <w:color w:val="auto"/>
        </w:rPr>
        <w:t>An investment adviser in accordance with 240.13d-1(b)(1)(ii)(E);</w:t>
      </w:r>
    </w:p>
    <w:p>
      <w:pPr>
        <w:spacing w:after="0" w:line="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1240" w:right="1559" w:hanging="900"/>
        <w:spacing w:after="0" w:line="251" w:lineRule="auto"/>
        <w:tabs>
          <w:tab w:leader="none" w:pos="794" w:val="left"/>
        </w:tabs>
        <w:numPr>
          <w:ilvl w:val="0"/>
          <w:numId w:val="23"/>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240.13d-1(b)(1)(ii) (F);</w:t>
      </w:r>
    </w:p>
    <w:p>
      <w:pPr>
        <w:spacing w:after="0" w:line="65" w:lineRule="exact"/>
        <w:rPr>
          <w:rFonts w:ascii="Arial" w:cs="Arial" w:eastAsia="Arial" w:hAnsi="Arial"/>
          <w:sz w:val="22"/>
          <w:szCs w:val="22"/>
          <w:color w:val="auto"/>
        </w:rPr>
      </w:pPr>
    </w:p>
    <w:p>
      <w:pPr>
        <w:ind w:left="780" w:hanging="476"/>
        <w:spacing w:after="0"/>
        <w:tabs>
          <w:tab w:leader="none" w:pos="780" w:val="left"/>
        </w:tabs>
        <w:numPr>
          <w:ilvl w:val="0"/>
          <w:numId w:val="23"/>
        </w:numPr>
        <w:rPr>
          <w:rFonts w:ascii="Arial" w:cs="Arial" w:eastAsia="Arial" w:hAnsi="Arial"/>
          <w:sz w:val="19"/>
          <w:szCs w:val="19"/>
          <w:color w:val="auto"/>
        </w:rPr>
      </w:pPr>
      <w:r>
        <w:rPr>
          <w:rFonts w:ascii="Arial" w:cs="Arial" w:eastAsia="Arial" w:hAnsi="Arial"/>
          <w:sz w:val="19"/>
          <w:szCs w:val="19"/>
          <w:color w:val="auto"/>
        </w:rPr>
        <w:t>[ ]  A parent holding company or control person in accordance with 240.13d-1(b)(1)(ii)(G);</w:t>
      </w:r>
    </w:p>
    <w:p>
      <w:pPr>
        <w:spacing w:after="0" w:line="294" w:lineRule="exact"/>
        <w:rPr>
          <w:rFonts w:ascii="Arial" w:cs="Arial" w:eastAsia="Arial" w:hAnsi="Arial"/>
          <w:sz w:val="19"/>
          <w:szCs w:val="19"/>
          <w:color w:val="auto"/>
        </w:rPr>
      </w:pPr>
    </w:p>
    <w:p>
      <w:pPr>
        <w:ind w:left="1240" w:right="1459" w:hanging="936"/>
        <w:spacing w:after="0" w:line="251" w:lineRule="auto"/>
        <w:tabs>
          <w:tab w:leader="none" w:pos="794" w:val="left"/>
        </w:tabs>
        <w:numPr>
          <w:ilvl w:val="0"/>
          <w:numId w:val="23"/>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240" w:right="1719" w:hanging="888"/>
        <w:spacing w:after="0" w:line="239" w:lineRule="auto"/>
        <w:tabs>
          <w:tab w:leader="none" w:pos="794" w:val="left"/>
        </w:tabs>
        <w:numPr>
          <w:ilvl w:val="0"/>
          <w:numId w:val="23"/>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24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 ]  Group, in accordance with 240.13d-1(b)(1)(ii)(J).</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1360" w:hanging="359"/>
        <w:spacing w:after="0"/>
        <w:tabs>
          <w:tab w:leader="none" w:pos="13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Amount beneficially owned: 795,563</w:t>
      </w:r>
    </w:p>
    <w:p>
      <w:pPr>
        <w:spacing w:after="0" w:line="98" w:lineRule="exact"/>
        <w:rPr>
          <w:rFonts w:ascii="Arial" w:cs="Arial" w:eastAsia="Arial" w:hAnsi="Arial"/>
          <w:sz w:val="22"/>
          <w:szCs w:val="22"/>
          <w:color w:val="auto"/>
        </w:rPr>
      </w:pPr>
    </w:p>
    <w:p>
      <w:pPr>
        <w:ind w:left="1360" w:hanging="359"/>
        <w:spacing w:after="0"/>
        <w:tabs>
          <w:tab w:leader="none" w:pos="13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Percent of class: 7.13%</w:t>
      </w:r>
    </w:p>
    <w:p>
      <w:pPr>
        <w:spacing w:after="0" w:line="98" w:lineRule="exact"/>
        <w:rPr>
          <w:rFonts w:ascii="Arial" w:cs="Arial" w:eastAsia="Arial" w:hAnsi="Arial"/>
          <w:sz w:val="22"/>
          <w:szCs w:val="22"/>
          <w:color w:val="auto"/>
        </w:rPr>
      </w:pPr>
    </w:p>
    <w:p>
      <w:pPr>
        <w:ind w:left="1360" w:hanging="359"/>
        <w:spacing w:after="0"/>
        <w:tabs>
          <w:tab w:leader="none" w:pos="13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ectPr>
          <w:pgSz w:w="11900" w:h="16838" w:orient="portrait"/>
          <w:cols w:equalWidth="0" w:num="1">
            <w:col w:w="10159"/>
          </w:cols>
          <w:pgMar w:left="300" w:top="118" w:right="1440" w:bottom="0" w:gutter="0" w:footer="0" w:header="0"/>
        </w:sectPr>
      </w:pPr>
    </w:p>
    <w:bookmarkStart w:id="4" w:name="page5"/>
    <w:bookmarkEnd w:id="4"/>
    <w:p>
      <w:pPr>
        <w:ind w:left="1800" w:hanging="434"/>
        <w:spacing w:after="0"/>
        <w:tabs>
          <w:tab w:leader="none" w:pos="18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Sole power to vote or to direct the vote 240,655</w:t>
      </w:r>
    </w:p>
    <w:p>
      <w:pPr>
        <w:spacing w:after="0" w:line="98" w:lineRule="exact"/>
        <w:rPr>
          <w:rFonts w:ascii="Arial" w:cs="Arial" w:eastAsia="Arial" w:hAnsi="Arial"/>
          <w:sz w:val="22"/>
          <w:szCs w:val="22"/>
          <w:color w:val="auto"/>
        </w:rPr>
      </w:pPr>
    </w:p>
    <w:p>
      <w:pPr>
        <w:ind w:left="1800" w:hanging="434"/>
        <w:spacing w:after="0"/>
        <w:tabs>
          <w:tab w:leader="none" w:pos="18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98" w:lineRule="exact"/>
        <w:rPr>
          <w:rFonts w:ascii="Arial" w:cs="Arial" w:eastAsia="Arial" w:hAnsi="Arial"/>
          <w:sz w:val="22"/>
          <w:szCs w:val="22"/>
          <w:color w:val="auto"/>
        </w:rPr>
      </w:pPr>
    </w:p>
    <w:p>
      <w:pPr>
        <w:ind w:left="1800" w:hanging="434"/>
        <w:spacing w:after="0"/>
        <w:tabs>
          <w:tab w:leader="none" w:pos="18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795,563</w:t>
      </w:r>
    </w:p>
    <w:p>
      <w:pPr>
        <w:spacing w:after="0" w:line="98" w:lineRule="exact"/>
        <w:rPr>
          <w:rFonts w:ascii="Arial" w:cs="Arial" w:eastAsia="Arial" w:hAnsi="Arial"/>
          <w:sz w:val="22"/>
          <w:szCs w:val="22"/>
          <w:color w:val="auto"/>
        </w:rPr>
      </w:pPr>
    </w:p>
    <w:p>
      <w:pPr>
        <w:ind w:left="1800" w:hanging="434"/>
        <w:spacing w:after="0"/>
        <w:tabs>
          <w:tab w:leader="none" w:pos="18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pacing w:after="0" w:line="200" w:lineRule="exact"/>
        <w:rPr>
          <w:sz w:val="20"/>
          <w:szCs w:val="20"/>
          <w:color w:val="auto"/>
        </w:rPr>
      </w:pPr>
    </w:p>
    <w:p>
      <w:pPr>
        <w:spacing w:after="0" w:line="243"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104" w:lineRule="exact"/>
        <w:rPr>
          <w:sz w:val="20"/>
          <w:szCs w:val="20"/>
          <w:color w:val="auto"/>
        </w:rPr>
      </w:pPr>
    </w:p>
    <w:p>
      <w:pPr>
        <w:ind w:right="1779"/>
        <w:spacing w:after="0"/>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w:t>
      </w:r>
    </w:p>
    <w:p>
      <w:pPr>
        <w:sectPr>
          <w:pgSz w:w="11900" w:h="16838" w:orient="portrait"/>
          <w:cols w:equalWidth="0" w:num="1">
            <w:col w:w="10159"/>
          </w:cols>
          <w:pgMar w:left="300" w:top="118" w:right="1440" w:bottom="56"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w:t>
      </w:r>
    </w:p>
    <w:p>
      <w:pPr>
        <w:spacing w:after="0" w:line="8" w:lineRule="exact"/>
        <w:rPr>
          <w:sz w:val="20"/>
          <w:szCs w:val="20"/>
          <w:color w:val="auto"/>
        </w:rPr>
      </w:pPr>
    </w:p>
    <w:p>
      <w:pPr>
        <w:ind w:right="300"/>
        <w:spacing w:after="0" w:line="207" w:lineRule="auto"/>
        <w:rPr>
          <w:sz w:val="20"/>
          <w:szCs w:val="20"/>
          <w:color w:val="auto"/>
        </w:rPr>
      </w:pPr>
      <w:r>
        <w:rPr>
          <w:rFonts w:ascii="Arial" w:cs="Arial" w:eastAsia="Arial" w:hAnsi="Arial"/>
          <w:sz w:val="19"/>
          <w:szCs w:val="19"/>
          <w:color w:val="auto"/>
        </w:rPr>
        <w:t xml:space="preserve">applicable </w:t>
      </w:r>
      <w:r>
        <w:rPr>
          <w:rFonts w:ascii="Arial" w:cs="Arial" w:eastAsia="Arial" w:hAnsi="Arial"/>
          <w:sz w:val="19"/>
          <w:szCs w:val="19"/>
          <w:b w:val="1"/>
          <w:bCs w:val="1"/>
          <w:color w:val="auto"/>
        </w:rPr>
        <w:t>Item 7.</w:t>
      </w: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color w:val="auto"/>
        </w:rPr>
        <w:t>See Exhibit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Ownership of More than Five Percent on Behalf of Another Person.</w:t>
      </w:r>
    </w:p>
    <w:p>
      <w:pPr>
        <w:spacing w:after="0" w:line="200" w:lineRule="exact"/>
        <w:rPr>
          <w:sz w:val="20"/>
          <w:szCs w:val="20"/>
          <w:color w:val="auto"/>
        </w:rPr>
      </w:pPr>
    </w:p>
    <w:p>
      <w:pPr>
        <w:spacing w:after="0" w:line="263" w:lineRule="exact"/>
        <w:rPr>
          <w:sz w:val="20"/>
          <w:szCs w:val="20"/>
          <w:color w:val="auto"/>
        </w:rPr>
      </w:pPr>
    </w:p>
    <w:p>
      <w:pPr>
        <w:ind w:right="1459"/>
        <w:spacing w:after="0" w:line="335" w:lineRule="auto"/>
        <w:rPr>
          <w:sz w:val="20"/>
          <w:szCs w:val="20"/>
          <w:color w:val="auto"/>
        </w:rPr>
      </w:pPr>
      <w:r>
        <w:rPr>
          <w:rFonts w:ascii="Arial" w:cs="Arial" w:eastAsia="Arial" w:hAnsi="Arial"/>
          <w:sz w:val="19"/>
          <w:szCs w:val="19"/>
          <w:b w:val="1"/>
          <w:bCs w:val="1"/>
          <w:color w:val="auto"/>
        </w:rPr>
        <w:t>Identification and Classification of the Subsidiary Which Acquired the Security Being Reported on By the Parent Holding Company or Control Person.</w:t>
      </w:r>
    </w:p>
    <w:p>
      <w:pPr>
        <w:spacing w:after="0" w:line="335" w:lineRule="exact"/>
        <w:rPr>
          <w:sz w:val="20"/>
          <w:szCs w:val="20"/>
          <w:color w:val="auto"/>
        </w:rPr>
      </w:pPr>
    </w:p>
    <w:p>
      <w:pPr>
        <w:sectPr>
          <w:pgSz w:w="11900" w:h="16838" w:orient="portrait"/>
          <w:cols w:equalWidth="0" w:num="2">
            <w:col w:w="1200" w:space="160"/>
            <w:col w:w="8799"/>
          </w:cols>
          <w:pgMar w:left="300" w:top="118" w:right="1440" w:bottom="56" w:gutter="0" w:footer="0" w:header="0"/>
          <w:type w:val="continuous"/>
        </w:sectPr>
      </w:pPr>
    </w:p>
    <w:p>
      <w:pPr>
        <w:spacing w:after="0"/>
        <w:tabs>
          <w:tab w:leader="none" w:pos="134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50" w:lineRule="exact"/>
        <w:rPr>
          <w:sz w:val="20"/>
          <w:szCs w:val="20"/>
          <w:color w:val="auto"/>
        </w:rPr>
      </w:pPr>
    </w:p>
    <w:p>
      <w:pPr>
        <w:jc w:val="both"/>
        <w:ind w:left="480" w:right="1979"/>
        <w:spacing w:after="0" w:line="235"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43"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SIGNATURE</w:t>
      </w:r>
    </w:p>
    <w:p>
      <w:pPr>
        <w:spacing w:after="0" w:line="322" w:lineRule="exact"/>
        <w:rPr>
          <w:sz w:val="20"/>
          <w:szCs w:val="20"/>
          <w:color w:val="auto"/>
        </w:rPr>
      </w:pPr>
    </w:p>
    <w:p>
      <w:pPr>
        <w:ind w:left="240" w:right="11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March 07,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Date</w:t>
      </w:r>
    </w:p>
    <w:p>
      <w:pPr>
        <w:spacing w:after="0" w:line="44"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/s/ Mark B. Kraske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Signature</w:t>
      </w:r>
    </w:p>
    <w:p>
      <w:pPr>
        <w:spacing w:after="0" w:line="44" w:lineRule="exact"/>
        <w:rPr>
          <w:sz w:val="20"/>
          <w:szCs w:val="20"/>
          <w:color w:val="auto"/>
        </w:rPr>
      </w:pPr>
    </w:p>
    <w:p>
      <w:pPr>
        <w:ind w:left="2080"/>
        <w:spacing w:after="0"/>
        <w:rPr>
          <w:sz w:val="20"/>
          <w:szCs w:val="20"/>
          <w:color w:val="auto"/>
        </w:rPr>
      </w:pPr>
      <w:r>
        <w:rPr>
          <w:rFonts w:ascii="Arial" w:cs="Arial" w:eastAsia="Arial" w:hAnsi="Arial"/>
          <w:sz w:val="22"/>
          <w:szCs w:val="22"/>
          <w:color w:val="auto"/>
        </w:rPr>
        <w:t>Mark B. Kraske, VP Trust Operations Management Support</w:t>
      </w:r>
    </w:p>
    <w:p>
      <w:pPr>
        <w:spacing w:after="0" w:line="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4445</wp:posOffset>
            </wp:positionV>
            <wp:extent cx="3395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Name/Title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A</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EXPLANATORY NOTE</w:t>
      </w:r>
    </w:p>
    <w:p>
      <w:pPr>
        <w:spacing w:after="0" w:line="233" w:lineRule="exact"/>
        <w:rPr>
          <w:sz w:val="20"/>
          <w:szCs w:val="20"/>
          <w:color w:val="auto"/>
        </w:rPr>
      </w:pPr>
    </w:p>
    <w:p>
      <w:pPr>
        <w:ind w:right="1379"/>
        <w:spacing w:after="0" w:line="238" w:lineRule="auto"/>
        <w:rPr>
          <w:sz w:val="20"/>
          <w:szCs w:val="20"/>
          <w:color w:val="auto"/>
        </w:rPr>
      </w:pPr>
      <w:r>
        <w:rPr>
          <w:rFonts w:ascii="Arial" w:cs="Arial" w:eastAsia="Arial" w:hAnsi="Arial"/>
          <w:sz w:val="22"/>
          <w:szCs w:val="22"/>
          <w:color w:val="auto"/>
        </w:rPr>
        <w:t>This Schedule 13G is filed by Wells Fargo &amp; Company on its own behalf and on behalf of any subsidiaries listed in Exhibit B. Aggregate beneficial ownership reported by Wells Fargo &amp; Company under Item 9 on page 2 is on a consolidated basis and includes any beneficial ownership separately reported herein by a subsidiary.</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B</w:t>
      </w:r>
    </w:p>
    <w:p>
      <w:pPr>
        <w:spacing w:after="0" w:line="104" w:lineRule="exact"/>
        <w:rPr>
          <w:sz w:val="20"/>
          <w:szCs w:val="20"/>
          <w:color w:val="auto"/>
        </w:rPr>
      </w:pPr>
    </w:p>
    <w:p>
      <w:pPr>
        <w:ind w:right="1299"/>
        <w:spacing w:after="0" w:line="251" w:lineRule="auto"/>
        <w:rPr>
          <w:sz w:val="20"/>
          <w:szCs w:val="20"/>
          <w:color w:val="auto"/>
        </w:rPr>
      </w:pPr>
      <w:r>
        <w:rPr>
          <w:rFonts w:ascii="Arial" w:cs="Arial" w:eastAsia="Arial" w:hAnsi="Arial"/>
          <w:sz w:val="22"/>
          <w:szCs w:val="22"/>
          <w:color w:val="auto"/>
        </w:rPr>
        <w:t>The Schedule 13G to which this attachment is appended is filed by Wells Fargo &amp; Company on behalf of the following subsidiaries: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Wells Capital Management Incorporated (1)</w:t>
      </w:r>
    </w:p>
    <w:p>
      <w:pPr>
        <w:spacing w:after="0" w:line="238" w:lineRule="auto"/>
        <w:rPr>
          <w:sz w:val="20"/>
          <w:szCs w:val="20"/>
          <w:color w:val="auto"/>
        </w:rPr>
      </w:pPr>
      <w:r>
        <w:rPr>
          <w:rFonts w:ascii="Arial" w:cs="Arial" w:eastAsia="Arial" w:hAnsi="Arial"/>
          <w:sz w:val="22"/>
          <w:szCs w:val="22"/>
          <w:color w:val="auto"/>
        </w:rPr>
        <w:t>Wells Fargo Funds Management, LLC (1)</w:t>
      </w:r>
    </w:p>
    <w:p>
      <w:pPr>
        <w:spacing w:after="0" w:line="230" w:lineRule="auto"/>
        <w:rPr>
          <w:sz w:val="20"/>
          <w:szCs w:val="20"/>
          <w:color w:val="auto"/>
        </w:rPr>
      </w:pPr>
      <w:r>
        <w:rPr>
          <w:rFonts w:ascii="Arial" w:cs="Arial" w:eastAsia="Arial" w:hAnsi="Arial"/>
          <w:sz w:val="22"/>
          <w:szCs w:val="22"/>
          <w:color w:val="auto"/>
        </w:rPr>
        <w:t>Peregrine Capital Management, Inc. (1)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Wells Fargo Bank, National Association (2)</w:t>
      </w:r>
    </w:p>
    <w:p>
      <w:pPr>
        <w:sectPr>
          <w:pgSz w:w="11900" w:h="16838" w:orient="portrait"/>
          <w:cols w:equalWidth="0" w:num="1">
            <w:col w:w="10159"/>
          </w:cols>
          <w:pgMar w:left="300" w:top="118" w:right="1440" w:bottom="56" w:gutter="0" w:footer="0" w:header="0"/>
          <w:type w:val="continuous"/>
        </w:sectPr>
      </w:pPr>
    </w:p>
    <w:bookmarkStart w:id="5" w:name="page6"/>
    <w:bookmarkEnd w:id="5"/>
    <w:p>
      <w:pPr>
        <w:ind w:left="320" w:hanging="298"/>
        <w:spacing w:after="0"/>
        <w:tabs>
          <w:tab w:leader="none" w:pos="3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Classified as a registered investment advisor in accordance with Regulation</w:t>
      </w:r>
    </w:p>
    <w:p>
      <w:pPr>
        <w:spacing w:after="0" w:line="8" w:lineRule="exact"/>
        <w:rPr>
          <w:rFonts w:ascii="Arial" w:cs="Arial" w:eastAsia="Arial" w:hAnsi="Arial"/>
          <w:sz w:val="22"/>
          <w:szCs w:val="22"/>
          <w:color w:val="auto"/>
        </w:rPr>
      </w:pPr>
    </w:p>
    <w:p>
      <w:pPr>
        <w:ind w:left="20"/>
        <w:spacing w:after="0" w:line="230" w:lineRule="auto"/>
        <w:rPr>
          <w:rFonts w:ascii="Arial" w:cs="Arial" w:eastAsia="Arial" w:hAnsi="Arial"/>
          <w:sz w:val="22"/>
          <w:szCs w:val="22"/>
          <w:color w:val="auto"/>
        </w:rPr>
      </w:pPr>
      <w:r>
        <w:rPr>
          <w:rFonts w:ascii="Arial" w:cs="Arial" w:eastAsia="Arial" w:hAnsi="Arial"/>
          <w:sz w:val="22"/>
          <w:szCs w:val="22"/>
          <w:color w:val="auto"/>
        </w:rPr>
        <w:t>13d-1(b)(1)(ii)(E).</w:t>
      </w:r>
    </w:p>
    <w:p>
      <w:pPr>
        <w:ind w:left="320" w:hanging="298"/>
        <w:spacing w:after="0"/>
        <w:tabs>
          <w:tab w:leader="none" w:pos="3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Classified as a bank in accordance with Regulation 13d 1(b)(1)(ii)(B).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80" w:right="1379" w:hanging="1079"/>
        <w:spacing w:after="0" w:line="256" w:lineRule="auto"/>
        <w:tabs>
          <w:tab w:leader="none" w:pos="1060" w:val="left"/>
        </w:tabs>
        <w:rPr>
          <w:sz w:val="20"/>
          <w:szCs w:val="20"/>
          <w:color w:val="auto"/>
        </w:rPr>
      </w:pPr>
      <w:r>
        <w:rPr>
          <w:rFonts w:ascii="Arial" w:cs="Arial" w:eastAsia="Arial" w:hAnsi="Arial"/>
          <w:sz w:val="22"/>
          <w:szCs w:val="22"/>
          <w:b w:val="1"/>
          <w:bCs w:val="1"/>
          <w:color w:val="auto"/>
        </w:rPr>
        <w:t>Attention:</w:t>
        <w:tab/>
        <w:t>Intentional misstatements or omissions of fact constitute Federal criminal violations (See 18 U.S.C. 1001)</w:t>
      </w:r>
    </w:p>
    <w:p>
      <w:pPr>
        <w:spacing w:after="0" w:line="58" w:lineRule="exact"/>
        <w:rPr>
          <w:sz w:val="20"/>
          <w:szCs w:val="20"/>
          <w:color w:val="auto"/>
        </w:rPr>
      </w:pPr>
    </w:p>
    <w:p>
      <w:pPr>
        <w:jc w:val="right"/>
        <w:ind w:right="1279"/>
        <w:spacing w:after="0"/>
        <w:rPr>
          <w:sz w:val="20"/>
          <w:szCs w:val="20"/>
          <w:color w:val="auto"/>
        </w:rPr>
      </w:pPr>
      <w:r>
        <w:rPr>
          <w:rFonts w:ascii="Arial" w:cs="Arial" w:eastAsia="Arial" w:hAnsi="Arial"/>
          <w:sz w:val="14"/>
          <w:szCs w:val="14"/>
          <w:color w:val="auto"/>
        </w:rPr>
        <w:t>Advisor Consultant Network, Inc. Copyright © 2006-2007</w:t>
      </w:r>
    </w:p>
    <w:sectPr>
      <w:pgSz w:w="11900" w:h="16838" w:orient="portrait"/>
      <w:cols w:equalWidth="0" w:num="1">
        <w:col w:w="10179"/>
      </w:cols>
      <w:pgMar w:left="28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upperLetter"/>
      <w:start w:val="24"/>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1"/>
    </w:lvl>
    <w:lvl w:ilvl="1">
      <w:lvlJc w:val="left"/>
      <w:lvlText w:val="(%2)"/>
      <w:numFmt w:val="lowerLetter"/>
      <w:start w:val="2"/>
    </w:lvl>
  </w:abstractNum>
  <w:abstractNum w:abstractNumId="3">
    <w:nsid w:val="1BEFD79F"/>
    <w:multiLevelType w:val="hybridMultilevel"/>
    <w:lvl w:ilvl="0">
      <w:lvlJc w:val="left"/>
      <w:lvlText w:val="%1."/>
      <w:numFmt w:val="decimal"/>
      <w:start w:val="2"/>
    </w:lvl>
    <w:lvl w:ilvl="1">
      <w:lvlJc w:val="left"/>
      <w:lvlText w:val="(%2)"/>
      <w:numFmt w:val="lowerLetter"/>
      <w:start w:val="1"/>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1"/>
    </w:lvl>
    <w:lvl w:ilvl="1">
      <w:lvlJc w:val="left"/>
      <w:lvlText w:val="%2."/>
      <w:numFmt w:val="decimal"/>
      <w:start w:val="8"/>
    </w:lvl>
  </w:abstractNum>
  <w:abstractNum w:abstractNumId="6">
    <w:nsid w:val="4E6AFB66"/>
    <w:multiLevelType w:val="hybridMultilevel"/>
    <w:lvl w:ilvl="0">
      <w:lvlJc w:val="left"/>
      <w:lvlText w:val="%1."/>
      <w:numFmt w:val="decimal"/>
      <w:start w:val="9"/>
    </w:lvl>
    <w:lvl w:ilvl="1">
      <w:lvlJc w:val="left"/>
      <w:lvlText w:val="%2"/>
      <w:numFmt w:val="decimal"/>
      <w:start w:val="1"/>
    </w:lvl>
  </w:abstractNum>
  <w:abstractNum w:abstractNumId="7">
    <w:nsid w:val="25E45D32"/>
    <w:multiLevelType w:val="hybridMultilevel"/>
    <w:lvl w:ilvl="0">
      <w:lvlJc w:val="left"/>
      <w:lvlText w:val="(%1)"/>
      <w:numFmt w:val="lowerLetter"/>
      <w:start w:val="1"/>
    </w:lvl>
  </w:abstractNum>
  <w:abstractNum w:abstractNumId="8">
    <w:nsid w:val="519B500D"/>
    <w:multiLevelType w:val="hybridMultilevel"/>
    <w:lvl w:ilvl="0">
      <w:lvlJc w:val="left"/>
      <w:lvlText w:val="(%1)"/>
      <w:numFmt w:val="lowerLetter"/>
      <w:start w:val="1"/>
    </w:lvl>
  </w:abstractNum>
  <w:abstractNum w:abstractNumId="9">
    <w:nsid w:val="431BD7B7"/>
    <w:multiLevelType w:val="hybridMultilevel"/>
    <w:lvl w:ilvl="0">
      <w:lvlJc w:val="left"/>
      <w:lvlText w:val="(%1)"/>
      <w:numFmt w:val="lowerLetter"/>
      <w:start w:val="1"/>
    </w:lvl>
  </w:abstractNum>
  <w:abstractNum w:abstractNumId="10">
    <w:nsid w:val="3F2DBA31"/>
    <w:multiLevelType w:val="hybridMultilevel"/>
    <w:lvl w:ilvl="0">
      <w:lvlJc w:val="left"/>
      <w:lvlText w:val="(%1)"/>
      <w:numFmt w:val="lowerLetter"/>
      <w:start w:val="6"/>
    </w:lvl>
  </w:abstractNum>
  <w:abstractNum w:abstractNumId="11">
    <w:nsid w:val="7C83E458"/>
    <w:multiLevelType w:val="hybridMultilevel"/>
    <w:lvl w:ilvl="0">
      <w:lvlJc w:val="left"/>
      <w:lvlText w:val="(%1)"/>
      <w:numFmt w:val="lowerLetter"/>
      <w:start w:val="8"/>
    </w:lvl>
  </w:abstractNum>
  <w:abstractNum w:abstractNumId="12">
    <w:nsid w:val="257130A3"/>
    <w:multiLevelType w:val="hybridMultilevel"/>
    <w:lvl w:ilvl="0">
      <w:lvlJc w:val="left"/>
      <w:lvlText w:val="(%1)"/>
      <w:numFmt w:val="lowerLetter"/>
      <w:start w:val="1"/>
    </w:lvl>
    <w:lvl w:ilvl="1">
      <w:lvlJc w:val="left"/>
      <w:lvlText w:val="(%2)"/>
      <w:numFmt w:val="lowerRoman"/>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lvl w:ilvl="1">
      <w:lvlJc w:val="left"/>
      <w:lvlText w:val="(%2)"/>
      <w:numFmt w:val="lowerLetter"/>
      <w:start w:val="2"/>
    </w:lvl>
  </w:abstractNum>
  <w:abstractNum w:abstractNumId="15">
    <w:nsid w:val="628C895D"/>
    <w:multiLevelType w:val="hybridMultilevel"/>
    <w:lvl w:ilvl="0">
      <w:lvlJc w:val="left"/>
      <w:lvlText w:val="%1."/>
      <w:numFmt w:val="decimal"/>
      <w:start w:val="2"/>
    </w:lvl>
    <w:lvl w:ilvl="1">
      <w:lvlJc w:val="left"/>
      <w:lvlText w:val="(%2)"/>
      <w:numFmt w:val="lowerLetter"/>
      <w:start w:val="1"/>
    </w:lvl>
  </w:abstractNum>
  <w:abstractNum w:abstractNumId="16">
    <w:nsid w:val="333AB105"/>
    <w:multiLevelType w:val="hybridMultilevel"/>
    <w:lvl w:ilvl="0">
      <w:lvlJc w:val="left"/>
      <w:lvlText w:val="%1"/>
      <w:numFmt w:val="decimal"/>
      <w:start w:val="1"/>
    </w:lvl>
    <w:lvl w:ilvl="1">
      <w:lvlJc w:val="left"/>
      <w:lvlText w:val="%2."/>
      <w:numFmt w:val="decimal"/>
      <w:start w:val="8"/>
    </w:lvl>
  </w:abstractNum>
  <w:abstractNum w:abstractNumId="17">
    <w:nsid w:val="721DA317"/>
    <w:multiLevelType w:val="hybridMultilevel"/>
    <w:lvl w:ilvl="0">
      <w:lvlJc w:val="left"/>
      <w:lvlText w:val="%1."/>
      <w:numFmt w:val="decimal"/>
      <w:start w:val="9"/>
    </w:lvl>
    <w:lvl w:ilvl="1">
      <w:lvlJc w:val="left"/>
      <w:lvlText w:val="%2"/>
      <w:numFmt w:val="decimal"/>
      <w:start w:val="1"/>
    </w:lvl>
  </w:abstractNum>
  <w:abstractNum w:abstractNumId="18">
    <w:nsid w:val="2443A858"/>
    <w:multiLevelType w:val="hybridMultilevel"/>
    <w:lvl w:ilvl="0">
      <w:lvlJc w:val="left"/>
      <w:lvlText w:val="%1."/>
      <w:numFmt w:val="decimal"/>
      <w:start w:val="11"/>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lowerLetter"/>
      <w:start w:val="6"/>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lowerRoman"/>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2019-12-15T11:32:19Z</dcterms:created>
  <dcterms:modified xsi:type="dcterms:W3CDTF">2019-12-15T11:32:19Z</dcterms:modified>
</cp:coreProperties>
</file>