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____________________</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 xml:space="preserve">Date of Report (Date of earliest event reported): July 29, 2026 </w:t>
      </w:r>
    </w:p>
    <w:tbl>
      <w:tblPr>
        <w:tblW w:w="4514" w:type="dxa"/>
        <w:jc w:val="center"/>
        <w:tblInd w:w="0" w:type="dxa"/>
        <w:tblLayout w:type="fixed"/>
        <w:tblCellMar>
          <w:top w:w="28" w:type="dxa"/>
          <w:left w:w="28" w:type="dxa"/>
          <w:bottom w:w="28" w:type="dxa"/>
          <w:right w:w="28" w:type="dxa"/>
        </w:tblCellMar>
      </w:tblPr>
      <w:tblGrid>
        <w:gridCol w:w="1446"/>
        <w:gridCol w:w="1271"/>
        <w:gridCol w:w="1797"/>
      </w:tblGrid>
      <w:tr>
        <w:trPr/>
        <w:tc>
          <w:tcPr>
            <w:tcW w:w="144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48"/>
              </w:rPr>
            </w:pPr>
            <w:r>
              <w:rPr>
                <w:rFonts w:ascii="Times New Roman;serif" w:hAnsi="Times New Roman;serif"/>
                <w:b/>
                <w:color w:val="000000"/>
                <w:sz w:val="48"/>
              </w:rPr>
              <w:t>EVERCORE INC.</w:t>
            </w:r>
          </w:p>
        </w:tc>
      </w:tr>
      <w:tr>
        <w:trPr/>
        <w:tc>
          <w:tcPr>
            <w:tcW w:w="4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c>
      </w:tr>
    </w:tbl>
    <w:tbl>
      <w:tblPr>
        <w:tblW w:w="5250" w:type="dxa"/>
        <w:jc w:val="center"/>
        <w:tblInd w:w="0" w:type="dxa"/>
        <w:tblLayout w:type="fixed"/>
        <w:tblCellMar>
          <w:top w:w="28" w:type="dxa"/>
          <w:left w:w="28" w:type="dxa"/>
          <w:bottom w:w="28" w:type="dxa"/>
          <w:right w:w="28" w:type="dxa"/>
        </w:tblCellMar>
      </w:tblPr>
      <w:tblGrid>
        <w:gridCol w:w="748"/>
        <w:gridCol w:w="657"/>
        <w:gridCol w:w="665"/>
        <w:gridCol w:w="614"/>
        <w:gridCol w:w="614"/>
        <w:gridCol w:w="617"/>
        <w:gridCol w:w="390"/>
        <w:gridCol w:w="390"/>
        <w:gridCol w:w="555"/>
      </w:tblGrid>
      <w:tr>
        <w:trPr/>
        <w:tc>
          <w:tcPr>
            <w:tcW w:w="74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001-32975</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20-4748747</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 of</w:t>
              <w:br/>
              <w:t>Incorporation)</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bl>
    <w:tbl>
      <w:tblPr>
        <w:tblW w:w="3772" w:type="dxa"/>
        <w:jc w:val="center"/>
        <w:tblInd w:w="0" w:type="dxa"/>
        <w:tblLayout w:type="fixed"/>
        <w:tblCellMar>
          <w:top w:w="28" w:type="dxa"/>
          <w:left w:w="28" w:type="dxa"/>
          <w:bottom w:w="28" w:type="dxa"/>
          <w:right w:w="28" w:type="dxa"/>
        </w:tblCellMar>
      </w:tblPr>
      <w:tblGrid>
        <w:gridCol w:w="494"/>
        <w:gridCol w:w="435"/>
        <w:gridCol w:w="435"/>
        <w:gridCol w:w="409"/>
        <w:gridCol w:w="409"/>
        <w:gridCol w:w="409"/>
        <w:gridCol w:w="109"/>
        <w:gridCol w:w="109"/>
        <w:gridCol w:w="109"/>
        <w:gridCol w:w="250"/>
        <w:gridCol w:w="250"/>
        <w:gridCol w:w="354"/>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259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55 East 52nd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New York, </w:t>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10055</w:t>
            </w:r>
          </w:p>
        </w:tc>
      </w:tr>
      <w:tr>
        <w:trPr/>
        <w:tc>
          <w:tcPr>
            <w:tcW w:w="259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(212) 857-3100 </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(Registrant's telephone number, including area code)</w:t>
      </w:r>
    </w:p>
    <w:tbl>
      <w:tblPr>
        <w:tblW w:w="4124" w:type="dxa"/>
        <w:jc w:val="center"/>
        <w:tblInd w:w="0" w:type="dxa"/>
        <w:tblLayout w:type="fixed"/>
        <w:tblCellMar>
          <w:top w:w="28" w:type="dxa"/>
          <w:left w:w="28" w:type="dxa"/>
          <w:bottom w:w="28" w:type="dxa"/>
          <w:right w:w="28" w:type="dxa"/>
        </w:tblCellMar>
      </w:tblPr>
      <w:tblGrid>
        <w:gridCol w:w="1319"/>
        <w:gridCol w:w="1159"/>
        <w:gridCol w:w="1646"/>
      </w:tblGrid>
      <w:tr>
        <w:trPr/>
        <w:tc>
          <w:tcPr>
            <w:tcW w:w="131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tc>
      </w:tr>
      <w:tr>
        <w:trPr/>
        <w:tc>
          <w:tcPr>
            <w:tcW w:w="41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7751" w:type="dxa"/>
        <w:jc w:val="center"/>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center"/>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center"/>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center"/>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478" w:type="dxa"/>
        <w:jc w:val="left"/>
        <w:tblInd w:w="0" w:type="dxa"/>
        <w:tblLayout w:type="fixed"/>
        <w:tblCellMar>
          <w:top w:w="28" w:type="dxa"/>
          <w:left w:w="28" w:type="dxa"/>
          <w:bottom w:w="28" w:type="dxa"/>
          <w:right w:w="28" w:type="dxa"/>
        </w:tblCellMar>
      </w:tblPr>
      <w:tblGrid>
        <w:gridCol w:w="1501"/>
        <w:gridCol w:w="1319"/>
        <w:gridCol w:w="1334"/>
        <w:gridCol w:w="499"/>
        <w:gridCol w:w="499"/>
        <w:gridCol w:w="501"/>
        <w:gridCol w:w="1118"/>
        <w:gridCol w:w="1118"/>
        <w:gridCol w:w="1589"/>
      </w:tblGrid>
      <w:tr>
        <w:trPr/>
        <w:tc>
          <w:tcPr>
            <w:tcW w:w="150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Class A Common Stock, par value $0.01 per share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EVR</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under the Securities Act (17 CFR 230.405) or Rule 12b-2 under the Exchange Act (17 CFR 240.12b-2).</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283"/>
        <w:jc w:val="center"/>
        <w:rPr/>
      </w:pPr>
      <w:r>
        <w:rPr/>
      </w:r>
    </w:p>
    <w:tbl>
      <w:tblPr>
        <w:tblW w:w="4966" w:type="dxa"/>
        <w:jc w:val="left"/>
        <w:tblInd w:w="0" w:type="dxa"/>
        <w:tblLayout w:type="fixed"/>
        <w:tblCellMar>
          <w:top w:w="28" w:type="dxa"/>
          <w:left w:w="28" w:type="dxa"/>
          <w:bottom w:w="28" w:type="dxa"/>
          <w:right w:w="28" w:type="dxa"/>
        </w:tblCellMar>
      </w:tblPr>
      <w:tblGrid>
        <w:gridCol w:w="332"/>
        <w:gridCol w:w="291"/>
        <w:gridCol w:w="293"/>
        <w:gridCol w:w="1186"/>
        <w:gridCol w:w="1186"/>
        <w:gridCol w:w="167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On July 29, 2026, Evercore Inc. issued a press release announcing financial results for its second quarter ended June 30, 2026.</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is attached hereto as Exhibit 99.1. All information in the press release is furnished but not filed.</w:t>
      </w:r>
    </w:p>
    <w:p>
      <w:pPr>
        <w:pStyle w:val="TextBody"/>
        <w:bidi w:val="0"/>
        <w:spacing w:before="180" w:after="283"/>
        <w:jc w:val="left"/>
        <w:rPr/>
      </w:pPr>
      <w:r>
        <w:rPr/>
      </w:r>
    </w:p>
    <w:tbl>
      <w:tblPr>
        <w:tblW w:w="3946" w:type="dxa"/>
        <w:jc w:val="center"/>
        <w:tblInd w:w="0" w:type="dxa"/>
        <w:tblLayout w:type="fixed"/>
        <w:tblCellMar>
          <w:top w:w="28" w:type="dxa"/>
          <w:left w:w="28" w:type="dxa"/>
          <w:bottom w:w="28" w:type="dxa"/>
          <w:right w:w="28" w:type="dxa"/>
        </w:tblCellMar>
      </w:tblPr>
      <w:tblGrid>
        <w:gridCol w:w="332"/>
        <w:gridCol w:w="291"/>
        <w:gridCol w:w="293"/>
        <w:gridCol w:w="887"/>
        <w:gridCol w:w="887"/>
        <w:gridCol w:w="125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90" w:after="283"/>
        <w:jc w:val="left"/>
        <w:rPr>
          <w:rFonts w:ascii="Times New Roman;serif" w:hAnsi="Times New Roman;serif"/>
          <w:b/>
          <w:color w:val="000000"/>
          <w:sz w:val="20"/>
        </w:rPr>
      </w:pPr>
      <w:r>
        <w:rPr>
          <w:rFonts w:ascii="Times New Roman;serif" w:hAnsi="Times New Roman;serif"/>
          <w:b/>
          <w:color w:val="000000"/>
          <w:sz w:val="20"/>
        </w:rPr>
        <w:t>(d) Exhibits.</w:t>
      </w:r>
    </w:p>
    <w:tbl>
      <w:tblPr>
        <w:tblW w:w="8083" w:type="dxa"/>
        <w:jc w:val="center"/>
        <w:tblInd w:w="0" w:type="dxa"/>
        <w:tblLayout w:type="fixed"/>
        <w:tblCellMar>
          <w:top w:w="28" w:type="dxa"/>
          <w:left w:w="28" w:type="dxa"/>
          <w:bottom w:w="28" w:type="dxa"/>
          <w:right w:w="28" w:type="dxa"/>
        </w:tblCellMar>
      </w:tblPr>
      <w:tblGrid>
        <w:gridCol w:w="174"/>
        <w:gridCol w:w="153"/>
        <w:gridCol w:w="154"/>
        <w:gridCol w:w="109"/>
        <w:gridCol w:w="109"/>
        <w:gridCol w:w="109"/>
        <w:gridCol w:w="2130"/>
        <w:gridCol w:w="2130"/>
        <w:gridCol w:w="3015"/>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3015"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arningsrelease2q26.htm">
              <w:r>
                <w:rPr>
                  <w:rStyle w:val="InternetLink"/>
                  <w:rFonts w:ascii="Times New Roman;serif" w:hAnsi="Times New Roman;serif"/>
                  <w:b w:val="false"/>
                  <w:color w:val="000080"/>
                  <w:sz w:val="20"/>
                  <w:u w:val="single"/>
                </w:rPr>
                <w:t xml:space="preserve">Press release of Evercore Inc. dated </w:t>
              </w:r>
            </w:hyperlink>
            <w:hyperlink w:anchor="earningsrelease2q26.htm">
              <w:r>
                <w:rPr>
                  <w:rStyle w:val="InternetLink"/>
                  <w:rFonts w:ascii="Times New Roman;serif" w:hAnsi="Times New Roman;serif"/>
                  <w:b w:val="false"/>
                  <w:color w:val="000080"/>
                  <w:sz w:val="20"/>
                  <w:u w:val="single"/>
                </w:rPr>
                <w:t>July</w:t>
              </w:r>
            </w:hyperlink>
            <w:hyperlink w:anchor="earningsrelease2q26.htm">
              <w:r>
                <w:rPr>
                  <w:rStyle w:val="InternetLink"/>
                  <w:rFonts w:ascii="Times New Roman;serif" w:hAnsi="Times New Roman;serif"/>
                  <w:b w:val="false"/>
                  <w:color w:val="000080"/>
                  <w:sz w:val="20"/>
                  <w:u w:val="single"/>
                </w:rPr>
                <w:t xml:space="preserve"> 29, 2026.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information is formatted in Inline XBRL</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is formatted in Inline XBRL (and contained in Exhibit 101)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5" w:after="283"/>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5761" w:type="dxa"/>
        <w:jc w:val="center"/>
        <w:tblInd w:w="0" w:type="dxa"/>
        <w:tblLayout w:type="fixed"/>
        <w:tblCellMar>
          <w:top w:w="28" w:type="dxa"/>
          <w:left w:w="28" w:type="dxa"/>
          <w:bottom w:w="28" w:type="dxa"/>
          <w:right w:w="28" w:type="dxa"/>
        </w:tblCellMar>
      </w:tblPr>
      <w:tblGrid>
        <w:gridCol w:w="618"/>
        <w:gridCol w:w="544"/>
        <w:gridCol w:w="547"/>
        <w:gridCol w:w="109"/>
        <w:gridCol w:w="109"/>
        <w:gridCol w:w="109"/>
        <w:gridCol w:w="109"/>
        <w:gridCol w:w="109"/>
        <w:gridCol w:w="109"/>
        <w:gridCol w:w="109"/>
        <w:gridCol w:w="109"/>
        <w:gridCol w:w="109"/>
        <w:gridCol w:w="185"/>
        <w:gridCol w:w="185"/>
        <w:gridCol w:w="185"/>
        <w:gridCol w:w="169"/>
        <w:gridCol w:w="169"/>
        <w:gridCol w:w="169"/>
        <w:gridCol w:w="576"/>
        <w:gridCol w:w="576"/>
        <w:gridCol w:w="857"/>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EVERCORE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 LaLonde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 LaLonde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pPr>
      <w:r>
        <w:rPr>
          <w:rFonts w:ascii="Times New Roman;serif" w:hAnsi="Times New Roman;serif"/>
          <w:b w:val="false"/>
          <w:color w:val="000080"/>
          <w:sz w:val="40"/>
        </w:rPr>
        <w:t>E</w:t>
      </w:r>
      <w:r>
        <w:rPr>
          <w:color w:val="000080"/>
        </w:rPr>
        <w:t xml:space="preserve"> </w:t>
      </w:r>
      <w:r>
        <w:rPr>
          <w:rFonts w:ascii="Times New Roman;serif" w:hAnsi="Times New Roman;serif"/>
          <w:b w:val="false"/>
          <w:color w:val="000080"/>
          <w:sz w:val="32"/>
        </w:rPr>
        <w:t>V E R C O R 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EVERCORE REPORTS SECOND QUARTER 2026 RESULTS;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QUARTERLY DIVIDEND OF $0.89 PER SHARE</w:t>
      </w:r>
    </w:p>
    <w:tbl>
      <w:tblPr>
        <w:tblW w:w="12152" w:type="dxa"/>
        <w:jc w:val="center"/>
        <w:tblInd w:w="0" w:type="dxa"/>
        <w:tblLayout w:type="fixed"/>
        <w:tblCellMar>
          <w:top w:w="28" w:type="dxa"/>
          <w:left w:w="28" w:type="dxa"/>
          <w:bottom w:w="28" w:type="dxa"/>
          <w:right w:w="28" w:type="dxa"/>
        </w:tblCellMar>
      </w:tblPr>
      <w:tblGrid>
        <w:gridCol w:w="722"/>
        <w:gridCol w:w="291"/>
        <w:gridCol w:w="293"/>
        <w:gridCol w:w="211"/>
        <w:gridCol w:w="616"/>
        <w:gridCol w:w="271"/>
        <w:gridCol w:w="211"/>
        <w:gridCol w:w="616"/>
        <w:gridCol w:w="271"/>
        <w:gridCol w:w="109"/>
        <w:gridCol w:w="109"/>
        <w:gridCol w:w="109"/>
        <w:gridCol w:w="211"/>
        <w:gridCol w:w="616"/>
        <w:gridCol w:w="271"/>
        <w:gridCol w:w="211"/>
        <w:gridCol w:w="616"/>
        <w:gridCol w:w="271"/>
        <w:gridCol w:w="109"/>
        <w:gridCol w:w="109"/>
        <w:gridCol w:w="109"/>
        <w:gridCol w:w="211"/>
        <w:gridCol w:w="766"/>
        <w:gridCol w:w="271"/>
        <w:gridCol w:w="211"/>
        <w:gridCol w:w="766"/>
        <w:gridCol w:w="271"/>
        <w:gridCol w:w="109"/>
        <w:gridCol w:w="109"/>
        <w:gridCol w:w="109"/>
        <w:gridCol w:w="211"/>
        <w:gridCol w:w="766"/>
        <w:gridCol w:w="271"/>
        <w:gridCol w:w="211"/>
        <w:gridCol w:w="766"/>
        <w:gridCol w:w="271"/>
        <w:gridCol w:w="109"/>
        <w:gridCol w:w="109"/>
        <w:gridCol w:w="109"/>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264D8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15"/>
            <w:tcBorders>
              <w:bottom w:val="single" w:sz="4" w:space="0" w:color="FFFFFF"/>
            </w:tcBorders>
            <w:shd w:fill="264D82"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Second Quarter Results</w:t>
            </w:r>
          </w:p>
        </w:tc>
        <w:tc>
          <w:tcPr>
            <w:tcW w:w="327" w:type="dxa"/>
            <w:gridSpan w:val="3"/>
            <w:tcBorders/>
            <w:shd w:fill="264D8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9" w:type="dxa"/>
            <w:gridSpan w:val="15"/>
            <w:tcBorders>
              <w:bottom w:val="single" w:sz="4" w:space="0" w:color="FFFFFF"/>
            </w:tcBorders>
            <w:shd w:fill="264D82"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Year to Date Results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264D8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6"/>
            <w:tcBorders>
              <w:top w:val="single" w:sz="4" w:space="0" w:color="FFFFFF"/>
            </w:tcBorders>
            <w:shd w:fill="264D82"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U.S. GAAP</w:t>
            </w:r>
          </w:p>
        </w:tc>
        <w:tc>
          <w:tcPr>
            <w:tcW w:w="327" w:type="dxa"/>
            <w:gridSpan w:val="3"/>
            <w:tcBorders>
              <w:top w:val="single" w:sz="4" w:space="0" w:color="FFFFFF"/>
            </w:tcBorders>
            <w:shd w:fill="264D8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6"/>
            <w:tcBorders>
              <w:top w:val="single" w:sz="4" w:space="0" w:color="FFFFFF"/>
            </w:tcBorders>
            <w:shd w:fill="264D82"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Adjusted</w:t>
            </w:r>
          </w:p>
        </w:tc>
        <w:tc>
          <w:tcPr>
            <w:tcW w:w="327" w:type="dxa"/>
            <w:gridSpan w:val="3"/>
            <w:tcBorders/>
            <w:shd w:fill="264D8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6"/>
            <w:tcBorders>
              <w:top w:val="single" w:sz="4" w:space="0" w:color="FFFFFF"/>
            </w:tcBorders>
            <w:shd w:fill="264D82"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U.S. GAAP</w:t>
            </w:r>
          </w:p>
        </w:tc>
        <w:tc>
          <w:tcPr>
            <w:tcW w:w="327" w:type="dxa"/>
            <w:gridSpan w:val="3"/>
            <w:tcBorders>
              <w:top w:val="single" w:sz="4" w:space="0" w:color="FFFFFF"/>
            </w:tcBorders>
            <w:shd w:fill="264D8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6"/>
            <w:tcBorders>
              <w:top w:val="single" w:sz="4" w:space="0" w:color="FFFFFF"/>
            </w:tcBorders>
            <w:shd w:fill="264D82"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Adjusted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264D8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FFFFFF"/>
            </w:tcBorders>
            <w:shd w:fill="264D82"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Q2 2026</w:t>
            </w:r>
          </w:p>
        </w:tc>
        <w:tc>
          <w:tcPr>
            <w:tcW w:w="1098" w:type="dxa"/>
            <w:gridSpan w:val="3"/>
            <w:tcBorders>
              <w:top w:val="single" w:sz="4" w:space="0" w:color="FFFFFF"/>
            </w:tcBorders>
            <w:shd w:fill="264D82"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Q2 2025</w:t>
            </w:r>
          </w:p>
        </w:tc>
        <w:tc>
          <w:tcPr>
            <w:tcW w:w="327" w:type="dxa"/>
            <w:gridSpan w:val="3"/>
            <w:tcBorders/>
            <w:shd w:fill="264D8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FFFFFF"/>
            </w:tcBorders>
            <w:shd w:fill="264D82"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Q2 2026</w:t>
            </w:r>
          </w:p>
        </w:tc>
        <w:tc>
          <w:tcPr>
            <w:tcW w:w="1098" w:type="dxa"/>
            <w:gridSpan w:val="3"/>
            <w:tcBorders>
              <w:top w:val="single" w:sz="4" w:space="0" w:color="FFFFFF"/>
            </w:tcBorders>
            <w:shd w:fill="264D82"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Q2 2025</w:t>
            </w:r>
          </w:p>
        </w:tc>
        <w:tc>
          <w:tcPr>
            <w:tcW w:w="327" w:type="dxa"/>
            <w:gridSpan w:val="3"/>
            <w:tcBorders/>
            <w:shd w:fill="264D8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FFFFFF"/>
            </w:tcBorders>
            <w:shd w:fill="264D82"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YTD 2026</w:t>
            </w:r>
          </w:p>
        </w:tc>
        <w:tc>
          <w:tcPr>
            <w:tcW w:w="1248" w:type="dxa"/>
            <w:gridSpan w:val="3"/>
            <w:tcBorders>
              <w:top w:val="single" w:sz="4" w:space="0" w:color="FFFFFF"/>
            </w:tcBorders>
            <w:shd w:fill="264D82"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YTD 2025</w:t>
            </w:r>
          </w:p>
        </w:tc>
        <w:tc>
          <w:tcPr>
            <w:tcW w:w="327" w:type="dxa"/>
            <w:gridSpan w:val="3"/>
            <w:tcBorders/>
            <w:shd w:fill="264D8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FFFFFF"/>
            </w:tcBorders>
            <w:shd w:fill="264D82"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YTD 2026</w:t>
            </w:r>
          </w:p>
        </w:tc>
        <w:tc>
          <w:tcPr>
            <w:tcW w:w="1248" w:type="dxa"/>
            <w:gridSpan w:val="3"/>
            <w:tcBorders>
              <w:top w:val="single" w:sz="4" w:space="0" w:color="FFFFFF"/>
            </w:tcBorders>
            <w:shd w:fill="264D82"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9"/>
              </w:rPr>
            </w:pPr>
            <w:r>
              <w:rPr>
                <w:rFonts w:ascii="Times New Roman;serif" w:hAnsi="Times New Roman;serif"/>
                <w:b/>
                <w:color w:val="FFFFFF"/>
                <w:sz w:val="19"/>
              </w:rPr>
              <w:t>YTD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 ($ mm)</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 mm)</w:t>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544.2 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Evercore Inc. ($ mm)</w:t>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Ratio</w:t>
            </w:r>
          </w:p>
        </w:tc>
        <w:tc>
          <w:tcPr>
            <w:tcW w:w="827"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827" w:type="dxa"/>
            <w:gridSpan w:val="2"/>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71" w:type="dxa"/>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71" w:type="dxa"/>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DBDBDB"/>
              <w:bottom w:val="single" w:sz="8" w:space="0" w:color="B6B6B6"/>
            </w:tcBorders>
            <w:tcMar>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71" w:type="dxa"/>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71" w:type="dxa"/>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DBDBDB"/>
              <w:bottom w:val="single" w:sz="8" w:space="0" w:color="B6B6B6"/>
            </w:tcBorders>
            <w:tcMar>
              <w:left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71" w:type="dxa"/>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71" w:type="dxa"/>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DBDBDB"/>
              <w:bottom w:val="single" w:sz="8" w:space="0" w:color="B6B6B6"/>
            </w:tcBorders>
            <w:tcMar>
              <w:left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71" w:type="dxa"/>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71" w:type="dxa"/>
            <w:tcBorders>
              <w:top w:val="single" w:sz="8" w:space="0" w:color="DBDBDB"/>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7225" w:type="dxa"/>
            <w:gridSpan w:val="25"/>
            <w:tcBorders/>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7225" w:type="dxa"/>
            <w:gridSpan w:val="25"/>
            <w:tcBorders/>
          </w:tcPr>
          <w:p>
            <w:pPr>
              <w:pStyle w:val="TableContents"/>
              <w:bidi w:val="0"/>
              <w:spacing w:before="0" w:after="283"/>
              <w:jc w:val="left"/>
              <w:rPr>
                <w:sz w:val="4"/>
                <w:szCs w:val="4"/>
              </w:rPr>
            </w:pPr>
            <w:r>
              <w:rPr>
                <w:sz w:val="4"/>
                <w:szCs w:val="4"/>
              </w:rPr>
            </w:r>
          </w:p>
        </w:tc>
      </w:tr>
    </w:tbl>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264D8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64D8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bottom w:val="single" w:sz="8" w:space="0" w:color="264D8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3"/>
        <w:gridCol w:w="458"/>
        <w:gridCol w:w="461"/>
        <w:gridCol w:w="109"/>
        <w:gridCol w:w="109"/>
        <w:gridCol w:w="109"/>
        <w:gridCol w:w="845"/>
        <w:gridCol w:w="845"/>
        <w:gridCol w:w="845"/>
        <w:gridCol w:w="1474"/>
        <w:gridCol w:w="845"/>
        <w:gridCol w:w="845"/>
        <w:gridCol w:w="845"/>
        <w:gridCol w:w="845"/>
        <w:gridCol w:w="888"/>
        <w:gridCol w:w="159"/>
      </w:tblGrid>
      <w:tr>
        <w:trPr/>
        <w:tc>
          <w:tcPr>
            <w:tcW w:w="52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restart"/>
            <w:tcBorders/>
            <w:shd w:fill="264D8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2"/>
              </w:rPr>
            </w:pPr>
            <w:r>
              <w:rPr>
                <w:rFonts w:ascii="Times New Roman;serif" w:hAnsi="Times New Roman;serif"/>
                <w:b/>
                <w:color w:val="FFFFFF"/>
                <w:sz w:val="22"/>
              </w:rPr>
              <w:t>Business and Financial</w:t>
              <w:br/>
              <w:t> Highlights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8277" w:type="dxa"/>
            <w:gridSpan w:val="9"/>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9"/>
              </w:rPr>
            </w:pPr>
            <w:r>
              <w:rPr>
                <w:rFonts w:ascii="Times New Roman;serif" w:hAnsi="Times New Roman;serif"/>
                <w:b w:val="false"/>
                <w:color w:val="000000"/>
                <w:sz w:val="19"/>
              </w:rPr>
              <w:t>Record Second Quarter and First Half Net Revenues were $1.0 billion and $2.4 billion, respectively, on both a U.S. GAAP and an Adjusted basis. Second Quarter and First Half 2026 Net Revenues increased 19% and 56%, respectively, on both a U.S. GAAP and an Adjusted basis versus 2025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8277" w:type="dxa"/>
            <w:gridSpan w:val="9"/>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9"/>
              </w:rPr>
            </w:pPr>
            <w:r>
              <w:rPr>
                <w:rFonts w:ascii="Times New Roman;serif" w:hAnsi="Times New Roman;serif"/>
                <w:b w:val="false"/>
                <w:color w:val="000000"/>
                <w:sz w:val="19"/>
              </w:rPr>
              <w:t>Second Quarter and First Half Operating Income were $146.6 million and $477.3 million, respectively, on a U.S. GAAP basis and $189.7 million and $544.2 million, respectively, on an Adjusted basis. First Half Operating Margins of 20.0% and 22.7% on a U.S. GAAP and an Adjusted basis, respectively, increased 293 and 490 basis points, respectively, versus 2025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8277" w:type="dxa"/>
            <w:gridSpan w:val="9"/>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9"/>
              </w:rPr>
            </w:pPr>
            <w:r>
              <w:rPr>
                <w:rFonts w:ascii="Times New Roman;serif" w:hAnsi="Times New Roman;serif"/>
                <w:b w:val="false"/>
                <w:color w:val="000000"/>
                <w:sz w:val="19"/>
              </w:rPr>
              <w:t>Our North America Strategic Advisory, Private Funds Group, and Equities businesses each delivered record second quarter revenues, while our Underwriting and Wealth Management businesses each delivered their best quarters on record</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827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Evercore advised on a number of notable and complex transactions, including:</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57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Arcosa’s $8.5 billion sale to CRH</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57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Iridium Communications’s $8.0 billion sale to Rocket Lab</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57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National Grid’s $1.75 billion investment in Joulent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57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Victoria’s Secret on its successful proxy fight against BBRC</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737" w:type="dxa"/>
            <w:gridSpan w:val="4"/>
            <w:tcBorders/>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827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 our Underwriting business, Evercore served as a Lead or Active Bookrunner on a number of notable transactions, including:</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57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Active bookrunner on Parabilis Medicine’s $771 million IPO, the largest biotechnology IPO of all time</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57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Lead left bookrunner on Red Cat’s $259 million follow-on offering</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8277"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Our Private Funds Group ranked #1 in Private Equity International’s (“PEI”) 2025 Placement Agent Ranking</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737" w:type="dxa"/>
            <w:gridSpan w:val="4"/>
            <w:tcBorders/>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737" w:type="dxa"/>
            <w:gridSpan w:val="4"/>
            <w:tcBorders/>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737" w:type="dxa"/>
            <w:gridSpan w:val="4"/>
            <w:tcBorders/>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737" w:type="dxa"/>
            <w:gridSpan w:val="4"/>
            <w:tcBorders/>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737" w:type="dxa"/>
            <w:gridSpan w:val="4"/>
            <w:tcBorders/>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737" w:type="dxa"/>
            <w:gridSpan w:val="4"/>
            <w:tcBorders/>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737" w:type="dxa"/>
            <w:gridSpan w:val="4"/>
            <w:tcBorders/>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737" w:type="dxa"/>
            <w:gridSpan w:val="4"/>
            <w:tcBorders/>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restart"/>
            <w:tcBorders/>
            <w:shd w:fill="264D8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2"/>
              </w:rPr>
            </w:pPr>
            <w:r>
              <w:rPr>
                <w:rFonts w:ascii="Times New Roman;serif" w:hAnsi="Times New Roman;serif"/>
                <w:b/>
                <w:color w:val="FFFFFF"/>
                <w:sz w:val="22"/>
              </w:rPr>
              <w:t>Talent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8277"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As of June 30, 2026, our Investment Banking franchise has 188 Senior Managing Directors (SMDs), inclusive of the recent joiners and commits mentioned below</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8277"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Four Investment Banking SMDs have joined Evercore since our last earnings call; Chris Connelly in our Industrials Investment Banking Group, Clay McCoy in Private Capital Advisory, Dennis Cornell in our Private Capital Markets Group and Eric Rabinowitz in our Healthcare Investment Banking Group</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8277"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Since our last earnings call, seven additional Investment Banking SMDs have committed to join Evercore, in key areas including Restructuring in the U.S. and Europe, Healthcare, Chemicals and Equity Capital Markets, as well as two new hires based in our Frankfurt office</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737" w:type="dxa"/>
            <w:gridSpan w:val="4"/>
            <w:tcBorders/>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737" w:type="dxa"/>
            <w:gridSpan w:val="4"/>
            <w:tcBorders/>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737" w:type="dxa"/>
            <w:gridSpan w:val="4"/>
            <w:tcBorders/>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737" w:type="dxa"/>
            <w:gridSpan w:val="4"/>
            <w:tcBorders/>
          </w:tcPr>
          <w:p>
            <w:pPr>
              <w:pStyle w:val="TableContents"/>
              <w:bidi w:val="0"/>
              <w:spacing w:before="0" w:after="283"/>
              <w:jc w:val="left"/>
              <w:rPr>
                <w:sz w:val="4"/>
                <w:szCs w:val="4"/>
              </w:rPr>
            </w:pPr>
            <w:r>
              <w:rPr>
                <w:sz w:val="4"/>
                <w:szCs w:val="4"/>
              </w:rPr>
            </w:r>
          </w:p>
        </w:tc>
      </w:tr>
      <w:tr>
        <w:trPr/>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737" w:type="dxa"/>
            <w:gridSpan w:val="4"/>
            <w:tcBorders/>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737" w:type="dxa"/>
            <w:gridSpan w:val="4"/>
            <w:tcBorders/>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restart"/>
            <w:tcBorders/>
            <w:shd w:fill="264D8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2"/>
              </w:rPr>
            </w:pPr>
            <w:r>
              <w:rPr>
                <w:rFonts w:ascii="Times New Roman;serif" w:hAnsi="Times New Roman;serif"/>
                <w:b/>
                <w:color w:val="FFFFFF"/>
                <w:sz w:val="22"/>
              </w:rPr>
              <w:t>Capital Return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827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Quarterly dividend of $0.89 per share</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264D82"/>
                <w:sz w:val="10"/>
              </w:rPr>
            </w:pPr>
            <w:r>
              <w:rPr>
                <w:rFonts w:ascii="Webdings;sans-serif" w:hAnsi="Webdings;sans-serif"/>
                <w:b w:val="false"/>
                <w:color w:val="264D82"/>
                <w:sz w:val="10"/>
              </w:rPr>
              <w:t>g</w:t>
            </w:r>
          </w:p>
        </w:tc>
        <w:tc>
          <w:tcPr>
            <w:tcW w:w="8277" w:type="dxa"/>
            <w:gridSpan w:val="9"/>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Returned $822.9 million to shareholders during the first six months of 2026 through dividends and repurchases of 2.3 million shares at an average price of $324.60</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vMerge w:val="continue"/>
            <w:tcBorders/>
            <w:shd w:fill="264D82"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737" w:type="dxa"/>
            <w:gridSpan w:val="4"/>
            <w:tcBorders/>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737" w:type="dxa"/>
            <w:gridSpan w:val="4"/>
            <w:tcBorders/>
          </w:tcPr>
          <w:p>
            <w:pPr>
              <w:pStyle w:val="TableContents"/>
              <w:bidi w:val="0"/>
              <w:spacing w:before="0" w:after="283"/>
              <w:jc w:val="left"/>
              <w:rPr>
                <w:sz w:val="4"/>
                <w:szCs w:val="4"/>
              </w:rPr>
            </w:pPr>
            <w:r>
              <w:rPr>
                <w:sz w:val="4"/>
                <w:szCs w:val="4"/>
              </w:rPr>
            </w:r>
          </w:p>
        </w:tc>
      </w:tr>
      <w:tr>
        <w:trPr/>
        <w:tc>
          <w:tcPr>
            <w:tcW w:w="1442" w:type="dxa"/>
            <w:gridSpan w:val="3"/>
            <w:tcBorders>
              <w:bottom w:val="single" w:sz="8" w:space="0" w:color="264D8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64D8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bottom w:val="single" w:sz="8" w:space="0" w:color="264D8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bottom w:val="single" w:sz="8" w:space="0" w:color="264D8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bottom w:val="single" w:sz="8" w:space="0" w:color="264D8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6" w:type="dxa"/>
            <w:gridSpan w:val="10"/>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NEW YORK, July 29, 2026 – Evercore Inc. (NYSE: EVR) today announced its results for the second quarter ended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LEADERSHIP COMMENTARY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John S. Weinberg, Chairman and Chief Executive Officer</w:t>
      </w:r>
      <w:r>
        <w:rPr>
          <w:rFonts w:ascii="Times New Roman;serif" w:hAnsi="Times New Roman;serif"/>
          <w:b w:val="false"/>
          <w:color w:val="000000"/>
          <w:sz w:val="24"/>
        </w:rPr>
        <w:t>, "We saw broad-based strength across nearly every business this quarter, reflecting strong client engagement and the benefits of our long-term strategy. We continue to invest in our business and remain focused on creating long-term value for our shareholders."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4"/>
        </w:rPr>
        <w:t>Roger C. Altman, Founder and Senior Chairman</w:t>
      </w:r>
      <w:r>
        <w:rPr>
          <w:rFonts w:ascii="Times New Roman;serif" w:hAnsi="Times New Roman;serif"/>
          <w:b w:val="false"/>
          <w:color w:val="000000"/>
          <w:sz w:val="24"/>
        </w:rPr>
        <w:t>, "We delivered record second quarter revenues, capping off the strongest first half in our history. These results underscore the greater breadth and competitive strength of our Firm."</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Evercore's quarterly results may fluctuate significantly due to the timing and amount of transaction fees earned, as well as other factors. Accordingly, financial results in any particular quarter may not be representative of future results over a longer period of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4"/>
          <w:u w:val="single"/>
        </w:rPr>
      </w:pPr>
      <w:r>
        <w:rPr>
          <w:rFonts w:ascii="Times New Roman;serif" w:hAnsi="Times New Roman;serif"/>
          <w:b w:val="false"/>
          <w:i/>
          <w:color w:val="000000"/>
          <w:sz w:val="24"/>
          <w:u w:val="single"/>
        </w:rPr>
        <w:t>Business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 xml:space="preserve">Evercore's business results are categorized into two segments: Investment Banking &amp; Equities and Investment Management. Investment Banking &amp; Equities includes providing advice to clients on mergers, acquisitions, divestitures and other strategic corporate transactions, as well as services related to securities underwriting, private placement services and commissions for agency-based equity trading services and equity research. Investment Management includes Wealth Management and interests in private equity funds which are not managed by the Company, as well as advising third-party investors through affiliates. See pages A-2 to A-8 for further information and reconciliations of these segment results to our U.S. GAAP consolidated results.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u w:val="single"/>
        </w:rPr>
      </w:pPr>
      <w:r>
        <w:rPr>
          <w:rFonts w:ascii="Times New Roman;serif" w:hAnsi="Times New Roman;serif"/>
          <w:b w:val="false"/>
          <w:i/>
          <w:color w:val="000000"/>
          <w:sz w:val="24"/>
          <w:u w:val="single"/>
        </w:rPr>
        <w:t>Non-GAAP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 xml:space="preserve">Throughout this release certain information is presented on an adjusted basis, which is a non-GAAP measure. Adjusted results begin with information prepared in accordance with accounting principles generally accepted in the United States of America ("U.S. GAAP"), and then those results are adjusted to exclude certain items and reflect the conversion of certain Evercore LP Units into Class A shares. Evercore believes that the disclosed adjusted measures and any adjustments thereto, when presented in conjunction with comparable U.S. GAAP measures, are useful to investors to compare Evercore's results across several periods and facilitate an understanding of Evercore's operating results. Evercore uses these measures to evaluate its operating performance, as well as the performance of individual employees. These measures should not be considered a substitute for, or superior to, measures of financial performance prepared in accordance with U.S. GAAP.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Evercore's Adjusted Net Income Attributable to Evercore Inc. for the three and six months ended June 30, 2026 was higher than U.S. GAAP principally as a result of the exclusion of the following expenses: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4"/>
        </w:rPr>
        <w:t>Acquisition-related compensation charges, reflecting expenses associated with awards granted in conjunction with the Company's acquisition of Robey Warshaw</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4"/>
        </w:rPr>
        <w:t>Acquisition and Transition Costs, including costs incurred for the impairment of a lease related to the acquisition of Robey Warshaw</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4"/>
        </w:rPr>
        <w:t xml:space="preserve">Expenses associated with the amortization of intangible assets and interest cost related to deferred acquisition consideration from the acquisition of Robey Warshaw </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4"/>
        </w:rPr>
        <w:t>Expense, or reversal of expense, associated with the changes in fair value of contingent consideration issued to the sellers of Robey Warshaw</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4"/>
        </w:rPr>
        <w:t>Special Charges, Including Business Realignment Costs, reflecting an estimated loss provision for non-U.S. employment taxes for prior periods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4"/>
        </w:rPr>
        <w:t>Evercore's Adjusted Diluted Shares Outstanding for the three and six months ended June 30, 2026</w:t>
      </w:r>
      <w:r>
        <w:rPr>
          <w:color w:val="000000"/>
        </w:rPr>
        <w:t xml:space="preserve"> </w:t>
      </w:r>
      <w:r>
        <w:rPr>
          <w:rFonts w:ascii="Times New Roman;serif" w:hAnsi="Times New Roman;serif"/>
          <w:b w:val="false"/>
          <w:i/>
          <w:color w:val="000000"/>
          <w:sz w:val="24"/>
        </w:rPr>
        <w:t>were higher than U.S. GAAP primarily as a result of the inclusion of Evercore LP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Further details of these adjustments, as well as an explanation of similar amounts for the three and six months ended June 30, 2025 are included in pages A-2 to A-8.</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Selected Financial Data – U.S. GAAP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The following is a discussion of Evercore's consolidated results on a U.S. GAAP basis. See pages A-4 to A-6 for our business segment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Net Revenues </w:t>
      </w:r>
    </w:p>
    <w:tbl>
      <w:tblPr>
        <w:tblW w:w="10205" w:type="dxa"/>
        <w:jc w:val="left"/>
        <w:tblInd w:w="0" w:type="dxa"/>
        <w:tblLayout w:type="fixed"/>
        <w:tblCellMar>
          <w:top w:w="28" w:type="dxa"/>
          <w:left w:w="28" w:type="dxa"/>
          <w:bottom w:w="28" w:type="dxa"/>
          <w:right w:w="28" w:type="dxa"/>
        </w:tblCellMar>
      </w:tblPr>
      <w:tblGrid>
        <w:gridCol w:w="1063"/>
        <w:gridCol w:w="769"/>
        <w:gridCol w:w="772"/>
        <w:gridCol w:w="205"/>
        <w:gridCol w:w="771"/>
        <w:gridCol w:w="113"/>
        <w:gridCol w:w="109"/>
        <w:gridCol w:w="109"/>
        <w:gridCol w:w="109"/>
        <w:gridCol w:w="205"/>
        <w:gridCol w:w="771"/>
        <w:gridCol w:w="113"/>
        <w:gridCol w:w="109"/>
        <w:gridCol w:w="109"/>
        <w:gridCol w:w="109"/>
        <w:gridCol w:w="188"/>
        <w:gridCol w:w="188"/>
        <w:gridCol w:w="349"/>
        <w:gridCol w:w="109"/>
        <w:gridCol w:w="109"/>
        <w:gridCol w:w="109"/>
        <w:gridCol w:w="196"/>
        <w:gridCol w:w="871"/>
        <w:gridCol w:w="109"/>
        <w:gridCol w:w="109"/>
        <w:gridCol w:w="109"/>
        <w:gridCol w:w="109"/>
        <w:gridCol w:w="196"/>
        <w:gridCol w:w="871"/>
        <w:gridCol w:w="109"/>
        <w:gridCol w:w="109"/>
        <w:gridCol w:w="109"/>
        <w:gridCol w:w="109"/>
        <w:gridCol w:w="152"/>
        <w:gridCol w:w="152"/>
        <w:gridCol w:w="407"/>
      </w:tblGrid>
      <w:tr>
        <w:trPr/>
        <w:tc>
          <w:tcPr>
            <w:tcW w:w="10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U.S. GAAP</w:t>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 </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 </w:t>
              <w:br/>
              <w:t>Change</w:t>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(dollars in thousands)</w:t>
            </w:r>
          </w:p>
        </w:tc>
      </w:tr>
      <w:tr>
        <w:trPr/>
        <w:tc>
          <w:tcPr>
            <w:tcW w:w="2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Banking &amp; Equities:</w:t>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7"/>
              </w:rPr>
              <w:t>Advisory Fees</w:t>
            </w:r>
          </w:p>
        </w:tc>
        <w:tc>
          <w:tcPr>
            <w:tcW w:w="20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775,590 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697,744 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w:t>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2,020,329 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1,255,093 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w:t>
            </w:r>
          </w:p>
        </w:tc>
        <w:tc>
          <w:tcPr>
            <w:tcW w:w="4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7"/>
              </w:rPr>
              <w:t>Underwriting Fees</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97,071 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32,206 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w:t>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152,139 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w:t>
            </w:r>
          </w:p>
        </w:tc>
        <w:tc>
          <w:tcPr>
            <w:tcW w:w="4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7"/>
              </w:rPr>
              <w:t>Commissions and Related Revenue</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63,535 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58,272 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w:t>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126,193 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w:t>
            </w:r>
          </w:p>
        </w:tc>
        <w:tc>
          <w:tcPr>
            <w:tcW w:w="4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Management:</w:t>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7"/>
              </w:rPr>
              <w:t>Asset Management and Administration Fees</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23,655 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20,684 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w:t>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46,298 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41,667 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w:t>
            </w:r>
          </w:p>
        </w:tc>
        <w:tc>
          <w:tcPr>
            <w:tcW w:w="4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Revenue, net</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30,348 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24,924 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w:t>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36,818 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32,056 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4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Revenues</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990,199 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833,830 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w:t>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2,381,777 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1,528,659 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w:t>
            </w:r>
          </w:p>
        </w:tc>
        <w:tc>
          <w:tcPr>
            <w:tcW w:w="4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4" w:type="dxa"/>
            <w:gridSpan w:val="3"/>
            <w:tcBorders/>
            <w:vAlign w:val="center"/>
          </w:tcPr>
          <w:p>
            <w:pPr>
              <w:pStyle w:val="TableContents"/>
              <w:bidi w:val="0"/>
              <w:spacing w:before="0" w:after="283"/>
              <w:jc w:val="left"/>
              <w:rPr>
                <w:sz w:val="4"/>
                <w:szCs w:val="4"/>
              </w:rPr>
            </w:pPr>
            <w:r>
              <w:rPr>
                <w:sz w:val="4"/>
                <w:szCs w:val="4"/>
              </w:rPr>
            </w:r>
          </w:p>
        </w:tc>
        <w:tc>
          <w:tcPr>
            <w:tcW w:w="7601" w:type="dxa"/>
            <w:gridSpan w:val="33"/>
            <w:tcBorders/>
          </w:tcPr>
          <w:p>
            <w:pPr>
              <w:pStyle w:val="TableContents"/>
              <w:bidi w:val="0"/>
              <w:spacing w:before="0" w:after="283"/>
              <w:jc w:val="left"/>
              <w:rPr>
                <w:sz w:val="4"/>
                <w:szCs w:val="4"/>
              </w:rPr>
            </w:pPr>
            <w:r>
              <w:rPr>
                <w:sz w:val="4"/>
                <w:szCs w:val="4"/>
              </w:rPr>
            </w:r>
          </w:p>
        </w:tc>
      </w:tr>
      <w:tr>
        <w:trPr/>
        <w:tc>
          <w:tcPr>
            <w:tcW w:w="2604" w:type="dxa"/>
            <w:gridSpan w:val="3"/>
            <w:tcBorders/>
            <w:vAlign w:val="center"/>
          </w:tcPr>
          <w:p>
            <w:pPr>
              <w:pStyle w:val="TableContents"/>
              <w:bidi w:val="0"/>
              <w:spacing w:before="0" w:after="283"/>
              <w:jc w:val="left"/>
              <w:rPr>
                <w:sz w:val="4"/>
                <w:szCs w:val="4"/>
              </w:rPr>
            </w:pPr>
            <w:r>
              <w:rPr>
                <w:sz w:val="4"/>
                <w:szCs w:val="4"/>
              </w:rPr>
            </w:r>
          </w:p>
        </w:tc>
        <w:tc>
          <w:tcPr>
            <w:tcW w:w="7601" w:type="dxa"/>
            <w:gridSpan w:val="33"/>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86"/>
        <w:gridCol w:w="1214"/>
        <w:gridCol w:w="1221"/>
        <w:gridCol w:w="318"/>
        <w:gridCol w:w="254"/>
        <w:gridCol w:w="255"/>
        <w:gridCol w:w="109"/>
        <w:gridCol w:w="109"/>
        <w:gridCol w:w="109"/>
        <w:gridCol w:w="318"/>
        <w:gridCol w:w="254"/>
        <w:gridCol w:w="255"/>
        <w:gridCol w:w="109"/>
        <w:gridCol w:w="109"/>
        <w:gridCol w:w="109"/>
        <w:gridCol w:w="188"/>
        <w:gridCol w:w="188"/>
        <w:gridCol w:w="349"/>
        <w:gridCol w:w="109"/>
        <w:gridCol w:w="109"/>
        <w:gridCol w:w="109"/>
        <w:gridCol w:w="318"/>
        <w:gridCol w:w="254"/>
        <w:gridCol w:w="255"/>
        <w:gridCol w:w="109"/>
        <w:gridCol w:w="109"/>
        <w:gridCol w:w="109"/>
        <w:gridCol w:w="318"/>
        <w:gridCol w:w="254"/>
        <w:gridCol w:w="255"/>
        <w:gridCol w:w="109"/>
        <w:gridCol w:w="109"/>
        <w:gridCol w:w="109"/>
        <w:gridCol w:w="152"/>
        <w:gridCol w:w="152"/>
        <w:gridCol w:w="412"/>
      </w:tblGrid>
      <w:tr>
        <w:trPr/>
        <w:tc>
          <w:tcPr>
            <w:tcW w:w="138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382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5557" w:type="dxa"/>
            <w:gridSpan w:val="30"/>
            <w:tcBorders/>
          </w:tcPr>
          <w:p>
            <w:pPr>
              <w:pStyle w:val="TableContents"/>
              <w:bidi w:val="0"/>
              <w:spacing w:before="0" w:after="283"/>
              <w:jc w:val="left"/>
              <w:rPr>
                <w:sz w:val="4"/>
                <w:szCs w:val="4"/>
              </w:rPr>
            </w:pPr>
            <w:r>
              <w:rPr>
                <w:sz w:val="4"/>
                <w:szCs w:val="4"/>
              </w:rPr>
            </w:r>
          </w:p>
        </w:tc>
      </w:tr>
      <w:tr>
        <w:trPr/>
        <w:tc>
          <w:tcPr>
            <w:tcW w:w="3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r>
      <w:tr>
        <w:trPr/>
        <w:tc>
          <w:tcPr>
            <w:tcW w:w="3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 </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 </w:t>
              <w:br/>
              <w:t>Change</w:t>
            </w:r>
          </w:p>
        </w:tc>
      </w:tr>
      <w:tr>
        <w:trPr/>
        <w:tc>
          <w:tcPr>
            <w:tcW w:w="382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5557" w:type="dxa"/>
            <w:gridSpan w:val="30"/>
            <w:tcBorders/>
          </w:tcPr>
          <w:p>
            <w:pPr>
              <w:pStyle w:val="TableContents"/>
              <w:bidi w:val="0"/>
              <w:spacing w:before="0" w:after="283"/>
              <w:jc w:val="left"/>
              <w:rPr>
                <w:sz w:val="4"/>
                <w:szCs w:val="4"/>
              </w:rPr>
            </w:pPr>
            <w:r>
              <w:rPr>
                <w:sz w:val="4"/>
                <w:szCs w:val="4"/>
              </w:rPr>
            </w:r>
          </w:p>
        </w:tc>
      </w:tr>
      <w:tr>
        <w:trPr/>
        <w:tc>
          <w:tcPr>
            <w:tcW w:w="382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38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Total Number of Fees from Advisory and Underwriting Client Transactions</w:t>
            </w:r>
            <w:r>
              <w:rPr>
                <w:rFonts w:ascii="Times New Roman;serif" w:hAnsi="Times New Roman;serif"/>
                <w:b w:val="false"/>
                <w:color w:val="000000"/>
                <w:sz w:val="11"/>
              </w:rPr>
              <w:t>(1)</w:t>
            </w:r>
          </w:p>
        </w:tc>
        <w:tc>
          <w:tcPr>
            <w:tcW w:w="5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296 </w:t>
            </w:r>
          </w:p>
        </w:tc>
        <w:tc>
          <w:tcPr>
            <w:tcW w:w="2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245 </w:t>
            </w:r>
          </w:p>
        </w:tc>
        <w:tc>
          <w:tcPr>
            <w:tcW w:w="2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w:t>
            </w:r>
          </w:p>
        </w:tc>
        <w:tc>
          <w:tcPr>
            <w:tcW w:w="3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494 </w:t>
            </w:r>
          </w:p>
        </w:tc>
        <w:tc>
          <w:tcPr>
            <w:tcW w:w="2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386 </w:t>
            </w:r>
          </w:p>
        </w:tc>
        <w:tc>
          <w:tcPr>
            <w:tcW w:w="2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w:t>
            </w:r>
          </w:p>
        </w:tc>
        <w:tc>
          <w:tcPr>
            <w:tcW w:w="4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38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Total Number of Fees of at Least $1 million from Advisory and Underwriting Client Transactions</w:t>
            </w:r>
            <w:r>
              <w:rPr>
                <w:rFonts w:ascii="Times New Roman;serif" w:hAnsi="Times New Roman;serif"/>
                <w:b w:val="false"/>
                <w:color w:val="000000"/>
                <w:sz w:val="11"/>
              </w:rPr>
              <w:t>(1)</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w:t>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280 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206 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w:t>
            </w:r>
          </w:p>
        </w:tc>
        <w:tc>
          <w:tcPr>
            <w:tcW w:w="4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3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Total Number of Underwriting Transactions</w:t>
            </w:r>
            <w:r>
              <w:rPr>
                <w:rFonts w:ascii="Times New Roman;serif" w:hAnsi="Times New Roman;serif"/>
                <w:b w:val="false"/>
                <w:color w:val="000000"/>
                <w:sz w:val="11"/>
              </w:rPr>
              <w:t>(1)</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w:t>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w:t>
            </w:r>
          </w:p>
        </w:tc>
        <w:tc>
          <w:tcPr>
            <w:tcW w:w="4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38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Total Number of Underwriting Transactions as a Bookrunner</w:t>
            </w:r>
            <w:r>
              <w:rPr>
                <w:rFonts w:ascii="Times New Roman;serif" w:hAnsi="Times New Roman;serif"/>
                <w:b w:val="false"/>
                <w:color w:val="000000"/>
                <w:sz w:val="11"/>
              </w:rPr>
              <w:t>(1)</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w:t>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w:t>
            </w:r>
          </w:p>
        </w:tc>
        <w:tc>
          <w:tcPr>
            <w:tcW w:w="4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3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Includes Equity and Debt Underwriting Transactions.</w:t>
            </w:r>
          </w:p>
        </w:tc>
      </w:tr>
    </w:tbl>
    <w:p>
      <w:pPr>
        <w:pStyle w:val="TextBody"/>
        <w:bidi w:val="0"/>
        <w:spacing w:before="0" w:after="0"/>
        <w:jc w:val="left"/>
        <w:rPr/>
      </w:pPr>
      <w:r>
        <w:rPr/>
      </w:r>
    </w:p>
    <w:tbl>
      <w:tblPr>
        <w:tblW w:w="8002" w:type="dxa"/>
        <w:jc w:val="center"/>
        <w:tblInd w:w="0" w:type="dxa"/>
        <w:tblLayout w:type="fixed"/>
        <w:tblCellMar>
          <w:top w:w="28" w:type="dxa"/>
          <w:left w:w="28" w:type="dxa"/>
          <w:bottom w:w="28" w:type="dxa"/>
          <w:right w:w="28" w:type="dxa"/>
        </w:tblCellMar>
      </w:tblPr>
      <w:tblGrid>
        <w:gridCol w:w="1302"/>
        <w:gridCol w:w="1144"/>
        <w:gridCol w:w="1148"/>
        <w:gridCol w:w="265"/>
        <w:gridCol w:w="874"/>
        <w:gridCol w:w="147"/>
        <w:gridCol w:w="147"/>
        <w:gridCol w:w="147"/>
        <w:gridCol w:w="147"/>
        <w:gridCol w:w="265"/>
        <w:gridCol w:w="874"/>
        <w:gridCol w:w="147"/>
        <w:gridCol w:w="147"/>
        <w:gridCol w:w="147"/>
        <w:gridCol w:w="147"/>
        <w:gridCol w:w="205"/>
        <w:gridCol w:w="205"/>
        <w:gridCol w:w="544"/>
      </w:tblGrid>
      <w:tr>
        <w:trPr/>
        <w:tc>
          <w:tcPr>
            <w:tcW w:w="130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of June 30,</w:t>
            </w:r>
          </w:p>
        </w:tc>
      </w:tr>
      <w:tr>
        <w:trPr/>
        <w:tc>
          <w:tcPr>
            <w:tcW w:w="3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 </w:t>
              <w:br/>
              <w:t>Change</w:t>
            </w:r>
          </w:p>
        </w:tc>
      </w:tr>
      <w:tr>
        <w:trPr/>
        <w:tc>
          <w:tcPr>
            <w:tcW w:w="35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Assets Under Management ($ mm)</w:t>
            </w:r>
            <w:r>
              <w:rPr>
                <w:rFonts w:ascii="Times New Roman;serif" w:hAnsi="Times New Roman;serif"/>
                <w:b w:val="false"/>
                <w:color w:val="000000"/>
                <w:sz w:val="11"/>
              </w:rPr>
              <w:t>(1)</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16,225 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14,478 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w:t>
            </w:r>
          </w:p>
        </w:tc>
        <w:tc>
          <w:tcPr>
            <w:tcW w:w="5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3594"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594"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594"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vAlign w:val="center"/>
          </w:tcPr>
          <w:p>
            <w:pPr>
              <w:pStyle w:val="TableContents"/>
              <w:bidi w:val="0"/>
              <w:spacing w:before="0" w:after="283"/>
              <w:jc w:val="left"/>
              <w:rPr>
                <w:sz w:val="4"/>
                <w:szCs w:val="4"/>
              </w:rPr>
            </w:pPr>
            <w:r>
              <w:rPr>
                <w:sz w:val="4"/>
                <w:szCs w:val="4"/>
              </w:rPr>
            </w:r>
          </w:p>
        </w:tc>
        <w:tc>
          <w:tcPr>
            <w:tcW w:w="4408" w:type="dxa"/>
            <w:gridSpan w:val="15"/>
            <w:tcBorders/>
          </w:tcPr>
          <w:p>
            <w:pPr>
              <w:pStyle w:val="TableContents"/>
              <w:bidi w:val="0"/>
              <w:spacing w:before="0" w:after="283"/>
              <w:jc w:val="left"/>
              <w:rPr>
                <w:sz w:val="4"/>
                <w:szCs w:val="4"/>
              </w:rPr>
            </w:pPr>
            <w:r>
              <w:rPr>
                <w:sz w:val="4"/>
                <w:szCs w:val="4"/>
              </w:rPr>
            </w:r>
          </w:p>
        </w:tc>
      </w:tr>
      <w:tr>
        <w:trPr/>
        <w:tc>
          <w:tcPr>
            <w:tcW w:w="3594"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800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Assets Under Management reflect end of period amounts from our consolidated Wealth Management business.</w:t>
            </w:r>
          </w:p>
        </w:tc>
      </w:tr>
      <w:tr>
        <w:trPr/>
        <w:tc>
          <w:tcPr>
            <w:tcW w:w="3594" w:type="dxa"/>
            <w:gridSpan w:val="3"/>
            <w:tcBorders/>
            <w:vAlign w:val="center"/>
          </w:tcPr>
          <w:p>
            <w:pPr>
              <w:pStyle w:val="TableContents"/>
              <w:bidi w:val="0"/>
              <w:spacing w:before="0" w:after="283"/>
              <w:jc w:val="left"/>
              <w:rPr>
                <w:sz w:val="4"/>
                <w:szCs w:val="4"/>
              </w:rPr>
            </w:pPr>
            <w:r>
              <w:rPr>
                <w:sz w:val="4"/>
                <w:szCs w:val="4"/>
              </w:rPr>
            </w:r>
          </w:p>
        </w:tc>
        <w:tc>
          <w:tcPr>
            <w:tcW w:w="4408" w:type="dxa"/>
            <w:gridSpan w:val="15"/>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4"/>
        </w:rPr>
        <w:t xml:space="preserve">Advisory Fees </w:t>
      </w:r>
      <w:r>
        <w:rPr>
          <w:color w:val="000000"/>
        </w:rPr>
        <w:t xml:space="preserve">– </w:t>
      </w:r>
      <w:r>
        <w:rPr>
          <w:rFonts w:ascii="Times New Roman;serif" w:hAnsi="Times New Roman;serif"/>
          <w:b w:val="false"/>
          <w:color w:val="000000"/>
          <w:sz w:val="24"/>
        </w:rPr>
        <w:t>Second quarter Advisory Fees increased $77.8 million, or 11%, year-over-year, and year-to-date Advisory Fees increased $765.2 million, or 61%, year-over-year, reflecting an increase in revenue earned from large transactions and an increase in the number of advisory fees earned during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4"/>
        </w:rPr>
        <w:t xml:space="preserve">Underwriting Fees </w:t>
      </w:r>
      <w:r>
        <w:rPr>
          <w:color w:val="000000"/>
        </w:rPr>
        <w:t xml:space="preserve">– </w:t>
      </w:r>
      <w:r>
        <w:rPr>
          <w:rFonts w:ascii="Times New Roman;serif" w:hAnsi="Times New Roman;serif"/>
          <w:b w:val="false"/>
          <w:color w:val="000000"/>
          <w:sz w:val="24"/>
        </w:rPr>
        <w:t>Second quarter Underwriting Fees increased</w:t>
      </w:r>
      <w:r>
        <w:rPr>
          <w:color w:val="000000"/>
        </w:rPr>
        <w:t xml:space="preserve"> </w:t>
      </w:r>
      <w:r>
        <w:rPr>
          <w:rFonts w:ascii="Times New Roman;serif" w:hAnsi="Times New Roman;serif"/>
          <w:b w:val="false"/>
          <w:color w:val="000000"/>
          <w:sz w:val="24"/>
        </w:rPr>
        <w:t>$64.9 million, or 201%, year-over-year, and year-to-date Underwriting Fees increased $65.7 million, or 76%, year-over-year, reflecting an increase in the number of transactions we participated in during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4"/>
        </w:rPr>
        <w:t xml:space="preserve">Commissions and Related Revenue </w:t>
      </w:r>
      <w:r>
        <w:rPr>
          <w:color w:val="000000"/>
        </w:rPr>
        <w:t xml:space="preserve">– </w:t>
      </w:r>
      <w:r>
        <w:rPr>
          <w:rFonts w:ascii="Times New Roman;serif" w:hAnsi="Times New Roman;serif"/>
          <w:b w:val="false"/>
          <w:color w:val="000000"/>
          <w:sz w:val="24"/>
        </w:rPr>
        <w:t>Second quarter Commissions and Related Revenue increased $5.3 million, or 9%, year-over-year, and year-to-date Commissions and Related Revenue increased $12.8 million, or 11%, year-over-year, primarily reflecting higher trading commissions driven by increased trading volume during 2026.</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i/>
          <w:color w:val="000000"/>
          <w:sz w:val="24"/>
        </w:rPr>
        <w:t xml:space="preserve">Asset Management and Administration Fees </w:t>
      </w:r>
      <w:r>
        <w:rPr>
          <w:color w:val="000000"/>
        </w:rPr>
        <w:t xml:space="preserve">– </w:t>
      </w:r>
      <w:r>
        <w:rPr>
          <w:rFonts w:ascii="Times New Roman;serif" w:hAnsi="Times New Roman;serif"/>
          <w:b w:val="false"/>
          <w:color w:val="000000"/>
          <w:sz w:val="24"/>
        </w:rPr>
        <w:t xml:space="preserve">Second quarter Asset Management and Administration Fees increased $3.0 million, or 14%, year-over-year, driven by an increase in fees from Wealth </w:t>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Management clients, as associated AUM increased 12%, from market appreciation and net inflows. Year-to-date Asset Management and Administration Fees increased $4.6 million, or 11%, year-over-year, driven by an increase in fees from Wealth Management clients, as associated AUM increased 12%, from market appreciation and net inflows.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4"/>
        </w:rPr>
        <w:t xml:space="preserve">Other Revenue, net </w:t>
      </w:r>
      <w:r>
        <w:rPr>
          <w:color w:val="000000"/>
        </w:rPr>
        <w:t xml:space="preserve">– </w:t>
      </w:r>
      <w:r>
        <w:rPr>
          <w:rFonts w:ascii="Times New Roman;serif" w:hAnsi="Times New Roman;serif"/>
          <w:b w:val="false"/>
          <w:color w:val="000000"/>
          <w:sz w:val="24"/>
        </w:rPr>
        <w:t>Second quarter Other Revenue, net, increased $5.4 million, or 22%, year-over-year, primarily reflecting higher performance of our investment funds portfolio, as well as higher interest income resulting from higher average balances in interest-bearing assets, partially offset by an increase in interest expense related to the issuance of new senior notes in July 2025. Year-to-date Other Revenue, net, increased $4.8 million, or 15%, year-over-year, primarily reflecting higher interest income resulting from higher average balances in interest-bearing assets, as well as higher performance of our investment funds portfolio, partially offset by an increase in interest expense related to the issuance of new senior notes in July 2025. The investment funds portfolio is used as an economic hedge against our deferred cash compensation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Expenses</w:t>
      </w:r>
    </w:p>
    <w:tbl>
      <w:tblPr>
        <w:tblW w:w="10205" w:type="dxa"/>
        <w:jc w:val="left"/>
        <w:tblInd w:w="0" w:type="dxa"/>
        <w:tblLayout w:type="fixed"/>
        <w:tblCellMar>
          <w:top w:w="28" w:type="dxa"/>
          <w:left w:w="28" w:type="dxa"/>
          <w:bottom w:w="28" w:type="dxa"/>
          <w:right w:w="28" w:type="dxa"/>
        </w:tblCellMar>
      </w:tblPr>
      <w:tblGrid>
        <w:gridCol w:w="968"/>
        <w:gridCol w:w="634"/>
        <w:gridCol w:w="637"/>
        <w:gridCol w:w="196"/>
        <w:gridCol w:w="736"/>
        <w:gridCol w:w="241"/>
        <w:gridCol w:w="109"/>
        <w:gridCol w:w="109"/>
        <w:gridCol w:w="109"/>
        <w:gridCol w:w="196"/>
        <w:gridCol w:w="736"/>
        <w:gridCol w:w="241"/>
        <w:gridCol w:w="109"/>
        <w:gridCol w:w="109"/>
        <w:gridCol w:w="109"/>
        <w:gridCol w:w="156"/>
        <w:gridCol w:w="156"/>
        <w:gridCol w:w="349"/>
        <w:gridCol w:w="109"/>
        <w:gridCol w:w="109"/>
        <w:gridCol w:w="109"/>
        <w:gridCol w:w="196"/>
        <w:gridCol w:w="871"/>
        <w:gridCol w:w="241"/>
        <w:gridCol w:w="109"/>
        <w:gridCol w:w="109"/>
        <w:gridCol w:w="109"/>
        <w:gridCol w:w="196"/>
        <w:gridCol w:w="871"/>
        <w:gridCol w:w="241"/>
        <w:gridCol w:w="109"/>
        <w:gridCol w:w="109"/>
        <w:gridCol w:w="109"/>
        <w:gridCol w:w="152"/>
        <w:gridCol w:w="152"/>
        <w:gridCol w:w="404"/>
      </w:tblGrid>
      <w:tr>
        <w:trPr/>
        <w:tc>
          <w:tcPr>
            <w:tcW w:w="96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U.S. GAAP</w:t>
            </w:r>
          </w:p>
        </w:tc>
      </w:tr>
      <w:tr>
        <w:trPr/>
        <w:tc>
          <w:tcPr>
            <w:tcW w:w="2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r>
      <w:tr>
        <w:trPr/>
        <w:tc>
          <w:tcPr>
            <w:tcW w:w="2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 </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 </w:t>
              <w:br/>
              <w:t>Change</w:t>
            </w:r>
          </w:p>
        </w:tc>
      </w:tr>
      <w:tr>
        <w:trPr/>
        <w:tc>
          <w:tcPr>
            <w:tcW w:w="2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(dollars in thousands)</w:t>
            </w:r>
          </w:p>
        </w:tc>
      </w:tr>
      <w:tr>
        <w:trPr/>
        <w:tc>
          <w:tcPr>
            <w:tcW w:w="2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Employee Compensation and Benefits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641,791 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548,611 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w:t>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1,545,861 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1,008,436 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w:t>
            </w:r>
          </w:p>
        </w:tc>
        <w:tc>
          <w:tcPr>
            <w:tcW w:w="4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7"/>
              </w:rPr>
            </w:pPr>
            <w:r>
              <w:rPr>
                <w:rFonts w:ascii="Times New Roman;serif" w:hAnsi="Times New Roman;serif"/>
                <w:b w:val="false"/>
                <w:i/>
                <w:color w:val="000000"/>
                <w:sz w:val="17"/>
              </w:rPr>
              <w:t>Compensation Ratio</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64.8 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65.8 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64.9 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66.0 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Non-Compensation Costs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180,517 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134,830 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w:t>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337,299 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258,650 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w:t>
            </w:r>
          </w:p>
        </w:tc>
        <w:tc>
          <w:tcPr>
            <w:tcW w:w="4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7"/>
              </w:rPr>
            </w:pPr>
            <w:r>
              <w:rPr>
                <w:rFonts w:ascii="Times New Roman;serif" w:hAnsi="Times New Roman;serif"/>
                <w:b w:val="false"/>
                <w:i/>
                <w:color w:val="000000"/>
                <w:sz w:val="17"/>
              </w:rPr>
              <w:t>Non-Compensation Ratio</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18.2 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16.2 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14.2 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16.9 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Special Charges, Including Business Realignment Costs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21,315 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21,315 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4"/>
        </w:rPr>
        <w:t xml:space="preserve">Employee Compensation and Benefits </w:t>
      </w:r>
      <w:r>
        <w:rPr>
          <w:color w:val="000000"/>
        </w:rPr>
        <w:t xml:space="preserve">– </w:t>
      </w:r>
      <w:r>
        <w:rPr>
          <w:rFonts w:ascii="Times New Roman;serif" w:hAnsi="Times New Roman;serif"/>
          <w:b w:val="false"/>
          <w:color w:val="000000"/>
          <w:sz w:val="24"/>
        </w:rPr>
        <w:t>Second quarter Employee Compensation and Benefits increased $93.2 million, or 17%, year-over-year, reflecting a compensation ratio of 64.8% for the second quarter of 2026 versus 65.8%</w:t>
      </w:r>
      <w:r>
        <w:rPr>
          <w:color w:val="000000"/>
        </w:rPr>
        <w:t xml:space="preserve"> </w:t>
      </w:r>
      <w:r>
        <w:rPr>
          <w:rFonts w:ascii="Times New Roman;serif" w:hAnsi="Times New Roman;serif"/>
          <w:b w:val="false"/>
          <w:color w:val="000000"/>
          <w:sz w:val="24"/>
        </w:rPr>
        <w:t>for the prior year period. The increase in Employee Compensation and Benefits compared to the prior year period principally reflects higher amortization of prior period deferred compensation awards, higher base salaries and a higher accrual for incentive compensation. Employee Compensation and Benefits for the second quarter of 2026 also includes $7.1 million of costs related to awards granted in conjunction with the acquisition of Robey Warshaw. The Compensation Ratio was also impacted by higher net revenues, as described above, during the current year period compared to the prior year period. Year-to-date Employee Compensation and Benefits increased</w:t>
      </w:r>
      <w:r>
        <w:rPr>
          <w:color w:val="000000"/>
        </w:rPr>
        <w:t xml:space="preserve"> </w:t>
      </w:r>
      <w:r>
        <w:rPr>
          <w:rFonts w:ascii="Times New Roman;serif" w:hAnsi="Times New Roman;serif"/>
          <w:b w:val="false"/>
          <w:color w:val="000000"/>
          <w:sz w:val="24"/>
        </w:rPr>
        <w:t>$537.4 million, or 53%, year-over-year, reflecting a year-to-date compensation ratio of 64.9%</w:t>
      </w:r>
      <w:r>
        <w:rPr>
          <w:color w:val="000000"/>
        </w:rPr>
        <w:t xml:space="preserve"> </w:t>
      </w:r>
      <w:r>
        <w:rPr>
          <w:rFonts w:ascii="Times New Roman;serif" w:hAnsi="Times New Roman;serif"/>
          <w:b w:val="false"/>
          <w:color w:val="000000"/>
          <w:sz w:val="24"/>
        </w:rPr>
        <w:t>versus 66.0% for the prior year period. The increase in Employee Compensation and Benefits compared to the prior year period principally reflects a higher accrual for incentive compensation, higher base salaries and higher amortization of prior period deferred compensation awards. Employee Compensation and Benefits for 2026 also includes $14.2 million of costs related to awards granted in conjunction with the acquisition of Robey Warshaw. The Compensation Ratio was also impacted by higher net revenues, as described above, during the current year period compared to the prior year period. See "Deferred Compensation" for more information.</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i/>
          <w:color w:val="000000"/>
          <w:sz w:val="24"/>
        </w:rPr>
        <w:t xml:space="preserve">Non-Compensation Costs </w:t>
      </w:r>
      <w:r>
        <w:rPr>
          <w:color w:val="000000"/>
        </w:rPr>
        <w:t xml:space="preserve">– </w:t>
      </w:r>
      <w:r>
        <w:rPr>
          <w:rFonts w:ascii="Times New Roman;serif" w:hAnsi="Times New Roman;serif"/>
          <w:b w:val="false"/>
          <w:color w:val="000000"/>
          <w:sz w:val="24"/>
        </w:rPr>
        <w:t xml:space="preserve">Second quarter Non-Compensation Costs increased $45.7 million, or 34%, year-over-year, primarily driven by an increase in travel and related expenses, professional fees, technology and information services and other operating expenses. The increase in travel and related expenses is largely due to higher levels of business activity, elevated travel pricing and increased headcount and the increase in other operating expenses is primarily attributable to an increase in the provision for credit losses. The second quarter Non-Compensation ratio of 18.2% increased from 16.2% </w:t>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compared to the prior year period. The Non-Compensation Ratio was also impacted by higher net revenues, as described above, during the current year period compared to the prior year period. Year-to-date Non-Compensation Costs increased $78.6 million, or 30%, year-over-year, primarily driven by an increase in travel and related expenses, professional fees and technology and information services. The increase in travel and related expenses is largely due to higher levels of business activity, elevated travel pricing and increased headcount and the increase in technology and information services is principally reflecting higher expenses associated with license fees, consulting costs and research services. The year-to-date Non-Compensation ratio of 14.2% decreased from 16.9% compared to the prior year period. The Non-Compensation Ratio was also impacted by higher net revenues, as described above, during the current year period compared to the prior year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4"/>
        </w:rPr>
        <w:t xml:space="preserve">Special Charges, Including Business Realignment Costs </w:t>
      </w:r>
      <w:r>
        <w:rPr>
          <w:color w:val="000000"/>
        </w:rPr>
        <w:t xml:space="preserve">– </w:t>
      </w:r>
      <w:r>
        <w:rPr>
          <w:rFonts w:ascii="Times New Roman;serif" w:hAnsi="Times New Roman;serif"/>
          <w:b w:val="false"/>
          <w:color w:val="000000"/>
          <w:sz w:val="24"/>
        </w:rPr>
        <w:t>Second quarter and year-to-date 2026 Special Charges, Including Business Realignment Costs, reflects an estimated loss provision for non-U.S. employment taxes for prior periods. The Company will continue to review its tax position relating to this matter and will adjust this estimate as appropriate in future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Effective Tax 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second quarter effective tax rate was 27.8% versus 29.3% for the prior year period. The decrease principally reflects an increase in the deduction associated with the appreciation in the Firm's share price upon vesting of employee share-based awards above the original grant price. The year-to-date effective tax rate was 10.5% versus 1.0% for the prior year period. The increase is primarily attributable to the increase in pre-tax income, as well as an increase in non-deductible expenses and state and local apportionment adjustments, partially offset by the deduction associated with the appreciation in the Firm's share price upon vesting of employee share-based awards above the original grant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Selected Financial Data – Adjusted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The following is a discussion of Evercore's consolidated results on an Adjusted basis. See pages 3 and A-2 to A-8 for further information and reconciliations of these metrics to our U.S. GAAP results. See pages A-4 to A-6 for our business segment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Adjusted Net Revenues</w:t>
      </w:r>
    </w:p>
    <w:tbl>
      <w:tblPr>
        <w:tblW w:w="10205" w:type="dxa"/>
        <w:jc w:val="left"/>
        <w:tblInd w:w="0" w:type="dxa"/>
        <w:tblLayout w:type="fixed"/>
        <w:tblCellMar>
          <w:top w:w="28" w:type="dxa"/>
          <w:left w:w="28" w:type="dxa"/>
          <w:bottom w:w="28" w:type="dxa"/>
          <w:right w:w="28" w:type="dxa"/>
        </w:tblCellMar>
      </w:tblPr>
      <w:tblGrid>
        <w:gridCol w:w="961"/>
        <w:gridCol w:w="469"/>
        <w:gridCol w:w="471"/>
        <w:gridCol w:w="219"/>
        <w:gridCol w:w="823"/>
        <w:gridCol w:w="121"/>
        <w:gridCol w:w="120"/>
        <w:gridCol w:w="120"/>
        <w:gridCol w:w="120"/>
        <w:gridCol w:w="219"/>
        <w:gridCol w:w="823"/>
        <w:gridCol w:w="121"/>
        <w:gridCol w:w="120"/>
        <w:gridCol w:w="120"/>
        <w:gridCol w:w="120"/>
        <w:gridCol w:w="207"/>
        <w:gridCol w:w="207"/>
        <w:gridCol w:w="385"/>
        <w:gridCol w:w="120"/>
        <w:gridCol w:w="120"/>
        <w:gridCol w:w="120"/>
        <w:gridCol w:w="216"/>
        <w:gridCol w:w="960"/>
        <w:gridCol w:w="120"/>
        <w:gridCol w:w="120"/>
        <w:gridCol w:w="120"/>
        <w:gridCol w:w="120"/>
        <w:gridCol w:w="216"/>
        <w:gridCol w:w="960"/>
        <w:gridCol w:w="120"/>
        <w:gridCol w:w="120"/>
        <w:gridCol w:w="120"/>
        <w:gridCol w:w="120"/>
        <w:gridCol w:w="167"/>
        <w:gridCol w:w="167"/>
        <w:gridCol w:w="453"/>
      </w:tblGrid>
      <w:tr>
        <w:trPr/>
        <w:tc>
          <w:tcPr>
            <w:tcW w:w="96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Adjusted</w:t>
            </w:r>
          </w:p>
        </w:tc>
      </w:tr>
      <w:tr>
        <w:trPr/>
        <w:tc>
          <w:tcPr>
            <w:tcW w:w="1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r>
      <w:tr>
        <w:trPr/>
        <w:tc>
          <w:tcPr>
            <w:tcW w:w="1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 </w:t>
              <w:br/>
              <w:t>Change</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 </w:t>
              <w:br/>
              <w:t>Change</w:t>
            </w:r>
          </w:p>
        </w:tc>
      </w:tr>
      <w:tr>
        <w:trPr/>
        <w:tc>
          <w:tcPr>
            <w:tcW w:w="1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(dollars in thousands)</w:t>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Banking &amp; Equities:</w:t>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7"/>
              </w:rPr>
              <w:t>Advisory Fees</w:t>
            </w:r>
            <w:r>
              <w:rPr>
                <w:rFonts w:ascii="Times New Roman;serif" w:hAnsi="Times New Roman;serif"/>
                <w:b w:val="false"/>
                <w:color w:val="000000"/>
                <w:sz w:val="11"/>
              </w:rPr>
              <w:t>(1)</w:t>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775,608 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697,755 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w:t>
            </w:r>
          </w:p>
        </w:tc>
        <w:tc>
          <w:tcPr>
            <w:tcW w:w="38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2,020,355 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1,255,066 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w:t>
            </w:r>
          </w:p>
        </w:tc>
        <w:tc>
          <w:tcPr>
            <w:tcW w:w="45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7"/>
              </w:rPr>
              <w:t>Underwriting Fees</w:t>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97,071 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32,206 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w:t>
            </w:r>
          </w:p>
        </w:tc>
        <w:tc>
          <w:tcPr>
            <w:tcW w:w="38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152,139 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86,461 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w:t>
            </w:r>
          </w:p>
        </w:tc>
        <w:tc>
          <w:tcPr>
            <w:tcW w:w="45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7"/>
              </w:rPr>
              <w:t>Commissions and Related Revenue</w:t>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63,535 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58,272 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w:t>
            </w:r>
          </w:p>
        </w:tc>
        <w:tc>
          <w:tcPr>
            <w:tcW w:w="38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126,193 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113,382 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w:t>
            </w:r>
          </w:p>
        </w:tc>
        <w:tc>
          <w:tcPr>
            <w:tcW w:w="45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Management:</w:t>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7"/>
              </w:rPr>
              <w:t>Asset Management and Administration Fees</w:t>
            </w:r>
            <w:r>
              <w:rPr>
                <w:rFonts w:ascii="Times New Roman;serif" w:hAnsi="Times New Roman;serif"/>
                <w:b w:val="false"/>
                <w:color w:val="000000"/>
                <w:sz w:val="11"/>
              </w:rPr>
              <w:t>(2)</w:t>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24,655 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21,488 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38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48,341 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43,388 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w:t>
            </w:r>
          </w:p>
        </w:tc>
        <w:tc>
          <w:tcPr>
            <w:tcW w:w="45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Revenue, net</w:t>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38,646 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29,134 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w:t>
            </w:r>
          </w:p>
        </w:tc>
        <w:tc>
          <w:tcPr>
            <w:tcW w:w="38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54,007 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40,459 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w:t>
            </w:r>
          </w:p>
        </w:tc>
        <w:tc>
          <w:tcPr>
            <w:tcW w:w="45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Revenues</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999,515 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838,855 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w:t>
            </w:r>
          </w:p>
        </w:tc>
        <w:tc>
          <w:tcPr>
            <w:tcW w:w="38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2,401,035 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1,538,756 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w:t>
            </w:r>
          </w:p>
        </w:tc>
        <w:tc>
          <w:tcPr>
            <w:tcW w:w="45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1.Advisory Fees on an Adjusted basis reflect the reclassification of earnings (losses) related to our equity method investment in Seneca Evercore of $0.02 million and $0.03 million for the three and six months ended June 30, 2026, respectively, and $0.01 million and ($0.03) million for the three and six months ended June 30, 2025, respectively.</w:t>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8304" w:type="dxa"/>
            <w:gridSpan w:val="33"/>
            <w:tcBorders/>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2.Asset Management and Administration Fees on an Adjusted basis reflect the reclassification of earnings related to our equity method investment in Atalanta Sosnoff of $1.0 million and $2.0 million for the three and six months ended June 30, 2026, respectively, and $0.8 million and $1.7 million for the three and six months ended June 30, 2025, respectively.</w:t>
            </w:r>
          </w:p>
        </w:tc>
      </w:tr>
      <w:tr>
        <w:trPr/>
        <w:tc>
          <w:tcPr>
            <w:tcW w:w="1901" w:type="dxa"/>
            <w:gridSpan w:val="3"/>
            <w:tcBorders/>
            <w:vAlign w:val="center"/>
          </w:tcPr>
          <w:p>
            <w:pPr>
              <w:pStyle w:val="TableContents"/>
              <w:bidi w:val="0"/>
              <w:spacing w:before="0" w:after="283"/>
              <w:jc w:val="left"/>
              <w:rPr>
                <w:sz w:val="4"/>
                <w:szCs w:val="4"/>
              </w:rPr>
            </w:pPr>
            <w:r>
              <w:rPr>
                <w:sz w:val="4"/>
                <w:szCs w:val="4"/>
              </w:rPr>
            </w:r>
          </w:p>
        </w:tc>
        <w:tc>
          <w:tcPr>
            <w:tcW w:w="8304" w:type="dxa"/>
            <w:gridSpan w:val="33"/>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See page 4 for additional business metrics.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4"/>
        </w:rPr>
        <w:t xml:space="preserve">Advisory Fees </w:t>
      </w:r>
      <w:r>
        <w:rPr>
          <w:color w:val="000000"/>
        </w:rPr>
        <w:t xml:space="preserve">– </w:t>
      </w:r>
      <w:r>
        <w:rPr>
          <w:rFonts w:ascii="Times New Roman;serif" w:hAnsi="Times New Roman;serif"/>
          <w:b w:val="false"/>
          <w:color w:val="000000"/>
          <w:sz w:val="24"/>
        </w:rPr>
        <w:t>Second quarter adjusted Advisory Fees increased $77.9 million, or 11%, year-over-year, and year-to-date adjusted Advisory Fees increased</w:t>
      </w:r>
      <w:r>
        <w:rPr>
          <w:color w:val="000000"/>
        </w:rPr>
        <w:t xml:space="preserve"> </w:t>
      </w:r>
      <w:r>
        <w:rPr>
          <w:rFonts w:ascii="Times New Roman;serif" w:hAnsi="Times New Roman;serif"/>
          <w:b w:val="false"/>
          <w:color w:val="000000"/>
          <w:sz w:val="24"/>
        </w:rPr>
        <w:t>$765.3 million, or 61%, year-over-year, reflecting an increase in revenue earned from large transactions and an increase in the number of advisory fees earned during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4"/>
        </w:rPr>
        <w:t xml:space="preserve">Underwriting Fees </w:t>
      </w:r>
      <w:r>
        <w:rPr>
          <w:color w:val="000000"/>
        </w:rPr>
        <w:t xml:space="preserve">– </w:t>
      </w:r>
      <w:r>
        <w:rPr>
          <w:rFonts w:ascii="Times New Roman;serif" w:hAnsi="Times New Roman;serif"/>
          <w:b w:val="false"/>
          <w:color w:val="000000"/>
          <w:sz w:val="24"/>
        </w:rPr>
        <w:t>Second quarter Underwriting Fees increased $64.9 million, or 201%, year-over-year, and year-to-date Underwriting Fees increased $65.7 million, or 76%, year-over-year, reflecting an increase in the number of transactions we participated in during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4"/>
        </w:rPr>
        <w:t xml:space="preserve">Commissions and Related Revenue </w:t>
      </w:r>
      <w:r>
        <w:rPr>
          <w:color w:val="000000"/>
        </w:rPr>
        <w:t xml:space="preserve">– </w:t>
      </w:r>
      <w:r>
        <w:rPr>
          <w:rFonts w:ascii="Times New Roman;serif" w:hAnsi="Times New Roman;serif"/>
          <w:b w:val="false"/>
          <w:color w:val="000000"/>
          <w:sz w:val="24"/>
        </w:rPr>
        <w:t>Second quarter Commissions and Related Revenue increased $5.3 million, or 9%, year-over-year, and year-to-date Commissions and Related Revenue increased $12.8 million, or 11%, year-over-year, primarily reflecting higher trading commissions driven by increased trading volume during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4"/>
        </w:rPr>
        <w:t xml:space="preserve">Asset Management and Administration Fees </w:t>
      </w:r>
      <w:r>
        <w:rPr>
          <w:color w:val="000000"/>
        </w:rPr>
        <w:t xml:space="preserve">– </w:t>
      </w:r>
      <w:r>
        <w:rPr>
          <w:rFonts w:ascii="Times New Roman;serif" w:hAnsi="Times New Roman;serif"/>
          <w:b w:val="false"/>
          <w:color w:val="000000"/>
          <w:sz w:val="24"/>
        </w:rPr>
        <w:t>Second quarter adjusted Asset Management and Administration Fees increased $3.2 million, or 15%, year-over-year, primarily driven by an increase in fees from Wealth Management clients, as associated AUM increased 12%, from market appreciation and net inflows. The increase was also driven by a 24% increase in equity in earnings of affiliates. Year-to-date adjusted Asset Management and Administration Fees increased $5.0 million, or 11%, year-over-year, primarily driven by an increase in fees from Wealth Management clients, as associated AUM increased 12%, from market appreciation and net inflows. The increase was also driven by a 19% increase in equity in earnings of affiliates.</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i/>
          <w:color w:val="000000"/>
          <w:sz w:val="24"/>
        </w:rPr>
        <w:t xml:space="preserve">Other Revenue, net </w:t>
      </w:r>
      <w:r>
        <w:rPr>
          <w:color w:val="000000"/>
        </w:rPr>
        <w:t xml:space="preserve">– </w:t>
      </w:r>
      <w:r>
        <w:rPr>
          <w:rFonts w:ascii="Times New Roman;serif" w:hAnsi="Times New Roman;serif"/>
          <w:b w:val="false"/>
          <w:color w:val="000000"/>
          <w:sz w:val="24"/>
        </w:rPr>
        <w:t xml:space="preserve">Second quarter adjusted Other Revenue, net, increased $9.5 million, or 33%, year-over-year, primarily reflecting higher performance of our investment funds portfolio, as well as higher </w:t>
      </w: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interest income resulting from higher average balances in interest-bearing assets. Year-to-date adjusted Other Revenue, net, increased $13.5 million, or 33%, year-over-year, primarily reflecting higher interest income resulting from higher average balances in interest-bearing assets, as well as higher performance of our investment funds portfolio. The investment funds portfolio is used as an economic hedge against our deferred cash compensation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Adjusted Expenses</w:t>
      </w:r>
    </w:p>
    <w:tbl>
      <w:tblPr>
        <w:tblW w:w="10205" w:type="dxa"/>
        <w:jc w:val="left"/>
        <w:tblInd w:w="0" w:type="dxa"/>
        <w:tblLayout w:type="fixed"/>
        <w:tblCellMar>
          <w:top w:w="28" w:type="dxa"/>
          <w:left w:w="28" w:type="dxa"/>
          <w:bottom w:w="28" w:type="dxa"/>
          <w:right w:w="28" w:type="dxa"/>
        </w:tblCellMar>
      </w:tblPr>
      <w:tblGrid>
        <w:gridCol w:w="903"/>
        <w:gridCol w:w="667"/>
        <w:gridCol w:w="669"/>
        <w:gridCol w:w="196"/>
        <w:gridCol w:w="736"/>
        <w:gridCol w:w="241"/>
        <w:gridCol w:w="109"/>
        <w:gridCol w:w="109"/>
        <w:gridCol w:w="109"/>
        <w:gridCol w:w="196"/>
        <w:gridCol w:w="736"/>
        <w:gridCol w:w="241"/>
        <w:gridCol w:w="109"/>
        <w:gridCol w:w="109"/>
        <w:gridCol w:w="109"/>
        <w:gridCol w:w="156"/>
        <w:gridCol w:w="156"/>
        <w:gridCol w:w="349"/>
        <w:gridCol w:w="109"/>
        <w:gridCol w:w="109"/>
        <w:gridCol w:w="109"/>
        <w:gridCol w:w="196"/>
        <w:gridCol w:w="871"/>
        <w:gridCol w:w="241"/>
        <w:gridCol w:w="109"/>
        <w:gridCol w:w="109"/>
        <w:gridCol w:w="109"/>
        <w:gridCol w:w="196"/>
        <w:gridCol w:w="871"/>
        <w:gridCol w:w="241"/>
        <w:gridCol w:w="109"/>
        <w:gridCol w:w="109"/>
        <w:gridCol w:w="109"/>
        <w:gridCol w:w="152"/>
        <w:gridCol w:w="152"/>
        <w:gridCol w:w="404"/>
      </w:tblGrid>
      <w:tr>
        <w:trPr/>
        <w:tc>
          <w:tcPr>
            <w:tcW w:w="90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Adjusted</w:t>
            </w:r>
          </w:p>
        </w:tc>
      </w:tr>
      <w:tr>
        <w:trPr/>
        <w:tc>
          <w:tcPr>
            <w:tcW w:w="2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r>
      <w:tr>
        <w:trPr/>
        <w:tc>
          <w:tcPr>
            <w:tcW w:w="2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 </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 </w:t>
              <w:br/>
              <w:t>Change</w:t>
            </w:r>
          </w:p>
        </w:tc>
      </w:tr>
      <w:tr>
        <w:trPr/>
        <w:tc>
          <w:tcPr>
            <w:tcW w:w="2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(dollars in thousands)</w:t>
            </w:r>
          </w:p>
        </w:tc>
      </w:tr>
      <w:tr>
        <w:trPr/>
        <w:tc>
          <w:tcPr>
            <w:tcW w:w="223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r>
      <w:tr>
        <w:trPr/>
        <w:tc>
          <w:tcPr>
            <w:tcW w:w="2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Employee Compensation and Benefits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634,647 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548,611 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1,531,631 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1,008,436 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w:t>
            </w:r>
          </w:p>
        </w:tc>
        <w:tc>
          <w:tcPr>
            <w:tcW w:w="4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7"/>
              </w:rPr>
            </w:pPr>
            <w:r>
              <w:rPr>
                <w:rFonts w:ascii="Times New Roman;serif" w:hAnsi="Times New Roman;serif"/>
                <w:b w:val="false"/>
                <w:i/>
                <w:color w:val="000000"/>
                <w:sz w:val="17"/>
              </w:rPr>
              <w:t>Compensation Ratio</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63.5 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65.4 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63.8 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65.5 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Non-Compensation Costs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175,192 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133,193 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w:t>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325,241 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257,013 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w:t>
            </w:r>
          </w:p>
        </w:tc>
        <w:tc>
          <w:tcPr>
            <w:tcW w:w="4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7"/>
              </w:rPr>
            </w:pPr>
            <w:r>
              <w:rPr>
                <w:rFonts w:ascii="Times New Roman;serif" w:hAnsi="Times New Roman;serif"/>
                <w:b w:val="false"/>
                <w:i/>
                <w:color w:val="000000"/>
                <w:sz w:val="17"/>
              </w:rPr>
              <w:t>Non-Compensation Ratio</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17.5 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15.9 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13.5 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16.7 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7"/>
              </w:rPr>
            </w:pPr>
            <w:r>
              <w:rPr>
                <w:rFonts w:ascii="Times New Roman;serif" w:hAnsi="Times New Roman;serif"/>
                <w:b w:val="false"/>
                <w:i/>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4"/>
        </w:rPr>
        <w:t xml:space="preserve">Employee Compensation and Benefits </w:t>
      </w:r>
      <w:r>
        <w:rPr>
          <w:color w:val="000000"/>
        </w:rPr>
        <w:t xml:space="preserve">– </w:t>
      </w:r>
      <w:r>
        <w:rPr>
          <w:rFonts w:ascii="Times New Roman;serif" w:hAnsi="Times New Roman;serif"/>
          <w:b w:val="false"/>
          <w:color w:val="000000"/>
          <w:sz w:val="24"/>
        </w:rPr>
        <w:t>Second quarter adjusted Employee Compensation and Benefits increased $86.0 million, or 16%, year-over-year, reflecting an adjusted compensation ratio of 63.5% for the second quarter of 2026 versus 65.4% for the prior year period. The increase in adjusted Employee Compensation and Benefits compared to the prior year period principally reflects higher amortization of prior period deferred compensation awards, higher base salaries and a higher accrual for incentive compensation. The adjusted Compensation Ratio was also impacted by higher net revenues, as described above, during the current year period compared to the prior year period. Year-to-date adjusted Employee Compensation and Benefits increased</w:t>
      </w:r>
      <w:r>
        <w:rPr>
          <w:color w:val="000000"/>
        </w:rPr>
        <w:t xml:space="preserve"> </w:t>
      </w:r>
      <w:r>
        <w:rPr>
          <w:rFonts w:ascii="Times New Roman;serif" w:hAnsi="Times New Roman;serif"/>
          <w:b w:val="false"/>
          <w:color w:val="000000"/>
          <w:sz w:val="24"/>
        </w:rPr>
        <w:t>$523.2 million, or 52%, year-over-year, reflecting a year-to-date adjusted compensation ratio of 63.8% versus 65.5% for the prior year period. The increase in adjusted Employee Compensation and Benefits compared to the prior year period principally reflects a higher accrual for incentive compensation, higher base salaries and higher amortization of prior period deferred compensation awards. The adjusted Compensation Ratio was also impacted by higher net revenues, as described above, during the current year period compared to the prior year period. See "Deferred Compensation" for more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4"/>
        </w:rPr>
        <w:t xml:space="preserve">Non-Compensation Costs </w:t>
      </w:r>
      <w:r>
        <w:rPr>
          <w:color w:val="000000"/>
        </w:rPr>
        <w:t xml:space="preserve">– </w:t>
      </w:r>
      <w:r>
        <w:rPr>
          <w:rFonts w:ascii="Times New Roman;serif" w:hAnsi="Times New Roman;serif"/>
          <w:b w:val="false"/>
          <w:color w:val="000000"/>
          <w:sz w:val="24"/>
        </w:rPr>
        <w:t>Second quarter adjusted Non-Compensation Costs increased $42.0 million, or 32%, year-over-year, primarily driven by an increase in travel and related expenses, professional fees, technology and information services and other operating expenses. The increase in travel and related expenses is largely due to higher levels of business activity, elevated travel pricing and increased headcount and the increase in other operating expenses is primarily attributable to an increase in the provision for credit losses. The second quarter adjusted Non-Compensation ratio of 17.5% increased from 15.9% compared to the prior year period. The adjusted Non-Compensation Ratio was also impacted by higher net revenues, as described above, during the current year period compared to the prior year period. Year-to-date adjusted Non-Compensation Costs increased $68.2 million, or 27%, year-over-year, primarily driven by an increase in travel and related expenses, professional fees and technology and information services. The increase in travel and related expenses is largely due to higher levels of business activity, elevated travel pricing and increased headcount and the increase in technology and information services is principally reflecting higher expenses associated with license fees, consulting costs and research services. The year-to-date adjusted Non-Compensation ratio of 13.5% decreased from 16.7% compared to the prior year period. The adjusted Non-Compensation Ratio was also impacted by higher net revenues, as described above, during the current year period compared to the prior year period.</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11"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Adjusted Effective Tax 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second quarter adjusted effective tax rate was 29.4% versus 30.0% for the prior year period. The decrease principally reflects an increase in the deduction associated with the appreciation in the Firm's share price upon vesting of employee share-based awards above the original grant price. The year-to-date adjusted effective tax rate was 12.1% versus 0.5% for the prior year period. The increase is primarily attributable to the increase in pre-tax income, as well as an increase in non-deductible expenses and state and local apportionment adjustments, partially offset by the deduction associated with the appreciation in the Firm's share price upon vesting of employee share-based awards above the original grant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12" name="Frame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Liquidity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continues to maintain a strong balance sheet. As of June 30, 2026, cash and cash equivalents were $1.3 billion, investment securities and certificates of deposit were $1.1 billion and current assets exceeded current liabilities by $1.9 billion. Amounts due related to the Notes Payable were $540.0 million at June 30, 2026.</w:t>
      </w:r>
    </w:p>
    <w:p>
      <w:pPr>
        <w:pStyle w:val="TextBody"/>
        <w:bidi w:val="0"/>
        <w:spacing w:before="0" w:after="0"/>
        <w:jc w:val="both"/>
        <w:rPr/>
      </w:pPr>
      <w:r>
        <w:rPr/>
      </w:r>
    </w:p>
    <w:p>
      <w:pPr>
        <w:pStyle w:val="TextBody"/>
        <w:bidi w:val="0"/>
        <w:spacing w:lineRule="auto" w:line="283" w:before="0" w:after="0"/>
        <w:jc w:val="both"/>
        <w:rPr>
          <w:rFonts w:ascii="Times New Roman;serif" w:hAnsi="Times New Roman;serif"/>
          <w:b/>
          <w:color w:val="000000"/>
          <w:sz w:val="24"/>
          <w:u w:val="single"/>
        </w:rPr>
      </w:pPr>
      <w:r>
        <w:rPr>
          <w:rFonts w:ascii="Times New Roman;serif" w:hAnsi="Times New Roman;serif"/>
          <w:b/>
          <w:color w:val="000000"/>
          <w:sz w:val="24"/>
          <w:u w:val="single"/>
        </w:rPr>
        <w:t>Headcount</w:t>
      </w:r>
    </w:p>
    <w:p>
      <w:pPr>
        <w:pStyle w:val="TextBody"/>
        <w:bidi w:val="0"/>
        <w:spacing w:before="0" w:after="0"/>
        <w:jc w:val="both"/>
        <w:rPr/>
      </w:pPr>
      <w:r>
        <w:rPr/>
      </w:r>
    </w:p>
    <w:p>
      <w:pPr>
        <w:pStyle w:val="TextBody"/>
        <w:bidi w:val="0"/>
        <w:spacing w:lineRule="auto" w:line="283" w:before="0" w:after="0"/>
        <w:jc w:val="both"/>
        <w:rPr>
          <w:rFonts w:ascii="Times New Roman;serif" w:hAnsi="Times New Roman;serif"/>
          <w:b w:val="false"/>
          <w:color w:val="000000"/>
          <w:sz w:val="24"/>
        </w:rPr>
      </w:pPr>
      <w:r>
        <w:rPr>
          <w:rFonts w:ascii="Times New Roman;serif" w:hAnsi="Times New Roman;serif"/>
          <w:b w:val="false"/>
          <w:color w:val="000000"/>
          <w:sz w:val="24"/>
        </w:rPr>
        <w:t>As of June 30, 2026 and 2025, the Company employed approximately 2,715 and 2,455 people, respectively, worldwide.</w:t>
      </w:r>
    </w:p>
    <w:p>
      <w:pPr>
        <w:pStyle w:val="TextBody"/>
        <w:bidi w:val="0"/>
        <w:spacing w:before="0" w:after="0"/>
        <w:jc w:val="both"/>
        <w:rPr/>
      </w:pPr>
      <w:r>
        <w:rPr/>
      </w:r>
    </w:p>
    <w:p>
      <w:pPr>
        <w:pStyle w:val="TextBody"/>
        <w:bidi w:val="0"/>
        <w:spacing w:lineRule="auto" w:line="283" w:before="0" w:after="0"/>
        <w:jc w:val="both"/>
        <w:rPr/>
      </w:pPr>
      <w:r>
        <w:rPr>
          <w:rFonts w:ascii="Times New Roman;serif" w:hAnsi="Times New Roman;serif"/>
          <w:b w:val="false"/>
          <w:color w:val="000000"/>
          <w:sz w:val="24"/>
        </w:rPr>
        <w:t>As of June 30, 2026 and 2025, the Company employed 230</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and 197</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total Investment Banking &amp; Equities Senior Managing Directors, respectively, of which 188</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and 159</w:t>
      </w:r>
      <w:r>
        <w:rPr>
          <w:rFonts w:ascii="Times New Roman;serif" w:hAnsi="Times New Roman;serif"/>
          <w:b w:val="false"/>
          <w:color w:val="000000"/>
          <w:sz w:val="16"/>
        </w:rPr>
        <w:t>(2)</w:t>
      </w:r>
      <w:r>
        <w:rPr>
          <w:rFonts w:ascii="Times New Roman;serif" w:hAnsi="Times New Roman;serif"/>
          <w:b w:val="false"/>
          <w:color w:val="000000"/>
          <w:sz w:val="24"/>
        </w:rPr>
        <w:t>, respectively, were Investment Banking Senior Managing Directors.</w:t>
      </w:r>
    </w:p>
    <w:p>
      <w:pPr>
        <w:pStyle w:val="TextBody"/>
        <w:bidi w:val="0"/>
        <w:spacing w:before="0" w:after="0"/>
        <w:jc w:val="both"/>
        <w:rPr/>
      </w:pPr>
      <w:r>
        <w:rPr/>
      </w:r>
    </w:p>
    <w:p>
      <w:pPr>
        <w:pStyle w:val="TextBody"/>
        <w:bidi w:val="0"/>
        <w:spacing w:lineRule="auto" w:line="283" w:before="0" w:after="0"/>
        <w:ind w:left="0" w:right="0" w:hanging="18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Senior Managing Director headcount as of June 30, 2026, inclusive of new hires that have joined year-to-date and additionally adjusted to include eight incoming Investment Banking Senior Managing Directors committed to join and to exclude for two known departures.</w:t>
      </w:r>
    </w:p>
    <w:p>
      <w:pPr>
        <w:pStyle w:val="TextBody"/>
        <w:bidi w:val="0"/>
        <w:spacing w:lineRule="auto" w:line="283" w:before="0" w:after="0"/>
        <w:ind w:left="0" w:right="0" w:hanging="18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Senior Managing Director headcount as of June 30, 2025, inclusive of new hires that have joined year-to-date and additionally adjusted to include five incoming Investment Banking Senior Managing Directors committed to join and to exclude for two known departures.</w:t>
      </w:r>
    </w:p>
    <w:p>
      <w:pPr>
        <w:pStyle w:val="TextBody"/>
        <w:bidi w:val="0"/>
        <w:spacing w:before="0" w:after="0"/>
        <w:jc w:val="both"/>
        <w:rPr/>
      </w:pPr>
      <w:r>
        <w:rPr/>
      </w:r>
    </w:p>
    <w:p>
      <w:pPr>
        <w:pStyle w:val="TextBody"/>
        <w:bidi w:val="0"/>
        <w:spacing w:lineRule="auto" w:line="283" w:before="0" w:after="0"/>
        <w:jc w:val="both"/>
        <w:rPr>
          <w:rFonts w:ascii="Times New Roman;serif" w:hAnsi="Times New Roman;serif"/>
          <w:b/>
          <w:color w:val="000000"/>
          <w:sz w:val="24"/>
          <w:u w:val="single"/>
        </w:rPr>
      </w:pPr>
      <w:r>
        <w:rPr>
          <w:rFonts w:ascii="Times New Roman;serif" w:hAnsi="Times New Roman;serif"/>
          <w:b/>
          <w:color w:val="000000"/>
          <w:sz w:val="24"/>
          <w:u w:val="single"/>
        </w:rPr>
        <w:t>Deferred Compensation</w:t>
      </w:r>
    </w:p>
    <w:p>
      <w:pPr>
        <w:pStyle w:val="TextBody"/>
        <w:bidi w:val="0"/>
        <w:spacing w:before="0" w:after="0"/>
        <w:jc w:val="both"/>
        <w:rPr/>
      </w:pPr>
      <w:r>
        <w:rPr/>
      </w:r>
    </w:p>
    <w:p>
      <w:pPr>
        <w:pStyle w:val="TextBody"/>
        <w:bidi w:val="0"/>
        <w:spacing w:lineRule="auto" w:line="283"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Year-to-date, the Company granted to certain employees 1.7 million unvested restricted stock units ("RSUs") (of which 1.6 million were granted in conjunction with the 2025 bonus awards) with a grant date fair value of $553.0 million. </w:t>
      </w:r>
    </w:p>
    <w:p>
      <w:pPr>
        <w:pStyle w:val="TextBody"/>
        <w:bidi w:val="0"/>
        <w:spacing w:before="0" w:after="0"/>
        <w:jc w:val="both"/>
        <w:rPr/>
      </w:pPr>
      <w:r>
        <w:rPr/>
      </w:r>
    </w:p>
    <w:p>
      <w:pPr>
        <w:pStyle w:val="TextBody"/>
        <w:bidi w:val="0"/>
        <w:spacing w:lineRule="auto" w:line="283" w:before="0" w:after="0"/>
        <w:jc w:val="both"/>
        <w:rPr>
          <w:rFonts w:ascii="Times New Roman;serif" w:hAnsi="Times New Roman;serif"/>
          <w:b w:val="false"/>
          <w:color w:val="000000"/>
          <w:sz w:val="24"/>
        </w:rPr>
      </w:pPr>
      <w:r>
        <w:rPr>
          <w:rFonts w:ascii="Times New Roman;serif" w:hAnsi="Times New Roman;serif"/>
          <w:b w:val="false"/>
          <w:color w:val="000000"/>
          <w:sz w:val="24"/>
        </w:rPr>
        <w:t>In addition, year-to-date, the Company granted $100.1 million of deferred cash awards to certain employees, related to our deferred cash compensation program, which were primarily granted in conjunction with the 2025 bonus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recognized compensation expense related to RSUs and our deferred cash compensation program of $174.0 million and $316.3 million for the three and six months ended June 30, 2026, respectively, and $141.8 million and $263.9 million for the three and six months ended June 30, 2025,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 of June 30, 2026, the Company had 4.4 million unvested RSUs with an aggregate grant date fair value of $1.1 billion. RSUs are expensed over the service period of the award, subject to retirement eligibility, and generally vest over four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 of June 30, 2026, the Company expects to pay an aggregate of $318.5 million related to our deferred cash compensation program at various dates through 2030. Amounts due pursuant to this program are expensed over the service period of the award, subject to retirement eligibility, and amounts accrued are reflected in Accrued Compensation and Benefits, a component of current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addition, from time to time, the Company also grants cash and equity-based performance awards to certain employees, the settlement of which is dependent on the performance criteria being achieved.</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3"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3" w:before="0" w:after="0"/>
        <w:jc w:val="both"/>
        <w:rPr>
          <w:rFonts w:ascii="Times New Roman;serif" w:hAnsi="Times New Roman;serif"/>
          <w:b/>
          <w:color w:val="000000"/>
          <w:sz w:val="24"/>
          <w:u w:val="single"/>
        </w:rPr>
      </w:pPr>
      <w:r>
        <w:rPr>
          <w:rFonts w:ascii="Times New Roman;serif" w:hAnsi="Times New Roman;serif"/>
          <w:b/>
          <w:color w:val="000000"/>
          <w:sz w:val="24"/>
          <w:u w:val="single"/>
        </w:rPr>
        <w:t>Capital Return Transactions</w:t>
      </w:r>
    </w:p>
    <w:p>
      <w:pPr>
        <w:pStyle w:val="TextBody"/>
        <w:bidi w:val="0"/>
        <w:spacing w:before="0" w:after="0"/>
        <w:jc w:val="both"/>
        <w:rPr/>
      </w:pPr>
      <w:r>
        <w:rPr/>
      </w:r>
    </w:p>
    <w:p>
      <w:pPr>
        <w:pStyle w:val="TextBody"/>
        <w:bidi w:val="0"/>
        <w:spacing w:lineRule="auto" w:line="283" w:before="0" w:after="0"/>
        <w:jc w:val="both"/>
        <w:rPr>
          <w:rFonts w:ascii="Times New Roman;serif" w:hAnsi="Times New Roman;serif"/>
          <w:b w:val="false"/>
          <w:color w:val="000000"/>
          <w:sz w:val="24"/>
        </w:rPr>
      </w:pPr>
      <w:r>
        <w:rPr>
          <w:rFonts w:ascii="Times New Roman;serif" w:hAnsi="Times New Roman;serif"/>
          <w:b w:val="false"/>
          <w:color w:val="000000"/>
          <w:sz w:val="24"/>
        </w:rPr>
        <w:t>On July 28, 2026, the Board of Directors of Evercore declared a quarterly dividend of $0.89 per share to be paid on September 11, 2026 to common stockholders of record on August 28, 2026.</w:t>
      </w:r>
    </w:p>
    <w:p>
      <w:pPr>
        <w:pStyle w:val="TextBody"/>
        <w:bidi w:val="0"/>
        <w:spacing w:before="0" w:after="0"/>
        <w:jc w:val="both"/>
        <w:rPr/>
      </w:pPr>
      <w:r>
        <w:rPr/>
      </w:r>
    </w:p>
    <w:p>
      <w:pPr>
        <w:pStyle w:val="TextBody"/>
        <w:bidi w:val="0"/>
        <w:spacing w:lineRule="auto" w:line="283" w:before="0" w:after="0"/>
        <w:jc w:val="both"/>
        <w:rPr>
          <w:rFonts w:ascii="Times New Roman;serif" w:hAnsi="Times New Roman;serif"/>
          <w:b w:val="false"/>
          <w:color w:val="000000"/>
          <w:sz w:val="24"/>
        </w:rPr>
      </w:pPr>
      <w:r>
        <w:rPr>
          <w:rFonts w:ascii="Times New Roman;serif" w:hAnsi="Times New Roman;serif"/>
          <w:b w:val="false"/>
          <w:color w:val="000000"/>
          <w:sz w:val="24"/>
        </w:rPr>
        <w:t>During the second quarter, the Company repurchased 30 thousand shares from employees for the net settlement of stock-based compensation awards at an average price per share of $319.61, and 0.3 million shares at an average price per share of $341.83 pursuant to the Company's share repurchase program. The aggregate 0.3 million shares were acquired at an average price per share of $339.79. Year-to-date, the Company repurchased 1.0 million shares from employees for the net settlement of stock-based compensation awards at an average price per share of $343.89, and 1.3 million shares at an average price per share of $311.03 pursuant to the Company's share repurchase program. The aggregate 2.3 million shares were acquired at an average price per share of $324.60.</w:t>
      </w:r>
    </w:p>
    <w:p>
      <w:pPr>
        <w:pStyle w:val="TextBody"/>
        <w:bidi w:val="0"/>
        <w:spacing w:before="0" w:after="0"/>
        <w:jc w:val="both"/>
        <w:rPr/>
      </w:pPr>
      <w:r>
        <w:rPr/>
      </w:r>
    </w:p>
    <w:p>
      <w:pPr>
        <w:pStyle w:val="TextBody"/>
        <w:bidi w:val="0"/>
        <w:spacing w:lineRule="auto" w:line="283" w:before="0" w:after="0"/>
        <w:jc w:val="both"/>
        <w:rPr>
          <w:rFonts w:ascii="Times New Roman;serif" w:hAnsi="Times New Roman;serif"/>
          <w:b/>
          <w:color w:val="000000"/>
          <w:sz w:val="24"/>
          <w:u w:val="single"/>
        </w:rPr>
      </w:pPr>
      <w:r>
        <w:rPr>
          <w:rFonts w:ascii="Times New Roman;serif" w:hAnsi="Times New Roman;serif"/>
          <w:b/>
          <w:color w:val="000000"/>
          <w:sz w:val="24"/>
          <w:u w:val="single"/>
        </w:rPr>
        <w:t>Conference Call</w:t>
      </w:r>
    </w:p>
    <w:p>
      <w:pPr>
        <w:pStyle w:val="TextBody"/>
        <w:bidi w:val="0"/>
        <w:spacing w:before="0" w:after="0"/>
        <w:jc w:val="both"/>
        <w:rPr/>
      </w:pPr>
      <w:r>
        <w:rPr/>
      </w:r>
    </w:p>
    <w:p>
      <w:pPr>
        <w:pStyle w:val="TextBody"/>
        <w:bidi w:val="0"/>
        <w:spacing w:lineRule="auto" w:line="283" w:before="0" w:after="0"/>
        <w:jc w:val="both"/>
        <w:rPr>
          <w:rFonts w:ascii="Times New Roman;serif" w:hAnsi="Times New Roman;serif"/>
          <w:b w:val="false"/>
          <w:color w:val="000000"/>
          <w:sz w:val="24"/>
        </w:rPr>
      </w:pPr>
      <w:r>
        <w:rPr>
          <w:rFonts w:ascii="Times New Roman;serif" w:hAnsi="Times New Roman;serif"/>
          <w:b w:val="false"/>
          <w:color w:val="000000"/>
          <w:sz w:val="24"/>
        </w:rPr>
        <w:t>Evercore will host a related conference call beginning at 8:00 a.m. Eastern Time, Wednesday, July 29, 2026, accessible via telephone and webcast. Investors and analysts may participate in the live conference call by dialing (833) 419-0865 (toll-free domestic) or (785) 838-9333 (international); passcode: EVRQ226. Please register at least 10 minutes before the conference call begins.</w:t>
      </w:r>
    </w:p>
    <w:p>
      <w:pPr>
        <w:pStyle w:val="TextBody"/>
        <w:bidi w:val="0"/>
        <w:spacing w:before="0" w:after="0"/>
        <w:jc w:val="both"/>
        <w:rPr/>
      </w:pPr>
      <w:r>
        <w:rPr/>
      </w:r>
    </w:p>
    <w:p>
      <w:pPr>
        <w:pStyle w:val="TextBody"/>
        <w:bidi w:val="0"/>
        <w:spacing w:lineRule="auto" w:line="283" w:before="0" w:after="0"/>
        <w:jc w:val="both"/>
        <w:rPr>
          <w:rFonts w:ascii="Times New Roman;serif" w:hAnsi="Times New Roman;serif"/>
          <w:b w:val="false"/>
          <w:color w:val="000000"/>
          <w:sz w:val="24"/>
        </w:rPr>
      </w:pPr>
      <w:r>
        <w:rPr>
          <w:rFonts w:ascii="Times New Roman;serif" w:hAnsi="Times New Roman;serif"/>
          <w:b w:val="false"/>
          <w:color w:val="000000"/>
          <w:sz w:val="24"/>
        </w:rPr>
        <w:t>A live audio webcast of the conference call will be available on the Investor Relations section of Evercore’s website at www.evercore.com. The webcast will be archived on Evercore’s website for 30 days.</w:t>
      </w:r>
    </w:p>
    <w:p>
      <w:pPr>
        <w:pStyle w:val="TextBody"/>
        <w:bidi w:val="0"/>
        <w:spacing w:before="0" w:after="0"/>
        <w:jc w:val="both"/>
        <w:rPr/>
      </w:pPr>
      <w:r>
        <w:rPr/>
      </w:r>
    </w:p>
    <w:p>
      <w:pPr>
        <w:pStyle w:val="TextBody"/>
        <w:bidi w:val="0"/>
        <w:spacing w:lineRule="auto" w:line="283" w:before="0" w:after="0"/>
        <w:jc w:val="both"/>
        <w:rPr>
          <w:rFonts w:ascii="Times New Roman;serif" w:hAnsi="Times New Roman;serif"/>
          <w:b/>
          <w:color w:val="000000"/>
          <w:sz w:val="24"/>
          <w:u w:val="single"/>
        </w:rPr>
      </w:pPr>
      <w:r>
        <w:rPr>
          <w:rFonts w:ascii="Times New Roman;serif" w:hAnsi="Times New Roman;serif"/>
          <w:b/>
          <w:color w:val="000000"/>
          <w:sz w:val="24"/>
          <w:u w:val="single"/>
        </w:rPr>
        <w:t>About Evercore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Evercore (NYSE: EVR) is a premier global independent investment banking advisory firm. We are dedicated to helping our clients achieve superior results through trusted independent and innovative advice on matters of strategic significance to boards of directors, management teams and shareholders, including mergers and acquisitions, strategic shareholder advisory, restructurings, and capital structure. Evercore also assists clients in raising public and private capital and delivers equity research and equity sales and agency trading execution, in addition to providing wealth and investment management services to high net worth and institutional investors. Founded in 1995, the Firm is headquartered in New York and maintains offices and affiliate offices in major financial centers in the Americas, Europe, the Middle East and Asia. For more information, please visit www.evercore.com.</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14"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tbl>
      <w:tblPr>
        <w:tblW w:w="6299" w:type="dxa"/>
        <w:jc w:val="left"/>
        <w:tblInd w:w="0" w:type="dxa"/>
        <w:tblLayout w:type="fixed"/>
        <w:tblCellMar>
          <w:top w:w="28" w:type="dxa"/>
          <w:left w:w="28" w:type="dxa"/>
          <w:bottom w:w="28" w:type="dxa"/>
          <w:right w:w="28" w:type="dxa"/>
        </w:tblCellMar>
      </w:tblPr>
      <w:tblGrid>
        <w:gridCol w:w="690"/>
        <w:gridCol w:w="606"/>
        <w:gridCol w:w="608"/>
        <w:gridCol w:w="1283"/>
        <w:gridCol w:w="1283"/>
        <w:gridCol w:w="1829"/>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Investor Contact:</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Katy Haber</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Head of Investor Relations &amp; ESG</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InvestorRelations@Evercore.com</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Media Contacts:</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Jamie Easton</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Head of Communications &amp; External Affairs</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Communications@Evercore.com</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FGS Global</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Evercoreus@fgsglobal.com</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Evercore-europe@fgsglobal.com</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5" name="Frame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3" w:before="0" w:after="0"/>
        <w:jc w:val="both"/>
        <w:rPr>
          <w:rFonts w:ascii="Times New Roman;serif" w:hAnsi="Times New Roman;serif"/>
          <w:b/>
          <w:color w:val="000000"/>
          <w:sz w:val="24"/>
          <w:u w:val="single"/>
        </w:rPr>
      </w:pPr>
      <w:r>
        <w:rPr>
          <w:rFonts w:ascii="Times New Roman;serif" w:hAnsi="Times New Roman;serif"/>
          <w:b/>
          <w:color w:val="000000"/>
          <w:sz w:val="24"/>
          <w:u w:val="single"/>
        </w:rPr>
        <w:t>Basis of Alternative Financial Statement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Our Adjusted results are a non-GAAP measure. As discussed further under "Non-GAAP Measures", Evercore believes that the disclosed Adjusted measures and any adjustments thereto, when presented in conjunction with comparable U.S. GAAP measures, are useful to investors to compare Evercore's results across several periods and better reflects how management views its operating results. These measures should not be considered a substitute for, or superior to, measures of financial performance prepared in accordance with U.S. GAAP. A reconciliation of our U.S. GAAP results to Adjusted results is presented in the tables included in the following pages. </w:t>
      </w:r>
    </w:p>
    <w:p>
      <w:pPr>
        <w:pStyle w:val="TextBody"/>
        <w:bidi w:val="0"/>
        <w:spacing w:before="0" w:after="0"/>
        <w:jc w:val="both"/>
        <w:rPr/>
      </w:pPr>
      <w:r>
        <w:rPr/>
      </w:r>
    </w:p>
    <w:p>
      <w:pPr>
        <w:pStyle w:val="TextBody"/>
        <w:bidi w:val="0"/>
        <w:spacing w:lineRule="auto" w:line="283" w:before="0" w:after="0"/>
        <w:jc w:val="both"/>
        <w:rPr>
          <w:rFonts w:ascii="Times New Roman;serif" w:hAnsi="Times New Roman;serif"/>
          <w:b/>
          <w:color w:val="000000"/>
          <w:sz w:val="24"/>
          <w:u w:val="single"/>
        </w:rPr>
      </w:pPr>
      <w:r>
        <w:rPr>
          <w:rFonts w:ascii="Times New Roman;serif" w:hAnsi="Times New Roman;serif"/>
          <w:b/>
          <w:color w:val="000000"/>
          <w:sz w:val="24"/>
          <w:u w:val="single"/>
        </w:rPr>
        <w:t>Forward-Looking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This release contains forward-looking statements within the meaning of Section 27A of the Securities Act of 1933 and Section 21E of the Securities Exchange Act of 1934, which reflect our current views with respect to, among other things, Evercore's operations and financial performance. In some cases, you can identify these forward-looking statements by the use of words such as "outlook," "backlog," "believes," "expects," "potential," "probable," "continues," "may," "will," "should," "seeks," "approximately," "predicts," "intends," "plans," "estimates," "anticipates" or the negative version of these words or other comparable words. All statements, other than statements of historical fact, included in this release are forward-looking statements and are based on various underlying assumptions and expectations and are subject to known and unknown risks, uncertainties and assumptions, and may include projections of our future financial performance based on our growth strategies and anticipated trends in Evercore's business. Accordingly, there are or will be important factors that could cause actual outcomes or results to differ materially from those indicated in these statements. Evercore believes these factors include, but are not limited to, those described under "Risk Factors" discussed in Evercore's Annual Report on Form 10-K for the year ended December 31, 2025, subsequent quarterly reports on Form 10-Q, current reports on Form 8-K and Registration Statements. These factors should not be construed as exhaustive and should be read in conjunction with the other cautionary statements that are included in this release. In addition, new risks and uncertainties emerge from time to time, and it is not possible for Evercore to predict all risks and uncertainties, nor can Evercore assess the impact of all factors on our business or the extent to which any factor, or combination of factors, may cause actual results to differ materially from those contained in any forward-looking statements. Accordingly, you should not rely upon forward-looking statements as a prediction of actual results and Evercore does not assume any responsibility for the accuracy or completeness of any of these forward-looking statements. Evercore undertakes no obligation to publicly update or review any forward-looking statement, whether as a result of new information, future developments or otherwise.</w:t>
      </w:r>
      <w:r>
        <w:rPr>
          <w:color w:val="FFFFFF"/>
        </w:rPr>
        <w:t xml:space="preserv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16" name="Frame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521"/>
        <w:gridCol w:w="1167"/>
        <w:gridCol w:w="1183"/>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09"/>
        <w:gridCol w:w="109"/>
        <w:gridCol w:w="109"/>
        <w:gridCol w:w="109"/>
        <w:gridCol w:w="156"/>
      </w:tblGrid>
      <w:tr>
        <w:trPr/>
        <w:tc>
          <w:tcPr>
            <w:tcW w:w="152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286"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EVERCORE INC.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286"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CONDENSED CONSOLIDATED STATEMENTS OF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286"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AND SIX MONTHS ENDED JUNE 30, 2026 AND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286"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286"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Banking &amp; Equities: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Advisory Fees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775,590 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697,744 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2,020,329 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1,255,093 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Underwriting Fees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Commissions and Related Revenue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Management and Administration Fees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 Including Interest and Investments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998,497 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838,040 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2,398,966 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1,537,062 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Interest Expense</w:t>
            </w:r>
            <w:r>
              <w:rPr>
                <w:rFonts w:ascii="Times New Roman;serif" w:hAnsi="Times New Roman;serif"/>
                <w:b w:val="false"/>
                <w:color w:val="000000"/>
                <w:sz w:val="10"/>
              </w:rPr>
              <w:t>(1)</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990,199 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833,830 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2,381,777 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1,528,659 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Compensation and Benefits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641,791 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548,611 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1,545,861 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1,008,436 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Occupancy and Equipment Rental</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Fees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Travel and Related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 and Information Services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Execution, Clearing and Custody Fees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Charges, Including Business Realignment Costs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Transition Costs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843,623 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683,441 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1,904,475 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1,267,086 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Before Income from Equity Method Investments and Income Taxes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146,576 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150,389 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477,302 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261,573 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Equity Method Investments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Before Income Taxes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147,594 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151,204 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479,371 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263,267 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429,221 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260,729 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Attributable to Evercore Inc.</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95,277 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97,201 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396,512 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243,385 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Attributable to Evercore Inc. Common Shareholders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95,277 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97,201 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396,512 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243,385 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Shares of Class A Common Stock Outstanding:</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Per Share Attributable to Evercore Inc. Common Shareholders: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7"/>
            <w:tcBorders/>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7"/>
            <w:tcBorders/>
          </w:tcPr>
          <w:p>
            <w:pPr>
              <w:pStyle w:val="TableContents"/>
              <w:bidi w:val="0"/>
              <w:spacing w:before="0" w:after="283"/>
              <w:jc w:val="left"/>
              <w:rPr>
                <w:sz w:val="4"/>
                <w:szCs w:val="4"/>
              </w:rPr>
            </w:pPr>
            <w:r>
              <w:rPr>
                <w:sz w:val="4"/>
                <w:szCs w:val="4"/>
              </w:rPr>
            </w:r>
          </w:p>
        </w:tc>
      </w:tr>
      <w:tr>
        <w:trPr/>
        <w:tc>
          <w:tcPr>
            <w:tcW w:w="38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7"/>
            <w:tcBorders/>
          </w:tcPr>
          <w:p>
            <w:pPr>
              <w:pStyle w:val="TableContents"/>
              <w:bidi w:val="0"/>
              <w:spacing w:before="0" w:after="283"/>
              <w:jc w:val="left"/>
              <w:rPr>
                <w:sz w:val="4"/>
                <w:szCs w:val="4"/>
              </w:rPr>
            </w:pPr>
            <w:r>
              <w:rPr>
                <w:sz w:val="4"/>
                <w:szCs w:val="4"/>
              </w:rPr>
            </w:r>
          </w:p>
        </w:tc>
      </w:tr>
      <w:tr>
        <w:trPr/>
        <w:tc>
          <w:tcPr>
            <w:tcW w:w="38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286" w:type="dxa"/>
            <w:gridSpan w:val="24"/>
            <w:tcBorders/>
            <w:tcMar>
              <w:top w:w="0" w:type="dxa"/>
              <w:left w:w="0" w:type="dxa"/>
              <w:bottom w:w="0" w:type="dxa"/>
              <w:right w:w="0" w:type="dxa"/>
            </w:tcMar>
            <w:vAlign w:val="center"/>
          </w:tcPr>
          <w:p>
            <w:pPr>
              <w:pStyle w:val="TableContents"/>
              <w:bidi w:val="0"/>
              <w:spacing w:lineRule="auto" w:line="240"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interest expense on long-term debt, lines of credit and other financing arrangements.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7"/>
            <w:tcBorders/>
          </w:tcPr>
          <w:p>
            <w:pPr>
              <w:pStyle w:val="TableContents"/>
              <w:bidi w:val="0"/>
              <w:spacing w:before="0" w:after="283"/>
              <w:jc w:val="left"/>
              <w:rPr>
                <w:sz w:val="4"/>
                <w:szCs w:val="4"/>
              </w:rPr>
            </w:pPr>
            <w:r>
              <w:rPr>
                <w:sz w:val="4"/>
                <w:szCs w:val="4"/>
              </w:rPr>
            </w:r>
          </w:p>
        </w:tc>
      </w:tr>
      <w:tr>
        <w:trPr/>
        <w:tc>
          <w:tcPr>
            <w:tcW w:w="38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7"/>
            <w:tcBorders/>
          </w:tcPr>
          <w:p>
            <w:pPr>
              <w:pStyle w:val="TableContents"/>
              <w:bidi w:val="0"/>
              <w:spacing w:before="0" w:after="283"/>
              <w:jc w:val="left"/>
              <w:rPr>
                <w:sz w:val="4"/>
                <w:szCs w:val="4"/>
              </w:rPr>
            </w:pPr>
            <w:r>
              <w:rPr>
                <w:sz w:val="4"/>
                <w:szCs w:val="4"/>
              </w:rPr>
            </w:r>
          </w:p>
        </w:tc>
      </w:tr>
      <w:tr>
        <w:trPr/>
        <w:tc>
          <w:tcPr>
            <w:tcW w:w="38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7"/>
            <w:tcBorders/>
          </w:tcPr>
          <w:p>
            <w:pPr>
              <w:pStyle w:val="TableContents"/>
              <w:bidi w:val="0"/>
              <w:spacing w:before="0" w:after="283"/>
              <w:jc w:val="left"/>
              <w:rPr>
                <w:sz w:val="4"/>
                <w:szCs w:val="4"/>
              </w:rPr>
            </w:pPr>
            <w:r>
              <w:rPr>
                <w:sz w:val="4"/>
                <w:szCs w:val="4"/>
              </w:rPr>
            </w:r>
          </w:p>
        </w:tc>
      </w:tr>
      <w:tr>
        <w:trPr/>
        <w:tc>
          <w:tcPr>
            <w:tcW w:w="38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7"/>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A - 1</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A - 1</w:t>
                      </w: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1"/>
          <w:u w:val="single"/>
        </w:rPr>
      </w:pPr>
      <w:r>
        <w:rPr>
          <w:rFonts w:ascii="Times New Roman;serif" w:hAnsi="Times New Roman;serif"/>
          <w:b/>
          <w:color w:val="000000"/>
          <w:sz w:val="21"/>
          <w:u w:val="single"/>
        </w:rPr>
        <w:t xml:space="preserve">Adjusted Results </w:t>
      </w:r>
    </w:p>
    <w:p>
      <w:pPr>
        <w:pStyle w:val="TextBody"/>
        <w:bidi w:val="0"/>
        <w:spacing w:lineRule="auto" w:line="288" w:before="90" w:after="283"/>
        <w:jc w:val="both"/>
        <w:rPr>
          <w:rFonts w:ascii="Times New Roman;serif" w:hAnsi="Times New Roman;serif"/>
          <w:b w:val="false"/>
          <w:color w:val="000000"/>
          <w:sz w:val="21"/>
        </w:rPr>
      </w:pPr>
      <w:r>
        <w:rPr>
          <w:rFonts w:ascii="Times New Roman;serif" w:hAnsi="Times New Roman;serif"/>
          <w:b w:val="false"/>
          <w:color w:val="000000"/>
          <w:sz w:val="21"/>
        </w:rPr>
        <w:t>Throughout the discussion of Evercore's business and elsewhere in this release, information is presented on an Adjusted basis, which is a non-generally accepted accounting principles ("non-GAAP") measure. Adjusted results begin with information prepared in accordance with accounting principles generally accepted in the United States of America ("U.S. GAAP"), adjusted to exclude certain items and reflect the conversion of certain Evercore LP Units and Unvested Restricted Stock Units into Class A shares. Evercore believes that the disclosed Adjusted measures and any adjustments thereto, when presented in conjunction with comparable U.S. GAAP measures, are useful to investors to compare Evercore's results across several periods and facilitate an understanding of Evercore's operating results. The Company uses these measures to evaluate its operating performance, as well as the performance of individual employees. These measures should not be considered a substitute for, or superior to, measures of financial performance prepared in accordance with U.S. GAAP. These Adjusted amounts are allocated to the Company's two business segments: Investment Banking &amp; Equities and Investment Management. The differences between the Adjusted and U.S. GAAP results are as follows:</w:t>
      </w:r>
    </w:p>
    <w:p>
      <w:pPr>
        <w:pStyle w:val="TextBody"/>
        <w:bidi w:val="0"/>
        <w:spacing w:lineRule="auto" w:line="288" w:before="90" w:after="283"/>
        <w:ind w:left="0" w:right="0" w:hanging="360"/>
        <w:jc w:val="both"/>
        <w:rPr/>
      </w:pPr>
      <w:r>
        <w:rPr>
          <w:color w:val="000000"/>
        </w:rPr>
        <w:t>–</w:t>
      </w:r>
      <w:r>
        <w:rPr>
          <w:rFonts w:ascii="Times New Roman;serif" w:hAnsi="Times New Roman;serif"/>
          <w:b w:val="false"/>
          <w:color w:val="000000"/>
          <w:sz w:val="21"/>
          <w:u w:val="single"/>
        </w:rPr>
        <w:t>Assumed Exchange of Evercore LP Units into Class A Shares.</w:t>
      </w:r>
      <w:r>
        <w:rPr>
          <w:color w:val="000000"/>
        </w:rPr>
        <w:t xml:space="preserve"> </w:t>
      </w:r>
      <w:r>
        <w:rPr>
          <w:rFonts w:ascii="Times New Roman;serif" w:hAnsi="Times New Roman;serif"/>
          <w:b w:val="false"/>
          <w:color w:val="000000"/>
          <w:sz w:val="21"/>
        </w:rPr>
        <w:t>The Adjusted results assume substantially all Evercore LP Units have been exchanged for Class A shares. Accordingly, the noncontrolling interest related to these units is converted to a controlling interest. The Company's management believes that it is useful to provide the per-share effect associated with the assumed conversion of substantially all of these previously granted equity interests and IPO related restricted stock units, and thus the Adjusted results reflect their exchange into Class A shares.</w:t>
      </w:r>
    </w:p>
    <w:p>
      <w:pPr>
        <w:pStyle w:val="TextBody"/>
        <w:bidi w:val="0"/>
        <w:spacing w:lineRule="auto" w:line="288" w:before="90" w:after="283"/>
        <w:ind w:left="0" w:right="0" w:hanging="360"/>
        <w:jc w:val="both"/>
        <w:rPr/>
      </w:pPr>
      <w:r>
        <w:rPr>
          <w:color w:val="000000"/>
        </w:rPr>
        <w:t>–</w:t>
      </w:r>
      <w:r>
        <w:rPr>
          <w:rFonts w:ascii="Times New Roman;serif" w:hAnsi="Times New Roman;serif"/>
          <w:b w:val="false"/>
          <w:color w:val="000000"/>
          <w:sz w:val="21"/>
          <w:u w:val="single"/>
        </w:rPr>
        <w:t>Adjustments Associated with Business Combinations and Divestitures.</w:t>
      </w:r>
      <w:r>
        <w:rPr>
          <w:color w:val="000000"/>
        </w:rPr>
        <w:t xml:space="preserve"> </w:t>
      </w:r>
      <w:r>
        <w:rPr>
          <w:rFonts w:ascii="Times New Roman;serif" w:hAnsi="Times New Roman;serif"/>
          <w:b w:val="false"/>
          <w:color w:val="000000"/>
          <w:sz w:val="21"/>
        </w:rPr>
        <w:t>The following charges resulting from business combinations and divestitures have been excluded from the Adjusted results as the Company's Management believes that operating performance is more comparable across periods excluding the effects of these acquisition-related charges:</w:t>
      </w:r>
    </w:p>
    <w:p>
      <w:pPr>
        <w:pStyle w:val="TextBody"/>
        <w:bidi w:val="0"/>
        <w:spacing w:lineRule="auto" w:line="288" w:before="90" w:after="283"/>
        <w:ind w:left="0" w:right="0" w:hanging="360"/>
        <w:jc w:val="both"/>
        <w:rPr/>
      </w:pPr>
      <w:r>
        <w:rPr>
          <w:color w:val="000000"/>
        </w:rPr>
        <w:t>–</w:t>
      </w:r>
      <w:r>
        <w:rPr>
          <w:rFonts w:ascii="Times New Roman;serif" w:hAnsi="Times New Roman;serif"/>
          <w:b w:val="false"/>
          <w:color w:val="000000"/>
          <w:sz w:val="21"/>
          <w:u w:val="single"/>
        </w:rPr>
        <w:t>Acquisition and Transition Costs.</w:t>
      </w:r>
      <w:r>
        <w:rPr>
          <w:color w:val="000000"/>
        </w:rPr>
        <w:t xml:space="preserve"> </w:t>
      </w:r>
      <w:r>
        <w:rPr>
          <w:rFonts w:ascii="Times New Roman;serif" w:hAnsi="Times New Roman;serif"/>
          <w:b w:val="false"/>
          <w:color w:val="000000"/>
          <w:sz w:val="21"/>
        </w:rPr>
        <w:t>Costs incurred for the impairment of a lease in the first quarter of 2026 related to the acquisition of Robey Warshaw and professional fees incurred in the second quarter of 2025 related to transitioning acquisitions or divestitures.</w:t>
      </w:r>
    </w:p>
    <w:p>
      <w:pPr>
        <w:pStyle w:val="TextBody"/>
        <w:bidi w:val="0"/>
        <w:spacing w:lineRule="auto" w:line="288" w:before="90" w:after="283"/>
        <w:ind w:left="0" w:right="0" w:hanging="360"/>
        <w:jc w:val="both"/>
        <w:rPr/>
      </w:pPr>
      <w:r>
        <w:rPr>
          <w:color w:val="000000"/>
        </w:rPr>
        <w:t>–</w:t>
      </w:r>
      <w:r>
        <w:rPr>
          <w:rFonts w:ascii="Times New Roman;serif" w:hAnsi="Times New Roman;serif"/>
          <w:b w:val="false"/>
          <w:color w:val="000000"/>
          <w:sz w:val="21"/>
          <w:u w:val="single"/>
        </w:rPr>
        <w:t>Acquisition-related Compensation Charges.</w:t>
      </w:r>
      <w:r>
        <w:rPr>
          <w:color w:val="000000"/>
        </w:rPr>
        <w:t xml:space="preserve"> </w:t>
      </w:r>
      <w:r>
        <w:rPr>
          <w:rFonts w:ascii="Times New Roman;serif" w:hAnsi="Times New Roman;serif"/>
          <w:b w:val="false"/>
          <w:color w:val="000000"/>
          <w:sz w:val="21"/>
        </w:rPr>
        <w:t>Expenses associated with awards granted in conjunction with the Company's acquisition of Robey Warshaw.</w:t>
      </w:r>
    </w:p>
    <w:p>
      <w:pPr>
        <w:pStyle w:val="TextBody"/>
        <w:bidi w:val="0"/>
        <w:spacing w:lineRule="auto" w:line="288" w:before="90" w:after="283"/>
        <w:ind w:left="0" w:right="0" w:hanging="360"/>
        <w:jc w:val="both"/>
        <w:rPr/>
      </w:pPr>
      <w:r>
        <w:rPr>
          <w:color w:val="000000"/>
        </w:rPr>
        <w:t>–</w:t>
      </w:r>
      <w:r>
        <w:rPr>
          <w:rFonts w:ascii="Times New Roman;serif" w:hAnsi="Times New Roman;serif"/>
          <w:b w:val="false"/>
          <w:color w:val="000000"/>
          <w:sz w:val="21"/>
          <w:u w:val="single"/>
        </w:rPr>
        <w:t>Amortization of Intangible Assets.</w:t>
      </w:r>
      <w:r>
        <w:rPr>
          <w:color w:val="000000"/>
        </w:rPr>
        <w:t xml:space="preserve"> </w:t>
      </w:r>
      <w:r>
        <w:rPr>
          <w:rFonts w:ascii="Times New Roman;serif" w:hAnsi="Times New Roman;serif"/>
          <w:b w:val="false"/>
          <w:color w:val="000000"/>
          <w:sz w:val="21"/>
        </w:rPr>
        <w:t>Amortization of intangible assets from the acquisition of Robey Warshaw.</w:t>
      </w:r>
    </w:p>
    <w:p>
      <w:pPr>
        <w:pStyle w:val="TextBody"/>
        <w:bidi w:val="0"/>
        <w:spacing w:lineRule="auto" w:line="288" w:before="90" w:after="283"/>
        <w:ind w:left="0" w:right="0" w:hanging="360"/>
        <w:jc w:val="both"/>
        <w:rPr/>
      </w:pPr>
      <w:r>
        <w:rPr>
          <w:color w:val="000000"/>
        </w:rPr>
        <w:t>–</w:t>
      </w:r>
      <w:r>
        <w:rPr>
          <w:rFonts w:ascii="Times New Roman;serif" w:hAnsi="Times New Roman;serif"/>
          <w:b w:val="false"/>
          <w:color w:val="000000"/>
          <w:sz w:val="21"/>
          <w:u w:val="single"/>
        </w:rPr>
        <w:t>Interest Expense.</w:t>
      </w:r>
      <w:r>
        <w:rPr>
          <w:color w:val="000000"/>
        </w:rPr>
        <w:t xml:space="preserve"> </w:t>
      </w:r>
      <w:r>
        <w:rPr>
          <w:rFonts w:ascii="Times New Roman;serif" w:hAnsi="Times New Roman;serif"/>
          <w:b w:val="false"/>
          <w:color w:val="000000"/>
          <w:sz w:val="21"/>
        </w:rPr>
        <w:t>Interest expense accrued for deferred acquisition consideration issued in the acquisition of Robey Warshaw.</w:t>
      </w:r>
    </w:p>
    <w:p>
      <w:pPr>
        <w:pStyle w:val="TextBody"/>
        <w:bidi w:val="0"/>
        <w:spacing w:lineRule="auto" w:line="288" w:before="90" w:after="283"/>
        <w:ind w:left="0" w:right="0" w:hanging="360"/>
        <w:jc w:val="both"/>
        <w:rPr/>
      </w:pPr>
      <w:r>
        <w:rPr>
          <w:color w:val="000000"/>
        </w:rPr>
        <w:t>–</w:t>
      </w:r>
      <w:r>
        <w:rPr>
          <w:rFonts w:ascii="Times New Roman;serif" w:hAnsi="Times New Roman;serif"/>
          <w:b w:val="false"/>
          <w:color w:val="000000"/>
          <w:sz w:val="21"/>
          <w:u w:val="single"/>
        </w:rPr>
        <w:t>Fair Value of Contingent Consideration.</w:t>
      </w:r>
      <w:r>
        <w:rPr>
          <w:color w:val="000000"/>
        </w:rPr>
        <w:t xml:space="preserve"> </w:t>
      </w:r>
      <w:r>
        <w:rPr>
          <w:rFonts w:ascii="Times New Roman;serif" w:hAnsi="Times New Roman;serif"/>
          <w:b w:val="false"/>
          <w:color w:val="000000"/>
          <w:sz w:val="21"/>
        </w:rPr>
        <w:t>The expense, or reversal of expense, associated with changes in the fair value of contingent consideration issued to the sellers of Robey Warshaw.</w:t>
      </w:r>
    </w:p>
    <w:p>
      <w:pPr>
        <w:pStyle w:val="TextBody"/>
        <w:bidi w:val="0"/>
        <w:spacing w:lineRule="auto" w:line="288" w:before="90" w:after="283"/>
        <w:ind w:left="0" w:right="0" w:hanging="360"/>
        <w:jc w:val="both"/>
        <w:rPr/>
      </w:pPr>
      <w:r>
        <w:rPr>
          <w:color w:val="000000"/>
        </w:rPr>
        <w:t>–</w:t>
      </w:r>
      <w:r>
        <w:rPr>
          <w:rFonts w:ascii="Times New Roman;serif" w:hAnsi="Times New Roman;serif"/>
          <w:b w:val="false"/>
          <w:color w:val="000000"/>
          <w:sz w:val="21"/>
          <w:u w:val="single"/>
        </w:rPr>
        <w:t>Special Charges, Including Business Realignment Costs.</w:t>
      </w:r>
      <w:r>
        <w:rPr>
          <w:color w:val="000000"/>
        </w:rPr>
        <w:t xml:space="preserve"> </w:t>
      </w:r>
      <w:r>
        <w:rPr>
          <w:rFonts w:ascii="Times New Roman;serif" w:hAnsi="Times New Roman;serif"/>
          <w:b w:val="false"/>
          <w:color w:val="000000"/>
          <w:sz w:val="21"/>
        </w:rPr>
        <w:t>Expenses during 2026 that are excluded from the Adjusted presentation reflect an estimated loss provision for non-U.S. employment taxes for prior periods.</w:t>
      </w:r>
    </w:p>
    <w:p>
      <w:pPr>
        <w:pStyle w:val="TextBody"/>
        <w:bidi w:val="0"/>
        <w:spacing w:lineRule="auto" w:line="288" w:before="90" w:after="283"/>
        <w:ind w:left="0" w:right="0" w:hanging="360"/>
        <w:jc w:val="both"/>
        <w:rPr/>
      </w:pPr>
      <w:r>
        <w:rPr>
          <w:color w:val="000000"/>
        </w:rPr>
        <w:t>–</w:t>
      </w:r>
      <w:r>
        <w:rPr>
          <w:rFonts w:ascii="Times New Roman;serif" w:hAnsi="Times New Roman;serif"/>
          <w:b w:val="false"/>
          <w:color w:val="000000"/>
          <w:sz w:val="21"/>
          <w:u w:val="single"/>
        </w:rPr>
        <w:t>Income Taxes.</w:t>
      </w:r>
      <w:r>
        <w:rPr>
          <w:color w:val="000000"/>
        </w:rPr>
        <w:t xml:space="preserve"> </w:t>
      </w:r>
      <w:r>
        <w:rPr>
          <w:rFonts w:ascii="Times New Roman;serif" w:hAnsi="Times New Roman;serif"/>
          <w:b w:val="false"/>
          <w:color w:val="000000"/>
          <w:sz w:val="21"/>
        </w:rPr>
        <w:t xml:space="preserve">Evercore is organized as a series of Limited Liability Companies, Partnerships, C-Corporations and a Public Corporation in the U.S. as the ultimate parent. Certain of the subsidiaries, particularly Evercore LP, have noncontrolling interests held by management or former members of management. As a result, not all of the Company’s income is subject to corporate level taxes and certain other state and local taxes are levied. The assumption in the Adjusted earnings presentation is that substantially all of the noncontrolling interest is eliminated through the exchange of Evercore LP units into Class A common stock of the ultimate parent. As a result, the Adjusted earnings presentation assumes that the allocation of earnings to Evercore LP’s noncontrolling interest holders is substantially eliminated and is therefore subject to statutory tax rates of a C-Corporation under a conventional tax structure in the U.S. and that certain state and local taxes are reduced accordingly. </w:t>
      </w:r>
    </w:p>
    <w:p>
      <w:pPr>
        <w:pStyle w:val="TextBody"/>
        <w:bidi w:val="0"/>
        <w:spacing w:lineRule="auto" w:line="288" w:before="90" w:after="283"/>
        <w:ind w:left="0" w:right="0" w:hanging="360"/>
        <w:jc w:val="both"/>
        <w:rPr/>
      </w:pPr>
      <w:r>
        <w:rPr>
          <w:color w:val="000000"/>
        </w:rPr>
        <w:t>–</w:t>
      </w:r>
      <w:r>
        <w:rPr>
          <w:rFonts w:ascii="Times New Roman;serif" w:hAnsi="Times New Roman;serif"/>
          <w:b w:val="false"/>
          <w:color w:val="000000"/>
          <w:sz w:val="21"/>
          <w:u w:val="single"/>
        </w:rPr>
        <w:t>Presentation of Interest Expense.</w:t>
      </w:r>
      <w:r>
        <w:rPr>
          <w:color w:val="000000"/>
        </w:rPr>
        <w:t xml:space="preserve"> </w:t>
      </w:r>
      <w:r>
        <w:rPr>
          <w:rFonts w:ascii="Times New Roman;serif" w:hAnsi="Times New Roman;serif"/>
          <w:b w:val="false"/>
          <w:color w:val="000000"/>
          <w:sz w:val="21"/>
        </w:rPr>
        <w:t>The Adjusted results present Adjusted Investment Banking &amp; Equities Operating Income and Adjusted Investment Management Operating Income before interest expense on debt, lines of credit and other financing arrangements, which are included in interest expense on a U.S. GAAP basis.</w:t>
      </w:r>
    </w:p>
    <w:p>
      <w:pPr>
        <w:pStyle w:val="TextBody"/>
        <w:bidi w:val="0"/>
        <w:spacing w:lineRule="auto" w:line="288" w:before="90" w:after="283"/>
        <w:ind w:left="0" w:right="0" w:hanging="360"/>
        <w:jc w:val="both"/>
        <w:rPr/>
      </w:pPr>
      <w:r>
        <w:rPr>
          <w:color w:val="000000"/>
        </w:rPr>
        <w:t>–</w:t>
      </w:r>
      <w:r>
        <w:rPr>
          <w:rFonts w:ascii="Times New Roman;serif" w:hAnsi="Times New Roman;serif"/>
          <w:b w:val="false"/>
          <w:color w:val="000000"/>
          <w:sz w:val="21"/>
          <w:u w:val="single"/>
        </w:rPr>
        <w:t>Presentation of Income from Equity Method Investments.</w:t>
      </w:r>
      <w:r>
        <w:rPr>
          <w:color w:val="000000"/>
        </w:rPr>
        <w:t xml:space="preserve"> </w:t>
      </w:r>
      <w:r>
        <w:rPr>
          <w:rFonts w:ascii="Times New Roman;serif" w:hAnsi="Times New Roman;serif"/>
          <w:b w:val="false"/>
          <w:color w:val="000000"/>
          <w:sz w:val="21"/>
        </w:rPr>
        <w:t>The Adjusted results present Income from Equity Method Investments within Revenue as the Company's Management believes it is a useful presentation.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A - 2</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A - 2</w:t>
                      </w:r>
                      <w:r>
                        <w:rPr>
                          <w:color w:val="000000"/>
                        </w:rPr>
                        <w:t>    </w:t>
                      </w:r>
                    </w:p>
                  </w:txbxContent>
                </v:textbox>
                <w10:wrap type="none"/>
              </v:rect>
            </w:pict>
          </mc:Fallback>
        </mc:AlternateContent>
      </w:r>
    </w:p>
    <w:tbl>
      <w:tblPr>
        <w:tblW w:w="9975" w:type="dxa"/>
        <w:jc w:val="center"/>
        <w:tblInd w:w="0" w:type="dxa"/>
        <w:tblLayout w:type="fixed"/>
        <w:tblCellMar>
          <w:top w:w="28" w:type="dxa"/>
          <w:left w:w="28" w:type="dxa"/>
          <w:bottom w:w="28" w:type="dxa"/>
          <w:right w:w="28" w:type="dxa"/>
        </w:tblCellMar>
      </w:tblPr>
      <w:tblGrid>
        <w:gridCol w:w="1351"/>
        <w:gridCol w:w="1187"/>
        <w:gridCol w:w="1196"/>
        <w:gridCol w:w="181"/>
        <w:gridCol w:w="646"/>
        <w:gridCol w:w="226"/>
        <w:gridCol w:w="109"/>
        <w:gridCol w:w="109"/>
        <w:gridCol w:w="109"/>
        <w:gridCol w:w="181"/>
        <w:gridCol w:w="646"/>
        <w:gridCol w:w="226"/>
        <w:gridCol w:w="109"/>
        <w:gridCol w:w="109"/>
        <w:gridCol w:w="109"/>
        <w:gridCol w:w="181"/>
        <w:gridCol w:w="766"/>
        <w:gridCol w:w="226"/>
        <w:gridCol w:w="109"/>
        <w:gridCol w:w="109"/>
        <w:gridCol w:w="109"/>
        <w:gridCol w:w="181"/>
        <w:gridCol w:w="766"/>
        <w:gridCol w:w="226"/>
        <w:gridCol w:w="109"/>
        <w:gridCol w:w="109"/>
        <w:gridCol w:w="109"/>
        <w:gridCol w:w="109"/>
        <w:gridCol w:w="109"/>
        <w:gridCol w:w="109"/>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EVERCORE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U.S. GAAP RECONCILIATION TO ADJUSTED RESULTS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(dollars 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Net Revenues - U.S. GAAP</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990,199 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833,830 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2,381,777 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1,528,659 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Income from Equity Method Investments (1)</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1,018 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2,069 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1,694 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Interest Expense (2)</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8,298 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4,210 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17,189 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8,403 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 xml:space="preserve">Net Revenues - Adjusted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999,515 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838,855 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2,401,035 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1,538,756 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Other Revenue, net - U.S. GAAP</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30,348 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24,924 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36,818 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32,056 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Interest Expense (2)</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8,298 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4,210 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17,189 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8,403 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Other Revenue, net - Adjusted</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38,646 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29,134 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54,007 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40,459 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Compensation Expense - U.S. GAAP</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641,791 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548,611 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1,545,861 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1,008,436 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Acquisition-related Compensation Charges (3)</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(7,144)</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(14,230)</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Compensation Expense - Adjusted</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634,647 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548,611 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1,531,631 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1,008,436 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Operating Income - U.S. GAAP</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146,576 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150,389 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477,302 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261,573 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Income from Equity Method Investments (1)</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1,018 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2,069 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1,694 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Pre-Tax Income - U.S. GAAP</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147,594 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151,204 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479,371 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263,267 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Interest Expense (2)</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1,413 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2,833 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Acquisition-related Compensation Charges (3)</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7,144 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14,230 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Special Charges, Including Business Realignment Costs (4)</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21,315 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21,315 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Intangible Asset Amortization (5a)</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3,712 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7,442 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Acquisition and Transition Costs (5b)</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1,637 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1,637 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Fair Value of Contingent Consideration (5c)</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1,613 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2,816 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 xml:space="preserve">Pre-Tax Income - Adjusted </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182,791 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152,841 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529,807 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264,904 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Interest Expense (2)</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6,885 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4,210 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14,356 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8,403 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 xml:space="preserve">Operating Income - Adjusted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189,676 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157,051 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544,163 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273,307 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Provision for Income Taxes - U.S. GAAP</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41,094 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44,265 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50,150 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2,538 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Income Taxes (6)</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12,638 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1,615 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14,047 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(1,197)</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 xml:space="preserve">Provision for Income Taxes - Adjusted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53,732 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45,880 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64,197 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1,341 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Net Income Attributable to Evercore Inc. - U.S. GAAP</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95,277 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97,201 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396,512 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243,385 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Interest Expense (2)</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1,413 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2,833 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Acquisition-related Compensation Charges (3)</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7,144 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14,230 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Special Charges, Including Business Realignment Costs (4)</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21,315 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21,315 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Intangible Asset Amortization (5a)</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3,712 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7,442 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Acquisition and Transition Costs (5b)</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1,637 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1,637 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Fair Value of Contingent Consideration (5c)</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1,613 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2,816 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Income Taxes (6)</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(12,638)</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(1,615)</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(14,047)</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1,197 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Noncontrolling Interest (7)</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9,220 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8,147 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28,894 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13,954 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 xml:space="preserve">Net Income Attributable to Evercore Inc. - Adjusted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127,056 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105,370 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461,795 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260,173 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Diluted Shares Outstanding - U.S. GAAP</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41,134 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41,213 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41,491 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41,636 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LP Units (8)</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2,564 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2,321 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2,572 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2,323 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Unvested Restricted Stock Units - Event Based (8)</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 xml:space="preserve">Diluted Shares Outstanding - Adjusted </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43,710 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43,546 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44,075 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43,971 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u w:val="single"/>
              </w:rPr>
            </w:pPr>
            <w:r>
              <w:rPr>
                <w:rFonts w:ascii="Times New Roman;serif" w:hAnsi="Times New Roman;serif"/>
                <w:b/>
                <w:color w:val="000000"/>
                <w:sz w:val="15"/>
                <w:u w:val="single"/>
              </w:rPr>
              <w:t>Key Metrics: (a)</w:t>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Diluted Earnings Per Share - U.S. GAAP</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9.56 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Diluted Earnings Per Share - Adjusted </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10.48 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Compensation Ratio - U.S. GAAP</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64.8 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65.8 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64.9 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66.0 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Compensation Ratio - Adjusted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63.5 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65.4 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63.8 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65.5 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Operating Margin - U.S. GAAP</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14.8 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18.0 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20.0 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17.1 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Operating Margin - Adjusted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19.0 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18.7 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22.7 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17.8 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Effective Tax Rate - U.S. GAAP</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27.8</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29.3</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10.5 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Effective Tax Rate - Adjusted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29.4</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30.0</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12.1 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0.5 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7"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 Reconciliations of the key metrics from U.S. GAAP to Adjusted results are a derivative of the reconciliations of their components above.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A - 3</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A - 3</w:t>
                      </w:r>
                      <w:r>
                        <w:rPr>
                          <w:color w:val="000000"/>
                        </w:rPr>
                        <w:t>    </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981"/>
        <w:gridCol w:w="266"/>
        <w:gridCol w:w="268"/>
        <w:gridCol w:w="196"/>
        <w:gridCol w:w="737"/>
        <w:gridCol w:w="241"/>
        <w:gridCol w:w="109"/>
        <w:gridCol w:w="109"/>
        <w:gridCol w:w="109"/>
        <w:gridCol w:w="207"/>
        <w:gridCol w:w="683"/>
        <w:gridCol w:w="116"/>
        <w:gridCol w:w="109"/>
        <w:gridCol w:w="109"/>
        <w:gridCol w:w="109"/>
        <w:gridCol w:w="198"/>
        <w:gridCol w:w="746"/>
        <w:gridCol w:w="244"/>
        <w:gridCol w:w="109"/>
        <w:gridCol w:w="109"/>
        <w:gridCol w:w="109"/>
        <w:gridCol w:w="196"/>
        <w:gridCol w:w="871"/>
        <w:gridCol w:w="241"/>
        <w:gridCol w:w="109"/>
        <w:gridCol w:w="109"/>
        <w:gridCol w:w="109"/>
        <w:gridCol w:w="207"/>
        <w:gridCol w:w="683"/>
        <w:gridCol w:w="116"/>
        <w:gridCol w:w="109"/>
        <w:gridCol w:w="109"/>
        <w:gridCol w:w="109"/>
        <w:gridCol w:w="197"/>
        <w:gridCol w:w="879"/>
        <w:gridCol w:w="297"/>
      </w:tblGrid>
      <w:tr>
        <w:trPr/>
        <w:tc>
          <w:tcPr>
            <w:tcW w:w="9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EVERCORE INC.</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 SEGMENT RECONCILIATION TO ADJUSTED RESULTS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AND SIX MONTHS ENDED JUNE 30, 2026</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Banking &amp; Equities Segment</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Non-GAAP Adjusted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Non-GAAP Adjusted Basis</w:t>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Revenues:</w:t>
            </w:r>
          </w:p>
        </w:tc>
        <w:tc>
          <w:tcPr>
            <w:tcW w:w="1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Banking &amp; Equities:</w:t>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7"/>
              </w:rPr>
              <w:t>Advisory Fees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775,590 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w:t>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775,608 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2,020,329 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w:t>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2,020,355 </w:t>
            </w:r>
          </w:p>
        </w:tc>
        <w:tc>
          <w:tcPr>
            <w:tcW w:w="29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7"/>
              </w:rPr>
              <w:t>Underwriting Fees</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97,071 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97,071 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152,139 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152,139 </w:t>
            </w:r>
          </w:p>
        </w:tc>
        <w:tc>
          <w:tcPr>
            <w:tcW w:w="29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7"/>
              </w:rPr>
              <w:t>Commissions and Related Revenue</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63,535 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63,535 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126,193 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126,193 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Revenue, net</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30,681 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8,096 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38,777 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36,966 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16,874 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w:t>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53,840 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Revenues</w:t>
            </w:r>
          </w:p>
        </w:tc>
        <w:tc>
          <w:tcPr>
            <w:tcW w:w="9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966,877 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8,114 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974,991 </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2,335,627 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16,900 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2,352,527 </w:t>
            </w:r>
          </w:p>
        </w:tc>
        <w:tc>
          <w:tcPr>
            <w:tcW w:w="2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Expenses:</w:t>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Employee Compensation and Benefits</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627,299 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(7,144)</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620,155 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1,516,453 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(14,230)</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w:t>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1,502,223 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Non-Compensation Costs</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175,789 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(5,325)</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(5)</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170,464 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328,445 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(12,058)</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(5)</w:t>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316,387 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Special Charges, Including Business Realignment Costs</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21,315 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(21,315)</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(4)</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21,315 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(21,315)</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(4)</w:t>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Expenses</w:t>
            </w:r>
          </w:p>
        </w:tc>
        <w:tc>
          <w:tcPr>
            <w:tcW w:w="9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824,403 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(33,784)</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790,619 </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1,866,213 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(47,603)</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1,818,610 </w:t>
            </w:r>
          </w:p>
        </w:tc>
        <w:tc>
          <w:tcPr>
            <w:tcW w:w="2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Income (a)</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142,474 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41,898 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184,372 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469,414 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64,503 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533,917 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Compensation Ratio (b)</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64.9</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63.6 </w:t>
            </w:r>
          </w:p>
        </w:tc>
        <w:tc>
          <w:tcPr>
            <w:tcW w:w="2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64.9</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63.9 </w:t>
            </w:r>
          </w:p>
        </w:tc>
        <w:tc>
          <w:tcPr>
            <w:tcW w:w="2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Margin (b)</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14.7</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18.9 </w:t>
            </w:r>
          </w:p>
        </w:tc>
        <w:tc>
          <w:tcPr>
            <w:tcW w:w="2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22.7 </w:t>
            </w:r>
          </w:p>
        </w:tc>
        <w:tc>
          <w:tcPr>
            <w:tcW w:w="2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Management Segment</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Non-GAAP Adjusted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Non-GAAP Adjusted Basis</w:t>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Revenues:</w:t>
            </w:r>
          </w:p>
        </w:tc>
        <w:tc>
          <w:tcPr>
            <w:tcW w:w="1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Asset Management and Administration Fees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23,655 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w:t>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24,655 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46,298 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2,043 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w:t>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48,341 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Revenue, net</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(333)</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w:t>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167 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Revenues</w:t>
            </w:r>
          </w:p>
        </w:tc>
        <w:tc>
          <w:tcPr>
            <w:tcW w:w="9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23,322 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1,202 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24,524 </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46,150 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2,358 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48,508 </w:t>
            </w:r>
          </w:p>
        </w:tc>
        <w:tc>
          <w:tcPr>
            <w:tcW w:w="2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Expenses:</w:t>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Employee Compensation and Benefits</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14,492 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14,492 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29,408 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29,408 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Non-Compensation Costs</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4,728 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4,728 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8,854 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8,854 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Expenses</w:t>
            </w:r>
          </w:p>
        </w:tc>
        <w:tc>
          <w:tcPr>
            <w:tcW w:w="9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19,220 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19,220 </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38,262 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38,262 </w:t>
            </w:r>
          </w:p>
        </w:tc>
        <w:tc>
          <w:tcPr>
            <w:tcW w:w="2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Income (a)</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4,102 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5,304 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7,888 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2,358 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10,246 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Compensation Ratio (b)</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62.1</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59.1 </w:t>
            </w:r>
          </w:p>
        </w:tc>
        <w:tc>
          <w:tcPr>
            <w:tcW w:w="2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63.7</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60.6 </w:t>
            </w:r>
          </w:p>
        </w:tc>
        <w:tc>
          <w:tcPr>
            <w:tcW w:w="2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Margin (b)</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21.6 </w:t>
            </w:r>
          </w:p>
        </w:tc>
        <w:tc>
          <w:tcPr>
            <w:tcW w:w="2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17.1</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21.1 </w:t>
            </w:r>
          </w:p>
        </w:tc>
        <w:tc>
          <w:tcPr>
            <w:tcW w:w="2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 Operating Income for U.S. GAAP excludes Income (Loss) from Equity Method Investments.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 Reconciliations of the key metrics from U.S. GAAP to Adjusted results are a derivative of the reconciliations of their components above.</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A - 4</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A - 4</w:t>
                      </w:r>
                      <w:r>
                        <w:rPr>
                          <w:color w:val="000000"/>
                        </w:rPr>
                        <w:t>    </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976"/>
        <w:gridCol w:w="265"/>
        <w:gridCol w:w="267"/>
        <w:gridCol w:w="196"/>
        <w:gridCol w:w="738"/>
        <w:gridCol w:w="241"/>
        <w:gridCol w:w="109"/>
        <w:gridCol w:w="109"/>
        <w:gridCol w:w="109"/>
        <w:gridCol w:w="229"/>
        <w:gridCol w:w="649"/>
        <w:gridCol w:w="128"/>
        <w:gridCol w:w="109"/>
        <w:gridCol w:w="109"/>
        <w:gridCol w:w="109"/>
        <w:gridCol w:w="199"/>
        <w:gridCol w:w="748"/>
        <w:gridCol w:w="245"/>
        <w:gridCol w:w="109"/>
        <w:gridCol w:w="109"/>
        <w:gridCol w:w="109"/>
        <w:gridCol w:w="196"/>
        <w:gridCol w:w="871"/>
        <w:gridCol w:w="241"/>
        <w:gridCol w:w="109"/>
        <w:gridCol w:w="109"/>
        <w:gridCol w:w="109"/>
        <w:gridCol w:w="207"/>
        <w:gridCol w:w="683"/>
        <w:gridCol w:w="116"/>
        <w:gridCol w:w="109"/>
        <w:gridCol w:w="109"/>
        <w:gridCol w:w="109"/>
        <w:gridCol w:w="198"/>
        <w:gridCol w:w="881"/>
        <w:gridCol w:w="296"/>
      </w:tblGrid>
      <w:tr>
        <w:trPr/>
        <w:tc>
          <w:tcPr>
            <w:tcW w:w="97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EVERCORE INC.</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 SEGMENT RECONCILIATION TO ADJUSTED RESULTS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AND SIX MONTHS ENDED JUNE 30, 2025</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Banking &amp; Equities Segment</w:t>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Non-GAAP Adjusted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Non-GAAP Adjusted Basis</w:t>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Revenues:</w:t>
            </w:r>
          </w:p>
        </w:tc>
        <w:tc>
          <w:tcPr>
            <w:tcW w:w="1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Banking &amp; Equities:</w:t>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7"/>
              </w:rPr>
              <w:t>Advisory Fees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697,744 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w:t>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697,755 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1,255,093 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w:t>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1,255,066 </w:t>
            </w:r>
          </w:p>
        </w:tc>
        <w:tc>
          <w:tcPr>
            <w:tcW w:w="29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7"/>
              </w:rPr>
              <w:t>Underwriting Fees</w:t>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32,206 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32,206 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86,461 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86,461 </w:t>
            </w:r>
          </w:p>
        </w:tc>
        <w:tc>
          <w:tcPr>
            <w:tcW w:w="29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7"/>
              </w:rPr>
              <w:t>Commissions and Related Revenue</w:t>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58,272 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58,272 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113,382 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113,382 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Revenue, net</w:t>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23,949 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4,210 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28,159 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31,767 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8,403 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w:t>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40,170 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Revenues</w:t>
            </w:r>
          </w:p>
        </w:tc>
        <w:tc>
          <w:tcPr>
            <w:tcW w:w="9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812,171 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4,221 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816,392 </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1,486,703 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8,376 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1,495,079 </w:t>
            </w:r>
          </w:p>
        </w:tc>
        <w:tc>
          <w:tcPr>
            <w:tcW w:w="2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Expenses:</w:t>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Employee Compensation and Benefits</w:t>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535,447 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535,447 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983,476 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983,476 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Non-Compensation Costs</w:t>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130,773 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(1,637)</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(5)</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129,136 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250,547 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(1,637)</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(5)</w:t>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248,910 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Expenses</w:t>
            </w:r>
          </w:p>
        </w:tc>
        <w:tc>
          <w:tcPr>
            <w:tcW w:w="9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666,220 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(1,637)</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664,583 </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1,234,023 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(1,637)</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1,232,386 </w:t>
            </w:r>
          </w:p>
        </w:tc>
        <w:tc>
          <w:tcPr>
            <w:tcW w:w="2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Income (a)</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145,951 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5,858 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151,809 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252,680 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10,013 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262,693 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Compensation Ratio (b)</w:t>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65.9</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65.6 </w:t>
            </w:r>
          </w:p>
        </w:tc>
        <w:tc>
          <w:tcPr>
            <w:tcW w:w="2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66.2</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65.8 </w:t>
            </w:r>
          </w:p>
        </w:tc>
        <w:tc>
          <w:tcPr>
            <w:tcW w:w="2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Margin (b)</w:t>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18.0</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18.6 </w:t>
            </w:r>
          </w:p>
        </w:tc>
        <w:tc>
          <w:tcPr>
            <w:tcW w:w="2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17.0</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17.6 </w:t>
            </w:r>
          </w:p>
        </w:tc>
        <w:tc>
          <w:tcPr>
            <w:tcW w:w="2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Management Segment</w:t>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Non-GAAP Adjusted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Non-GAAP Adjusted Basis</w:t>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Revenues:</w:t>
            </w:r>
          </w:p>
        </w:tc>
        <w:tc>
          <w:tcPr>
            <w:tcW w:w="1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Asset Management and Administration Fees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20,684 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w:t>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21,488 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41,667 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1,721 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w:t>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43,388 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Revenue, net</w:t>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975 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289 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Revenues</w:t>
            </w:r>
          </w:p>
        </w:tc>
        <w:tc>
          <w:tcPr>
            <w:tcW w:w="9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21,659 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804 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22,463 </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41,956 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1,721 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43,677 </w:t>
            </w:r>
          </w:p>
        </w:tc>
        <w:tc>
          <w:tcPr>
            <w:tcW w:w="2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Expenses:</w:t>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Employee Compensation and Benefits</w:t>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13,164 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13,164 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24,960 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24,960 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Non-Compensation Costs</w:t>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4,057 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4,057 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8,103 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8,103 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Expenses</w:t>
            </w:r>
          </w:p>
        </w:tc>
        <w:tc>
          <w:tcPr>
            <w:tcW w:w="9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17,221 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17,221 </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33,063 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33,063 </w:t>
            </w:r>
          </w:p>
        </w:tc>
        <w:tc>
          <w:tcPr>
            <w:tcW w:w="2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Income (a)</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4,438 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5,242 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8,893 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1,721 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10,614 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Compensation Ratio (b)</w:t>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60.8</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58.6 </w:t>
            </w:r>
          </w:p>
        </w:tc>
        <w:tc>
          <w:tcPr>
            <w:tcW w:w="2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59.5</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57.1 </w:t>
            </w:r>
          </w:p>
        </w:tc>
        <w:tc>
          <w:tcPr>
            <w:tcW w:w="2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Margin (b)</w:t>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20.5</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23.3 </w:t>
            </w:r>
          </w:p>
        </w:tc>
        <w:tc>
          <w:tcPr>
            <w:tcW w:w="2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21.2</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24.3 </w:t>
            </w:r>
          </w:p>
        </w:tc>
        <w:tc>
          <w:tcPr>
            <w:tcW w:w="2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8697" w:type="dxa"/>
            <w:gridSpan w:val="33"/>
            <w:tcBorders/>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 Operating Income for U.S. GAAP excludes Income (Loss) from Equity Method Investments.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 Reconciliations of the key metrics from U.S. GAAP to Adjusted results are a derivative of the reconciliations of their components above.</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 - 5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 - 5</w:t>
                      </w:r>
                    </w:p>
                  </w:txbxContent>
                </v:textbox>
                <w10:wrap type="none"/>
              </v:rect>
            </w:pict>
          </mc:Fallback>
        </mc:AlternateContent>
      </w:r>
    </w:p>
    <w:tbl>
      <w:tblPr>
        <w:tblW w:w="10044" w:type="dxa"/>
        <w:jc w:val="center"/>
        <w:tblInd w:w="0" w:type="dxa"/>
        <w:tblLayout w:type="fixed"/>
        <w:tblCellMar>
          <w:top w:w="28" w:type="dxa"/>
          <w:left w:w="28" w:type="dxa"/>
          <w:bottom w:w="28" w:type="dxa"/>
          <w:right w:w="28" w:type="dxa"/>
        </w:tblCellMar>
      </w:tblPr>
      <w:tblGrid>
        <w:gridCol w:w="1424"/>
        <w:gridCol w:w="1249"/>
        <w:gridCol w:w="1257"/>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09"/>
        <w:gridCol w:w="109"/>
        <w:gridCol w:w="154"/>
      </w:tblGrid>
      <w:tr>
        <w:trPr/>
        <w:tc>
          <w:tcPr>
            <w:tcW w:w="142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4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EVERCORE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4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 SEGMENT AND CONSOLIDATED RESULTS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4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4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 Banking &amp; Equities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Banking &amp; Equities: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Advisory Fees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775,590 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697,744 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2,020,329 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1,255,093 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Underwriting Fees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Commissions and Related Revenue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 net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966,877 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812,171 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2,335,627 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1,486,703 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Expenses: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Compensation and Benefits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627,299 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535,447 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1,516,453 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983,476 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Non-Compensation Costs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175,789 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328,445 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250,547 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Charges, Including Business Realignment Costs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824,403 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666,220 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1,866,213 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1,234,023 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(a)</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142,474 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145,951 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469,414 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252,680 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 Management</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Management and Administration Fees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 net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Expenses: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Compensation and Benefits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Non-Compensation Costs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(a)</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Banking &amp; Equities: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Advisory Fees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775,590 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697,744 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2,020,329 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1,255,093 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Underwriting Fees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Commissions and Related Revenue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Management and Administration Fees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 net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990,199 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833,830 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2,381,777 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1,528,659 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Expenses: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Compensation and Benefits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641,791 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548,611 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1,545,861 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1,008,436 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Non-Compensation Costs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134,830 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337,299 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258,650 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Charges, Including Business Realignment Costs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843,623 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683,441 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1,904,475 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1,267,086 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(a)</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146,576 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150,389 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477,302 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261,573 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ind w:left="0" w:right="0" w:hanging="360"/>
              <w:jc w:val="left"/>
              <w:rPr>
                <w:sz w:val="4"/>
                <w:szCs w:val="4"/>
              </w:rPr>
            </w:pPr>
            <w:r>
              <w:rPr>
                <w:sz w:val="4"/>
                <w:szCs w:val="4"/>
              </w:rPr>
            </w:r>
          </w:p>
        </w:tc>
        <w:tc>
          <w:tcPr>
            <w:tcW w:w="1875" w:type="dxa"/>
            <w:gridSpan w:val="9"/>
            <w:tcBorders/>
          </w:tcPr>
          <w:p>
            <w:pPr>
              <w:pStyle w:val="TableContents"/>
              <w:bidi w:val="0"/>
              <w:spacing w:before="0" w:after="283"/>
              <w:jc w:val="left"/>
              <w:rPr>
                <w:sz w:val="4"/>
                <w:szCs w:val="4"/>
              </w:rPr>
            </w:pPr>
            <w:r>
              <w:rPr>
                <w:sz w:val="4"/>
                <w:szCs w:val="4"/>
              </w:rPr>
            </w:r>
          </w:p>
        </w:tc>
      </w:tr>
      <w:tr>
        <w:trPr/>
        <w:tc>
          <w:tcPr>
            <w:tcW w:w="934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Operating Income excludes Income (Loss) from Equity 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 - 6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 - 6</w:t>
                      </w:r>
                    </w:p>
                  </w:txbxContent>
                </v:textbox>
                <w10:wrap type="none"/>
              </v:rect>
            </w:pict>
          </mc:Fallback>
        </mc:AlternateContent>
      </w:r>
    </w:p>
    <w:tbl>
      <w:tblPr>
        <w:tblW w:w="8396" w:type="dxa"/>
        <w:jc w:val="center"/>
        <w:tblInd w:w="0" w:type="dxa"/>
        <w:tblLayout w:type="fixed"/>
        <w:tblCellMar>
          <w:top w:w="28" w:type="dxa"/>
          <w:left w:w="28" w:type="dxa"/>
          <w:bottom w:w="28" w:type="dxa"/>
          <w:right w:w="28" w:type="dxa"/>
        </w:tblCellMar>
      </w:tblPr>
      <w:tblGrid>
        <w:gridCol w:w="999"/>
        <w:gridCol w:w="879"/>
        <w:gridCol w:w="882"/>
        <w:gridCol w:w="290"/>
        <w:gridCol w:w="1091"/>
        <w:gridCol w:w="161"/>
        <w:gridCol w:w="161"/>
        <w:gridCol w:w="161"/>
        <w:gridCol w:w="161"/>
        <w:gridCol w:w="290"/>
        <w:gridCol w:w="1068"/>
        <w:gridCol w:w="161"/>
        <w:gridCol w:w="161"/>
        <w:gridCol w:w="161"/>
        <w:gridCol w:w="161"/>
        <w:gridCol w:w="290"/>
        <w:gridCol w:w="1091"/>
        <w:gridCol w:w="228"/>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839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EVERCORE INC.</w:t>
            </w:r>
          </w:p>
        </w:tc>
      </w:tr>
      <w:tr>
        <w:trPr/>
        <w:tc>
          <w:tcPr>
            <w:tcW w:w="839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 RECONCILIATION TO ADJUSTED NON-COMPENSATION COSTS</w:t>
            </w:r>
          </w:p>
        </w:tc>
      </w:tr>
      <w:tr>
        <w:trPr/>
        <w:tc>
          <w:tcPr>
            <w:tcW w:w="839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r>
      <w:tr>
        <w:trPr/>
        <w:tc>
          <w:tcPr>
            <w:tcW w:w="839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Adjusted</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(dollars in thousands)</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Occupancy and Equipment Rental</w:t>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29,726 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29,726 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Professional Fees</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33,044 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33,044 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Travel and Related Expenses</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35,331 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35,331 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Technology and Information Services</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43,961 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43,961 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12,577 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(3,712)</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(5a)</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8,865 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Execution, Clearing and Custody Fees</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3,052 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3,052 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Operating Expenses</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22,826 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(1,613)</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(5c)</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21,213 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Non-Compensation Costs</w:t>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180,517 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(5,325)</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175,192 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Adjusted</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(dollars in thousands)</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Occupancy and Equipment Rental</w:t>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26,914 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26,914 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Professional Fees</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23,133 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23,133 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Travel and Related Expenses</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23,984 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23,984 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Technology and Information Services</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36,587 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36,587 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6,450 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6,450 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Execution, Clearing and Custody Fees</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3,180 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3,180 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Acquisition and Transition Costs</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(1,637)</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(5b)</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Operating Expenses</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12,945 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12,945 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Non-Compensation Costs</w:t>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134,830 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(1,637)</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133,193 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Adjusted</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(dollars in thousands)</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Occupancy and Equipment Rental</w:t>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56,791 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56,791 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Professional Fees</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61,399 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61,399 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Travel and Related Expenses</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63,202 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63,202 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Technology and Information Services</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84,379 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84,379 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25,015 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(7,442)</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(5a)</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17,573 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Execution, Clearing and Custody Fees</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6,239 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6,239 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Acquisition and Transition Costs</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1,800 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(1,800)</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(5b)</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Operating Expenses</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38,474 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(2,816)</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(5c)</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35,658 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Non-Compensation Costs</w:t>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337,299 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(12,058)</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325,241 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Adjusted</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(dollars in thousands)</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Occupancy and Equipment Rental</w:t>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52,645 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52,645 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Professional Fees</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45,523 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45,523 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Travel and Related Expenses</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46,002 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46,002 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Technology and Information Services</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69,954 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69,954 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12,426 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12,426 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Execution, Clearing and Custody Fees</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6,526 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6,526 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Acquisition and Transition Costs</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(1,637)</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(5b)</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Operating Expenses</w:t>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23,937 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23,937 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Non-Compensation Costs</w:t>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258,650 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(1,637)</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257,013 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5636" w:type="dxa"/>
            <w:gridSpan w:val="15"/>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 - 7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 - 7</w:t>
                      </w:r>
                    </w:p>
                  </w:txbxContent>
                </v:textbox>
                <w10:wrap type="none"/>
              </v:rect>
            </w:pict>
          </mc:Fallback>
        </mc:AlternateContent>
      </w:r>
    </w:p>
    <w:p>
      <w:pPr>
        <w:pStyle w:val="TextBody"/>
        <w:bidi w:val="0"/>
        <w:spacing w:lineRule="auto" w:line="288" w:before="100" w:after="283"/>
        <w:jc w:val="both"/>
        <w:rPr>
          <w:rFonts w:ascii="Times New Roman;serif" w:hAnsi="Times New Roman;serif"/>
          <w:b/>
          <w:color w:val="000000"/>
          <w:sz w:val="24"/>
        </w:rPr>
      </w:pPr>
      <w:r>
        <w:rPr>
          <w:rFonts w:ascii="Times New Roman;serif" w:hAnsi="Times New Roman;serif"/>
          <w:b/>
          <w:color w:val="000000"/>
          <w:sz w:val="24"/>
        </w:rPr>
        <w:t>Notes to Unaudited Condensed Consolidated Adjusted Financial Data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For further information on these adjustments, see page A-2.</w:t>
      </w:r>
    </w:p>
    <w:p>
      <w:pPr>
        <w:pStyle w:val="TextBody"/>
        <w:bidi w:val="0"/>
        <w:spacing w:before="0" w:after="0"/>
        <w:jc w:val="left"/>
        <w:rPr/>
      </w:pPr>
      <w:r>
        <w:rPr/>
      </w:r>
    </w:p>
    <w:p>
      <w:pPr>
        <w:pStyle w:val="TextBody"/>
        <w:bidi w:val="0"/>
        <w:spacing w:lineRule="auto" w:line="288" w:before="100" w:after="283"/>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 xml:space="preserve">(1)Income (Loss) from Equity Method Investments has been reclassified to Revenue in the Adjusted presentation. </w:t>
      </w:r>
    </w:p>
    <w:p>
      <w:pPr>
        <w:pStyle w:val="TextBody"/>
        <w:bidi w:val="0"/>
        <w:spacing w:lineRule="auto" w:line="288" w:before="100" w:after="283"/>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(2)Interest Expense on Debt, Lines of Credit and Other Financing Arrangements is excluded from Net Revenues and presented below Operating Income in the Adjusted results and is included in Interest Expense on a U.S. GAAP basis. The Adjusted results also reflect the reduction of interest expense accrued for deferred acquisition consideration issued in the acquisition of Robey Warshaw.</w:t>
      </w:r>
    </w:p>
    <w:p>
      <w:pPr>
        <w:pStyle w:val="TextBody"/>
        <w:bidi w:val="0"/>
        <w:spacing w:lineRule="auto" w:line="288" w:before="100" w:after="283"/>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(3)Expenses associated with awards granted in conjunction with the Company's acquisition of Robey Warshaw are excluded from the Adjusted presentation.</w:t>
      </w:r>
    </w:p>
    <w:p>
      <w:pPr>
        <w:pStyle w:val="TextBody"/>
        <w:bidi w:val="0"/>
        <w:spacing w:lineRule="auto" w:line="288" w:before="100" w:after="283"/>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(4)Expenses during 2026 that are excluded from the Adjusted presentation reflect an estimated loss provision for non-U.S. employment taxes for prior periods.</w:t>
      </w:r>
    </w:p>
    <w:p>
      <w:pPr>
        <w:pStyle w:val="TextBody"/>
        <w:bidi w:val="0"/>
        <w:spacing w:lineRule="auto" w:line="288" w:before="100" w:after="283"/>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(5)Non-Compensation Costs on an Adjusted basis reflect the following adjustments:</w:t>
      </w:r>
    </w:p>
    <w:p>
      <w:pPr>
        <w:pStyle w:val="TextBody"/>
        <w:bidi w:val="0"/>
        <w:spacing w:lineRule="auto" w:line="288" w:before="100" w:after="283"/>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(5a)The exclusion from the Adjusted presentation of expenses associated with the amortization of intangible assets from the acquisition of Robey Warshaw.</w:t>
      </w:r>
    </w:p>
    <w:p>
      <w:pPr>
        <w:pStyle w:val="TextBody"/>
        <w:bidi w:val="0"/>
        <w:spacing w:lineRule="auto" w:line="288" w:before="100" w:after="283"/>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(5b)The exclusion from the Adjusted presentation of costs incurred for the impairment of a lease in the first quarter of 2026 related to the acquisition of Robey Warshaw and professional fees incurred in the second quarter of 2025 related to transitioning acquisitions or divestitures.</w:t>
      </w:r>
    </w:p>
    <w:p>
      <w:pPr>
        <w:pStyle w:val="TextBody"/>
        <w:bidi w:val="0"/>
        <w:spacing w:lineRule="auto" w:line="288" w:before="100" w:after="283"/>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(5c)The exclusion from the Adjusted presentation of the expense, or reversal of expense, associated with the changes in fair value of contingent consideration issued to the sellers of Robey Warshaw.</w:t>
      </w:r>
    </w:p>
    <w:p>
      <w:pPr>
        <w:pStyle w:val="TextBody"/>
        <w:bidi w:val="0"/>
        <w:spacing w:lineRule="auto" w:line="288" w:before="100" w:after="283"/>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 xml:space="preserve">(6)Evercore is organized as a series of Limited Liability Companies, Partnerships, C-Corporations and a Public Corporation in the U.S. as the ultimate parent. Certain of the subsidiaries, particularly Evercore LP, have noncontrolling interests held by management or former members of management. As a result, not all of the Company’s income is subject to corporate level taxes and certain other state and local taxes are levied. The assumption in the Adjusted earnings presentation is that substantially all of the noncontrolling interest is eliminated through the exchange of Evercore LP units into Class A common stock of the ultimate parent. As a result, the Adjusted earnings presentation assumes that the allocation of earnings to Evercore LP’s noncontrolling interest holders is substantially eliminated and is therefore subject to statutory tax rates of a C-Corporation under a conventional tax structure in the U.S. and that certain state and local taxes are reduced accordingly. </w:t>
      </w:r>
    </w:p>
    <w:p>
      <w:pPr>
        <w:pStyle w:val="TextBody"/>
        <w:bidi w:val="0"/>
        <w:spacing w:lineRule="auto" w:line="288" w:before="100" w:after="283"/>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(7)Reflects an adjustment to eliminate noncontrolling interest related to substantially all Evercore LP partnership units which are assumed to be converted to Class A common stock in the Adjusted presentation.</w:t>
      </w:r>
    </w:p>
    <w:p>
      <w:pPr>
        <w:pStyle w:val="TextBody"/>
        <w:bidi w:val="0"/>
        <w:spacing w:lineRule="auto" w:line="288" w:before="100" w:after="283"/>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(8)Assumes the exchange into Class A shares of substantially all Evercore LP Units and IPO related restricted stock unit awards in the Adjusted presentation. In the computation of outstanding common stock equivalents for U.S. GAAP net income per share, the Evercore LP Units are anti-dilutive.</w:t>
      </w:r>
    </w:p>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 - 8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 - 8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eb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8686</Words>
  <Characters>49131</Characters>
  <CharactersWithSpaces>56945</CharactersWithSpaces>
  <Paragraphs>2028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