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18, 2026.</w:t>
      </w:r>
    </w:p>
    <w:p>
      <w:pPr>
        <w:spacing w:after="0" w:line="30"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EVERCORE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780" w:type="dxa"/>
        <w:tblCellMar>
          <w:top w:w="0" w:type="dxa"/>
          <w:left w:w="0" w:type="dxa"/>
          <w:bottom w:w="0" w:type="dxa"/>
          <w:right w:w="0" w:type="dxa"/>
        </w:tblCellMar>
      </w:tblPr>
      <w:tr>
        <w:trPr>
          <w:trHeight w:val="211"/>
        </w:trPr>
        <w:tc>
          <w:tcPr>
            <w:tcW w:w="3920" w:type="dxa"/>
            <w:vAlign w:val="bottom"/>
          </w:tcPr>
          <w:p>
            <w:pPr>
              <w:jc w:val="center"/>
              <w:ind w:right="192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center"/>
              <w:ind w:left="1923"/>
              <w:spacing w:after="0"/>
              <w:rPr>
                <w:sz w:val="20"/>
                <w:szCs w:val="20"/>
                <w:color w:val="auto"/>
              </w:rPr>
            </w:pPr>
            <w:r>
              <w:rPr>
                <w:rFonts w:ascii="Times New Roman" w:cs="Times New Roman" w:eastAsia="Times New Roman" w:hAnsi="Times New Roman"/>
                <w:sz w:val="18"/>
                <w:szCs w:val="18"/>
                <w:b w:val="1"/>
                <w:bCs w:val="1"/>
                <w:color w:val="auto"/>
                <w:w w:val="98"/>
              </w:rPr>
              <w:t>20-4748747</w:t>
            </w:r>
          </w:p>
        </w:tc>
      </w:tr>
      <w:tr>
        <w:trPr>
          <w:trHeight w:val="147"/>
        </w:trPr>
        <w:tc>
          <w:tcPr>
            <w:tcW w:w="3920" w:type="dxa"/>
            <w:vAlign w:val="bottom"/>
          </w:tcPr>
          <w:p>
            <w:pPr>
              <w:jc w:val="center"/>
              <w:ind w:right="1923"/>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00" w:type="dxa"/>
            <w:vAlign w:val="bottom"/>
          </w:tcPr>
          <w:p>
            <w:pPr>
              <w:jc w:val="center"/>
              <w:ind w:left="1923"/>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3920" w:type="dxa"/>
            <w:vAlign w:val="bottom"/>
          </w:tcPr>
          <w:p>
            <w:pPr>
              <w:jc w:val="center"/>
              <w:ind w:right="192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00" w:type="dxa"/>
            <w:vAlign w:val="bottom"/>
          </w:tcPr>
          <w:p>
            <w:pPr>
              <w:jc w:val="center"/>
              <w:ind w:left="192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55 East 52nd Street</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38th Floor</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10055</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Telephone: (212) 857-3100</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principal executive offices)</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Fourth Amended and Restated 2016 Evercore Inc. Stock Incentive Plan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Jason Klurfeld, Esq.</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Senior Managing Director and General Counsel</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Evercore Inc.</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55 East 52nd Street</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NY 10055</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Telephone: (212) 857-3100</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including zip code, and telephone number, including area code, of agent for service of process)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company in Rule 12b-2 of the Securities Exchange Act of 1934, as amended (the “Exchange Act”). (Check one):</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1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10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5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5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At the 2026 annual meeting of stockholders of Evercore Inc. (the “Company” or the “Registrant”), the Company’s stockholders approved the Fourth Amended and Restated 2016 Evercore Inc. Stock Incentive Plan (the “Fourth Amended 2016 Plan”), which provides for grants of equity awards to designated employees, directors and other service providers of the Company and its affiliates. The number of shares of the Company’s Class A common stock, par value $0.01 (the “Shares”) which may be granted under the Fourth Amended 2016 Plan has been increased by 5,000,000 Shares from the 53,500,000 Shares which were previously authorized for issuance under the Third Amended and Restated 2016 Evercore Inc. Stock Incentive Plan, effective June 18, 2024. This Registration Statement on Form S-8 relates to the additional 5,000,000 Shares authorized for issuance under the Fourth Amended 2016 Plan.</w:t>
      </w:r>
    </w:p>
    <w:p>
      <w:pPr>
        <w:spacing w:after="0" w:line="18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Pursuant to General Instruction E on Form S-8, the contents of the Registration Statement on Form S-8 with respect to the Third Amended and Restated 2016 Evercore Inc. Stock Incentive Plan (Registration No. 333-280413), filed with the Securities and Exchange Commission on June 21, 2024, including the information contained therein, are hereby incorporated by reference to this Registration Statement on Form S-8 (the “Registration Statement”), except that the provisions contained in Part II of such earlier registration statement are modified as set forth in this Registration Statement.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The information specified in Items 1 and 2 of Part I of the Form S-8 is omitted from this filing in accordance with the provisions of Rule 428 under the Securities Act of 1933 and the introductory note to Part I of the Form S-8. The documents containing the information specified in this Part I will be delivered to the participants in the Plan covered by this Registration Statement as required by Rule 428(b)(1).</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4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to be filed with this Registration Statement pursuant to General Instruction E to Form S-8.</w:t>
      </w:r>
    </w:p>
    <w:p>
      <w:pPr>
        <w:spacing w:after="0" w:line="36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Description of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to be filed with this Registration Statement pursuant to General Instruction E to Form S-8.</w:t>
      </w:r>
    </w:p>
    <w:p>
      <w:pPr>
        <w:spacing w:after="0" w:line="36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Interests of Named Experts and Counsel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to be filed with this Registration Statement pursuant to General Instruction E to Form S-8.</w:t>
      </w:r>
    </w:p>
    <w:p>
      <w:pPr>
        <w:spacing w:after="0" w:line="36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1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Section 145 of the Delaware General Corporation Law provides, in summary, that directors and officers of Delaware corporations are entitled, under certain circumstances, to be indemnified against all expenses and liabilities (including attorneys’ fees) incurred by them as a result of suits brought against them in their capacity as a director or officer, if they acted in good faith and in a manner they reasonably believed to be in or not opposed to the Company’s best interests, and, with respect to any criminal action or proceeding, if they had no reasonable cause to believe their conduct was unlawful; provided that no indemnification may be made against expenses in respect of any claim, issue or matter as to which they shall have been adjudged to be liable to the Company, unless and only to the extent that the court in which such action or suit was brought shall determine upon application that, despite the adjudication of liability but in view of all the circumstances of the case, they are fairly and reasonably entitled to indemnity for such expenses which the court shall deem proper. Any such indemnification may be made by the Company only as authorized in each specific case upon a determination by the stockholders, disinterested directors or independent legal counsel that indemnification is proper because the indemnitee has met the applicable standard of conduct.</w:t>
      </w:r>
    </w:p>
    <w:p>
      <w:pPr>
        <w:sectPr>
          <w:pgSz w:w="11900" w:h="16838" w:orient="portrait"/>
          <w:cols w:equalWidth="0" w:num="1">
            <w:col w:w="10880"/>
          </w:cols>
          <w:pgMar w:left="500" w:top="264" w:right="519" w:bottom="1440" w:gutter="0" w:footer="0" w:header="0"/>
        </w:sectPr>
      </w:pPr>
    </w:p>
    <w:bookmarkStart w:id="2" w:name="page3"/>
    <w:bookmarkEnd w:id="2"/>
    <w:p>
      <w:pPr>
        <w:ind w:left="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Company’s certificate of incorporation provides that the Company will indemnify its directors and officers to the fullest extent permitted by law and that no director shall be liable for monetary damages to the Company or its stockholders for any breach of fiduciary duty, except to the extent provided by applicable law.</w:t>
      </w:r>
    </w:p>
    <w:p>
      <w:pPr>
        <w:spacing w:after="0" w:line="177" w:lineRule="exact"/>
        <w:rPr>
          <w:sz w:val="20"/>
          <w:szCs w:val="20"/>
          <w:color w:val="auto"/>
        </w:rPr>
      </w:pPr>
    </w:p>
    <w:p>
      <w:pPr>
        <w:ind w:left="6" w:right="40"/>
        <w:spacing w:after="0" w:line="277" w:lineRule="auto"/>
        <w:rPr>
          <w:sz w:val="20"/>
          <w:szCs w:val="20"/>
          <w:color w:val="auto"/>
        </w:rPr>
      </w:pPr>
      <w:r>
        <w:rPr>
          <w:rFonts w:ascii="Times New Roman" w:cs="Times New Roman" w:eastAsia="Times New Roman" w:hAnsi="Times New Roman"/>
          <w:sz w:val="18"/>
          <w:szCs w:val="18"/>
          <w:color w:val="auto"/>
        </w:rPr>
        <w:t>The Company currently maintains liability insurance for its directors and officers. Such insurance is available to the Company’s directors and officers in accordance with its terms.</w:t>
      </w:r>
    </w:p>
    <w:p>
      <w:pPr>
        <w:spacing w:after="0" w:line="306" w:lineRule="exact"/>
        <w:rPr>
          <w:sz w:val="20"/>
          <w:szCs w:val="20"/>
          <w:color w:val="auto"/>
        </w:rPr>
      </w:pPr>
    </w:p>
    <w:p>
      <w:pPr>
        <w:ind w:left="6"/>
        <w:spacing w:after="0"/>
        <w:tabs>
          <w:tab w:leader="none" w:pos="946"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Exemption from Registration Claimed.</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Not required to be filed with this Registration Statement pursuant to General Instruction E to Form S-8.</w:t>
      </w:r>
    </w:p>
    <w:p>
      <w:pPr>
        <w:spacing w:after="0" w:line="363" w:lineRule="exact"/>
        <w:rPr>
          <w:sz w:val="20"/>
          <w:szCs w:val="20"/>
          <w:color w:val="auto"/>
        </w:rPr>
      </w:pPr>
    </w:p>
    <w:p>
      <w:pPr>
        <w:ind w:left="6"/>
        <w:spacing w:after="0"/>
        <w:tabs>
          <w:tab w:leader="none" w:pos="946"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See exhibits listed under the Exhibit Index below, which is incorporated in this item herein by reference.</w:t>
      </w:r>
    </w:p>
    <w:p>
      <w:pPr>
        <w:spacing w:after="0" w:line="363" w:lineRule="exact"/>
        <w:rPr>
          <w:sz w:val="20"/>
          <w:szCs w:val="20"/>
          <w:color w:val="auto"/>
        </w:rPr>
      </w:pPr>
    </w:p>
    <w:p>
      <w:pPr>
        <w:ind w:left="6"/>
        <w:spacing w:after="0"/>
        <w:tabs>
          <w:tab w:leader="none" w:pos="946"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Not required to be filed with this Registration Statement pursuant to General Instruction E to Form S-8.</w:t>
      </w:r>
    </w:p>
    <w:p>
      <w:pPr>
        <w:spacing w:after="0" w:line="200" w:lineRule="exact"/>
        <w:rPr>
          <w:sz w:val="20"/>
          <w:szCs w:val="20"/>
          <w:color w:val="auto"/>
        </w:rPr>
      </w:pPr>
    </w:p>
    <w:p>
      <w:pPr>
        <w:spacing w:after="0" w:line="23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1"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7"/>
        </w:trPr>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-635</wp:posOffset>
            </wp:positionV>
            <wp:extent cx="63366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36665" cy="8255"/>
                    </a:xfrm>
                    <a:prstGeom prst="rect">
                      <a:avLst/>
                    </a:prstGeom>
                    <a:noFill/>
                  </pic:spPr>
                </pic:pic>
              </a:graphicData>
            </a:graphic>
          </wp:anchor>
        </w:drawing>
      </w:r>
    </w:p>
    <w:p>
      <w:pPr>
        <w:spacing w:after="0" w:line="67" w:lineRule="exact"/>
        <w:rPr>
          <w:sz w:val="20"/>
          <w:szCs w:val="20"/>
          <w:color w:val="auto"/>
        </w:rPr>
      </w:pPr>
    </w:p>
    <w:p>
      <w:pPr>
        <w:ind w:left="86" w:hanging="86"/>
        <w:spacing w:after="0"/>
        <w:tabs>
          <w:tab w:leader="none" w:pos="86" w:val="left"/>
        </w:tabs>
        <w:numPr>
          <w:ilvl w:val="0"/>
          <w:numId w:val="1"/>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4.1</w:t>
      </w:r>
      <w:hyperlink r:id="rId19">
        <w:r>
          <w:rPr>
            <w:rFonts w:ascii="Times New Roman" w:cs="Times New Roman" w:eastAsia="Times New Roman" w:hAnsi="Times New Roman"/>
            <w:sz w:val="17"/>
            <w:szCs w:val="17"/>
            <w:u w:val="single" w:color="auto"/>
            <w:color w:val="0000EE"/>
          </w:rPr>
          <w:t>Restated Certificate of Incorporation of the Registrant(1)</w:t>
        </w:r>
      </w:hyperlink>
    </w:p>
    <w:p>
      <w:pPr>
        <w:spacing w:after="0" w:line="125" w:lineRule="exact"/>
        <w:rPr>
          <w:rFonts w:ascii="Times New Roman" w:cs="Times New Roman" w:eastAsia="Times New Roman" w:hAnsi="Times New Roman"/>
          <w:sz w:val="17"/>
          <w:szCs w:val="17"/>
          <w:u w:val="single" w:color="auto"/>
          <w:color w:val="0000EE"/>
        </w:rPr>
      </w:pPr>
    </w:p>
    <w:p>
      <w:pPr>
        <w:ind w:left="86" w:hanging="86"/>
        <w:spacing w:after="0"/>
        <w:tabs>
          <w:tab w:leader="none" w:pos="86" w:val="left"/>
        </w:tabs>
        <w:numPr>
          <w:ilvl w:val="0"/>
          <w:numId w:val="1"/>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4.2</w:t>
      </w:r>
      <w:hyperlink r:id="rId20">
        <w:r>
          <w:rPr>
            <w:rFonts w:ascii="Times New Roman" w:cs="Times New Roman" w:eastAsia="Times New Roman" w:hAnsi="Times New Roman"/>
            <w:sz w:val="17"/>
            <w:szCs w:val="17"/>
            <w:u w:val="single" w:color="auto"/>
            <w:color w:val="0000EE"/>
          </w:rPr>
          <w:t>Amended and Restated By-laws of the Registrant(2)</w:t>
        </w:r>
      </w:hyperlink>
    </w:p>
    <w:p>
      <w:pPr>
        <w:spacing w:after="0" w:line="125" w:lineRule="exact"/>
        <w:rPr>
          <w:rFonts w:ascii="Times New Roman" w:cs="Times New Roman" w:eastAsia="Times New Roman" w:hAnsi="Times New Roman"/>
          <w:sz w:val="17"/>
          <w:szCs w:val="17"/>
          <w:u w:val="single" w:color="auto"/>
          <w:color w:val="0000EE"/>
        </w:rPr>
      </w:pPr>
    </w:p>
    <w:p>
      <w:pPr>
        <w:ind w:left="86" w:hanging="86"/>
        <w:spacing w:after="0"/>
        <w:tabs>
          <w:tab w:leader="none" w:pos="86" w:val="left"/>
        </w:tabs>
        <w:numPr>
          <w:ilvl w:val="0"/>
          <w:numId w:val="1"/>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4.3</w:t>
      </w:r>
      <w:hyperlink r:id="rId21">
        <w:r>
          <w:rPr>
            <w:rFonts w:ascii="Times New Roman" w:cs="Times New Roman" w:eastAsia="Times New Roman" w:hAnsi="Times New Roman"/>
            <w:sz w:val="17"/>
            <w:szCs w:val="17"/>
            <w:u w:val="single" w:color="auto"/>
            <w:color w:val="0000EE"/>
          </w:rPr>
          <w:t>Fourth Amended and Restated 2016 Evercore Inc. Stock Incentive Plan(3)</w:t>
        </w:r>
      </w:hyperlink>
    </w:p>
    <w:p>
      <w:pPr>
        <w:spacing w:after="0" w:line="125" w:lineRule="exact"/>
        <w:rPr>
          <w:rFonts w:ascii="Times New Roman" w:cs="Times New Roman" w:eastAsia="Times New Roman" w:hAnsi="Times New Roman"/>
          <w:sz w:val="17"/>
          <w:szCs w:val="17"/>
          <w:u w:val="single" w:color="auto"/>
          <w:color w:val="0000EE"/>
        </w:rPr>
      </w:pPr>
    </w:p>
    <w:p>
      <w:pPr>
        <w:ind w:left="86" w:hanging="86"/>
        <w:spacing w:after="0"/>
        <w:tabs>
          <w:tab w:leader="none" w:pos="8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5.1*</w:t>
      </w:r>
      <w:r>
        <w:rPr>
          <w:rFonts w:ascii="Times New Roman" w:cs="Times New Roman" w:eastAsia="Times New Roman" w:hAnsi="Times New Roman"/>
          <w:sz w:val="17"/>
          <w:szCs w:val="17"/>
          <w:u w:val="single" w:color="auto"/>
          <w:color w:val="0000EE"/>
        </w:rPr>
        <w:t>Opinion of Sullivan &amp; Cromwell LLP</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23.1*</w:t>
      </w:r>
      <w:r>
        <w:rPr>
          <w:rFonts w:ascii="Times New Roman" w:cs="Times New Roman" w:eastAsia="Times New Roman" w:hAnsi="Times New Roman"/>
          <w:sz w:val="17"/>
          <w:szCs w:val="17"/>
          <w:u w:val="single" w:color="auto"/>
          <w:color w:val="0000EE"/>
        </w:rPr>
        <w:t>Consent of Deloitte &amp; Touche LLP</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23.2*</w:t>
      </w:r>
      <w:r>
        <w:rPr>
          <w:rFonts w:ascii="Times New Roman" w:cs="Times New Roman" w:eastAsia="Times New Roman" w:hAnsi="Times New Roman"/>
          <w:sz w:val="17"/>
          <w:szCs w:val="17"/>
          <w:u w:val="single" w:color="auto"/>
          <w:color w:val="0000EE"/>
        </w:rPr>
        <w:t>Consent of Sullivan &amp; Cromwell LLP (included as part of Exhibit 5.1)</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24.1*</w:t>
      </w:r>
      <w:r>
        <w:rPr>
          <w:rFonts w:ascii="Times New Roman" w:cs="Times New Roman" w:eastAsia="Times New Roman" w:hAnsi="Times New Roman"/>
          <w:sz w:val="17"/>
          <w:szCs w:val="17"/>
          <w:u w:val="single" w:color="auto"/>
          <w:color w:val="0000EE"/>
        </w:rPr>
        <w:t>Power of Attorney (included in the signature pages to this Registration Statement)</w:t>
      </w:r>
    </w:p>
    <w:p>
      <w:pPr>
        <w:spacing w:after="0" w:line="125" w:lineRule="exact"/>
        <w:rPr>
          <w:rFonts w:ascii="Times New Roman" w:cs="Times New Roman" w:eastAsia="Times New Roman" w:hAnsi="Times New Roman"/>
          <w:sz w:val="17"/>
          <w:szCs w:val="17"/>
          <w:color w:val="auto"/>
        </w:rPr>
      </w:pPr>
    </w:p>
    <w:p>
      <w:pPr>
        <w:ind w:left="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17"/>
          <w:szCs w:val="17"/>
          <w:u w:val="single" w:color="auto"/>
          <w:color w:val="0000EE"/>
        </w:rPr>
        <w:t>Filing Fee Table</w:t>
      </w:r>
    </w:p>
    <w:p>
      <w:pPr>
        <w:spacing w:after="0" w:line="247" w:lineRule="exact"/>
        <w:rPr>
          <w:rFonts w:ascii="Times New Roman" w:cs="Times New Roman" w:eastAsia="Times New Roman" w:hAnsi="Times New Roman"/>
          <w:sz w:val="17"/>
          <w:szCs w:val="17"/>
          <w:color w:val="auto"/>
        </w:rPr>
      </w:pPr>
    </w:p>
    <w:p>
      <w:pPr>
        <w:ind w:left="426" w:hanging="426"/>
        <w:spacing w:after="0"/>
        <w:tabs>
          <w:tab w:leader="none" w:pos="4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6" w:lineRule="exact"/>
        <w:rPr>
          <w:rFonts w:ascii="Times New Roman" w:cs="Times New Roman" w:eastAsia="Times New Roman" w:hAnsi="Times New Roman"/>
          <w:sz w:val="17"/>
          <w:szCs w:val="17"/>
          <w:color w:val="auto"/>
        </w:rPr>
      </w:pPr>
    </w:p>
    <w:p>
      <w:pPr>
        <w:ind w:left="426" w:right="40" w:hanging="426"/>
        <w:spacing w:after="0" w:line="247" w:lineRule="auto"/>
        <w:tabs>
          <w:tab w:leader="none" w:pos="4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of the Registrant’s Quarterly Report on Form 10-Q (Commission File No. 001-32975), filed November 2, 2017.</w:t>
      </w:r>
    </w:p>
    <w:p>
      <w:pPr>
        <w:spacing w:after="0" w:line="1" w:lineRule="exact"/>
        <w:rPr>
          <w:rFonts w:ascii="Times New Roman" w:cs="Times New Roman" w:eastAsia="Times New Roman" w:hAnsi="Times New Roman"/>
          <w:sz w:val="18"/>
          <w:szCs w:val="18"/>
          <w:color w:val="auto"/>
        </w:rPr>
      </w:pPr>
    </w:p>
    <w:p>
      <w:pPr>
        <w:ind w:left="426" w:right="260" w:hanging="426"/>
        <w:spacing w:after="0" w:line="247" w:lineRule="auto"/>
        <w:tabs>
          <w:tab w:leader="none" w:pos="4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3.2 of the Registrant’s Current Report on Form 8-K (Commission File No. 001-32975), filed September 1, 2017.</w:t>
      </w:r>
    </w:p>
    <w:p>
      <w:pPr>
        <w:spacing w:after="0" w:line="1"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Annex B to the Registrant’s definitive proxy statement, filed April 29, 2026.</w:t>
      </w:r>
    </w:p>
    <w:p>
      <w:pPr>
        <w:sectPr>
          <w:pgSz w:w="11900" w:h="16838" w:orient="portrait"/>
          <w:cols w:equalWidth="0" w:num="1">
            <w:col w:w="10886"/>
          </w:cols>
          <w:pgMar w:left="494" w:top="268" w:right="519" w:bottom="1440" w:gutter="0" w:footer="0" w:header="0"/>
        </w:sectPr>
      </w:pPr>
    </w:p>
    <w:bookmarkStart w:id="3" w:name="page4"/>
    <w:bookmarkEnd w:id="3"/>
    <w:p>
      <w:pPr>
        <w:ind w:left="48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June 18, 2026.</w:t>
      </w:r>
    </w:p>
    <w:p>
      <w:pPr>
        <w:spacing w:after="0" w:line="20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EVERCORE INC.</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 Jason Klurfeld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15875</wp:posOffset>
            </wp:positionV>
            <wp:extent cx="25704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spacing w:after="0" w:line="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Name: Jason Klurfeld</w:t>
      </w:r>
    </w:p>
    <w:p>
      <w:pPr>
        <w:spacing w:after="0" w:line="20"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320"/>
          </w:cols>
          <w:pgMar w:left="500" w:top="264" w:right="10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POWER OF ATTORNEY</w:t>
      </w:r>
    </w:p>
    <w:p>
      <w:pPr>
        <w:spacing w:after="0" w:line="22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KNOW ALL PERSONS BY THESE PRESENTS, that the undersigned directors and officers of the Registrant, a Delaware corporation, which is filing a Registration Statement on Form S-8 with the Securities and Exchange Commission, Washington, D.C. 20549 under the provisions of the Securities Act of 1933 hereby constitute and appoint John S. Weinberg, Roger C. Altman, Timothy LaLonde, Jason Klurfeld and Paul Pensa, and each of them (with full power to act alone), the individual’s true and lawful attorneys-in-fact and agents, with full power of substitution and resubstitution, for the person and in his or her name, place and stead, in any and all capacities, to sign such registration statement and any or all amendments or supplements with all exhibits thereto, including any stickers or post-effective amendments to the Registration Statement,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as agents or any of them, or their substitute or substitutes, may lawfully do or cause to be done by virtue hereof.</w:t>
      </w:r>
    </w:p>
    <w:p>
      <w:pPr>
        <w:spacing w:after="0" w:line="186"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below on June 18, 2026.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07"/>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S. Weinberg</w:t>
            </w:r>
          </w:p>
        </w:tc>
        <w:tc>
          <w:tcPr>
            <w:tcW w:w="12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Executive Officer (Principal Executive Officer) and</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John S. Weinberg</w:t>
            </w:r>
          </w:p>
        </w:tc>
        <w:tc>
          <w:tcPr>
            <w:tcW w:w="12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r>
      <w:tr>
        <w:trPr>
          <w:trHeight w:val="418"/>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Roger C. Altman</w:t>
            </w:r>
          </w:p>
        </w:tc>
        <w:tc>
          <w:tcPr>
            <w:tcW w:w="12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Chairman</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Roger C. Altman</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Pamela G. Carlton</w:t>
            </w:r>
          </w:p>
        </w:tc>
        <w:tc>
          <w:tcPr>
            <w:tcW w:w="12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Pamela G. Carlton</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Ellen V. Futter</w:t>
            </w:r>
          </w:p>
        </w:tc>
        <w:tc>
          <w:tcPr>
            <w:tcW w:w="12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Ellen V. Futter</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Gail B. Harris</w:t>
            </w:r>
          </w:p>
        </w:tc>
        <w:tc>
          <w:tcPr>
            <w:tcW w:w="12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Gail B. Harris</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B. Millard</w:t>
            </w:r>
          </w:p>
        </w:tc>
        <w:tc>
          <w:tcPr>
            <w:tcW w:w="12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Robert B. Millard</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Willard J. Overlock, Jr.</w:t>
            </w:r>
          </w:p>
        </w:tc>
        <w:tc>
          <w:tcPr>
            <w:tcW w:w="12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Willard J. Overlock, Jr.</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Sir Simon M. Robertson</w:t>
            </w:r>
          </w:p>
        </w:tc>
        <w:tc>
          <w:tcPr>
            <w:tcW w:w="12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Sir Simon M. Robertson</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r>
    </w:tbl>
    <w:p>
      <w:pPr>
        <w:sectPr>
          <w:pgSz w:w="11900" w:h="16838" w:orient="portrait"/>
          <w:cols w:equalWidth="0" w:num="1">
            <w:col w:w="10880"/>
          </w:cols>
          <w:pgMar w:left="500" w:top="264" w:right="51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Christine A. Varney</w:t>
            </w:r>
          </w:p>
        </w:tc>
        <w:tc>
          <w:tcPr>
            <w:tcW w:w="360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Christine A. Varney</w:t>
            </w:r>
          </w:p>
        </w:tc>
        <w:tc>
          <w:tcPr>
            <w:tcW w:w="360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Wheeler</w:t>
            </w:r>
          </w:p>
        </w:tc>
        <w:tc>
          <w:tcPr>
            <w:tcW w:w="360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William J. Wheeler</w:t>
            </w:r>
          </w:p>
        </w:tc>
        <w:tc>
          <w:tcPr>
            <w:tcW w:w="360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Sarah K. Williamson</w:t>
            </w:r>
          </w:p>
        </w:tc>
        <w:tc>
          <w:tcPr>
            <w:tcW w:w="360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Sarah K. Williamson</w:t>
            </w:r>
          </w:p>
        </w:tc>
        <w:tc>
          <w:tcPr>
            <w:tcW w:w="360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LaLonde</w:t>
            </w:r>
          </w:p>
        </w:tc>
        <w:tc>
          <w:tcPr>
            <w:tcW w:w="360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Timothy LaLonde</w:t>
            </w:r>
          </w:p>
        </w:tc>
        <w:tc>
          <w:tcPr>
            <w:tcW w:w="360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8"/>
              </w:rPr>
              <w:t>(Principal Financial Officer)</w:t>
            </w:r>
          </w:p>
        </w:tc>
      </w:tr>
      <w:tr>
        <w:trPr>
          <w:trHeight w:val="418"/>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Pensa</w:t>
            </w:r>
          </w:p>
        </w:tc>
        <w:tc>
          <w:tcPr>
            <w:tcW w:w="360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9"/>
              </w:rPr>
              <w:t>Controller</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Paul Pensa</w:t>
            </w:r>
          </w:p>
        </w:tc>
        <w:tc>
          <w:tcPr>
            <w:tcW w:w="360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8"/>
              </w:rPr>
              <w:t>(Principal Accounting Officer)</w:t>
            </w:r>
          </w:p>
        </w:tc>
      </w:tr>
    </w:tbl>
    <w:p>
      <w:pPr>
        <w:sectPr>
          <w:pgSz w:w="11900" w:h="16838" w:orient="portrait"/>
          <w:cols w:equalWidth="0" w:num="1">
            <w:col w:w="9959"/>
          </w:cols>
          <w:pgMar w:left="500" w:top="268"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[Letterhead of Sullivan &amp; Cromwell LLP]</w:t>
      </w:r>
    </w:p>
    <w:p>
      <w:pPr>
        <w:spacing w:after="0" w:line="202"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7"/>
          <w:szCs w:val="17"/>
          <w:color w:val="auto"/>
        </w:rPr>
        <w:t>June 18, 2026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Evercore Inc.,</w:t>
      </w:r>
    </w:p>
    <w:p>
      <w:pPr>
        <w:ind w:left="420"/>
        <w:spacing w:after="0" w:line="193" w:lineRule="auto"/>
        <w:rPr>
          <w:sz w:val="20"/>
          <w:szCs w:val="20"/>
          <w:color w:val="auto"/>
        </w:rPr>
      </w:pPr>
      <w:r>
        <w:rPr>
          <w:rFonts w:ascii="Times New Roman" w:cs="Times New Roman" w:eastAsia="Times New Roman" w:hAnsi="Times New Roman"/>
          <w:sz w:val="18"/>
          <w:szCs w:val="18"/>
          <w:color w:val="auto"/>
        </w:rPr>
        <w:t>55 East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Street,</w:t>
      </w:r>
    </w:p>
    <w:p>
      <w:pPr>
        <w:ind w:left="980"/>
        <w:spacing w:after="0"/>
        <w:rPr>
          <w:sz w:val="20"/>
          <w:szCs w:val="20"/>
          <w:color w:val="auto"/>
        </w:rPr>
      </w:pPr>
      <w:r>
        <w:rPr>
          <w:rFonts w:ascii="Times New Roman" w:cs="Times New Roman" w:eastAsia="Times New Roman" w:hAnsi="Times New Roman"/>
          <w:sz w:val="18"/>
          <w:szCs w:val="18"/>
          <w:color w:val="auto"/>
        </w:rPr>
        <w:t>New York, New York 10055.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4" w:lineRule="exact"/>
        <w:rPr>
          <w:sz w:val="20"/>
          <w:szCs w:val="20"/>
          <w:color w:val="auto"/>
        </w:rPr>
      </w:pPr>
    </w:p>
    <w:p>
      <w:pPr>
        <w:ind w:right="60" w:firstLine="981"/>
        <w:spacing w:after="0" w:line="257" w:lineRule="auto"/>
        <w:rPr>
          <w:sz w:val="20"/>
          <w:szCs w:val="20"/>
          <w:color w:val="auto"/>
        </w:rPr>
      </w:pPr>
      <w:r>
        <w:rPr>
          <w:rFonts w:ascii="Times New Roman" w:cs="Times New Roman" w:eastAsia="Times New Roman" w:hAnsi="Times New Roman"/>
          <w:sz w:val="18"/>
          <w:szCs w:val="18"/>
          <w:color w:val="auto"/>
        </w:rPr>
        <w:t>In connection with the registration under the Securities Act of 1933 (the “Act”) of 5,000,000 shares (the “Securities”) of Class A Common Stock, par value $0.01 per share, of Evercore Inc., a Delaware corporation (the “Company”), issuable under the Fourth Amended and Restated 2016 Evercore Inc. Stock Incentive Plan (the “Plan”), we, as your counsel, have examined such corporate records, certificates and other documents, and such questions of law, as we have considered necessary or appropriate for the purposes of this opinion.</w:t>
      </w:r>
    </w:p>
    <w:p>
      <w:pPr>
        <w:spacing w:after="0" w:line="182" w:lineRule="exact"/>
        <w:rPr>
          <w:sz w:val="20"/>
          <w:szCs w:val="20"/>
          <w:color w:val="auto"/>
        </w:rPr>
      </w:pPr>
    </w:p>
    <w:p>
      <w:pPr>
        <w:ind w:right="320" w:firstLine="981"/>
        <w:spacing w:after="0" w:line="257" w:lineRule="auto"/>
        <w:rPr>
          <w:sz w:val="20"/>
          <w:szCs w:val="20"/>
          <w:color w:val="auto"/>
        </w:rPr>
      </w:pPr>
      <w:r>
        <w:rPr>
          <w:rFonts w:ascii="Times New Roman" w:cs="Times New Roman" w:eastAsia="Times New Roman" w:hAnsi="Times New Roman"/>
          <w:sz w:val="18"/>
          <w:szCs w:val="18"/>
          <w:color w:val="auto"/>
        </w:rPr>
        <w:t>Upon the basis of such examination, it is our opinion that when the registration statement relating to the Securities (the “Registration Statement”) has become effective under the Act, the terms of the sale of the Securities have been duly established in conformity with the Company’s certificate of incorporation, and the Securities have been duly issued and sold as contemplated by the Registration Statement, the Securities will be validly issued, fully paid and nonassessable.</w:t>
      </w:r>
    </w:p>
    <w:p>
      <w:pPr>
        <w:spacing w:after="0" w:line="182" w:lineRule="exact"/>
        <w:rPr>
          <w:sz w:val="20"/>
          <w:szCs w:val="20"/>
          <w:color w:val="auto"/>
        </w:rPr>
      </w:pPr>
    </w:p>
    <w:p>
      <w:pPr>
        <w:ind w:right="80" w:firstLine="981"/>
        <w:spacing w:after="0" w:line="277" w:lineRule="auto"/>
        <w:rPr>
          <w:sz w:val="20"/>
          <w:szCs w:val="20"/>
          <w:color w:val="auto"/>
        </w:rPr>
      </w:pPr>
      <w:r>
        <w:rPr>
          <w:rFonts w:ascii="Times New Roman" w:cs="Times New Roman" w:eastAsia="Times New Roman" w:hAnsi="Times New Roman"/>
          <w:sz w:val="18"/>
          <w:szCs w:val="18"/>
          <w:color w:val="auto"/>
        </w:rPr>
        <w:t>In rendering the foregoing opinion, we are not passing upon, and assume no responsibility for, any disclosure in any registration statement or any related prospectus or other offering material relating to the offer and sale of the Securities.</w:t>
      </w:r>
    </w:p>
    <w:p>
      <w:pPr>
        <w:spacing w:after="0" w:line="163" w:lineRule="exact"/>
        <w:rPr>
          <w:sz w:val="20"/>
          <w:szCs w:val="20"/>
          <w:color w:val="auto"/>
        </w:rPr>
      </w:pPr>
    </w:p>
    <w:p>
      <w:pPr>
        <w:ind w:right="200" w:firstLine="981"/>
        <w:spacing w:after="0" w:line="277" w:lineRule="auto"/>
        <w:rPr>
          <w:sz w:val="20"/>
          <w:szCs w:val="20"/>
          <w:color w:val="auto"/>
        </w:rPr>
      </w:pPr>
      <w:r>
        <w:rPr>
          <w:rFonts w:ascii="Times New Roman" w:cs="Times New Roman" w:eastAsia="Times New Roman" w:hAnsi="Times New Roman"/>
          <w:sz w:val="18"/>
          <w:szCs w:val="18"/>
          <w:color w:val="auto"/>
        </w:rPr>
        <w:t>The foregoing opinion is limited to the Federal laws of the United States and the General Corporation Law of the State of Delaware, and we are expressing no opinion as to the effect of the laws of any other jurisdiction.</w:t>
      </w:r>
    </w:p>
    <w:p>
      <w:pPr>
        <w:spacing w:after="0" w:line="163" w:lineRule="exact"/>
        <w:rPr>
          <w:sz w:val="20"/>
          <w:szCs w:val="20"/>
          <w:color w:val="auto"/>
        </w:rPr>
      </w:pPr>
    </w:p>
    <w:p>
      <w:pPr>
        <w:ind w:right="480" w:firstLine="981"/>
        <w:spacing w:after="0" w:line="277" w:lineRule="auto"/>
        <w:rPr>
          <w:sz w:val="20"/>
          <w:szCs w:val="20"/>
          <w:color w:val="auto"/>
        </w:rPr>
      </w:pPr>
      <w:r>
        <w:rPr>
          <w:rFonts w:ascii="Times New Roman" w:cs="Times New Roman" w:eastAsia="Times New Roman" w:hAnsi="Times New Roman"/>
          <w:sz w:val="18"/>
          <w:szCs w:val="18"/>
          <w:color w:val="auto"/>
        </w:rPr>
        <w:t>We have relied as to certain factual matters on information obtained from public officials, officers of the Company and other sources believed by us to be responsible.</w:t>
      </w:r>
    </w:p>
    <w:p>
      <w:pPr>
        <w:spacing w:after="0" w:line="163" w:lineRule="exact"/>
        <w:rPr>
          <w:sz w:val="20"/>
          <w:szCs w:val="20"/>
          <w:color w:val="auto"/>
        </w:rPr>
      </w:pPr>
    </w:p>
    <w:p>
      <w:pPr>
        <w:ind w:right="40" w:firstLine="981"/>
        <w:spacing w:after="0" w:line="277"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in the category of persons whose consent is required under Section 7 of the Act.</w:t>
      </w:r>
    </w:p>
    <w:p>
      <w:pPr>
        <w:spacing w:after="0" w:line="19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SULLIVAN &amp; CROMWELL LLP</w:t>
      </w:r>
    </w:p>
    <w:p>
      <w:pPr>
        <w:sectPr>
          <w:pgSz w:w="11900" w:h="16838" w:orient="portrait"/>
          <w:cols w:equalWidth="0" w:num="1">
            <w:col w:w="10900"/>
          </w:cols>
          <w:pgMar w:left="500" w:top="117" w:right="4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60"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-95885</wp:posOffset>
            </wp:positionV>
            <wp:extent cx="1772920" cy="389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772920" cy="389890"/>
                    </a:xfrm>
                    <a:prstGeom prst="rect">
                      <a:avLst/>
                    </a:prstGeom>
                    <a:noFill/>
                  </pic:spPr>
                </pic:pic>
              </a:graphicData>
            </a:graphic>
          </wp:anchor>
        </w:drawing>
      </w:r>
    </w:p>
    <w:p>
      <w:pPr>
        <w:ind w:left="9160"/>
        <w:spacing w:after="0"/>
        <w:rPr>
          <w:sz w:val="20"/>
          <w:szCs w:val="20"/>
          <w:color w:val="auto"/>
        </w:rPr>
      </w:pPr>
      <w:r>
        <w:rPr>
          <w:rFonts w:ascii="Arial" w:cs="Arial" w:eastAsia="Arial" w:hAnsi="Arial"/>
          <w:sz w:val="14"/>
          <w:szCs w:val="14"/>
          <w:color w:val="auto"/>
        </w:rPr>
        <w:t>30 Rockefeller Plaza</w:t>
      </w:r>
    </w:p>
    <w:p>
      <w:pPr>
        <w:ind w:left="9160"/>
        <w:spacing w:after="0"/>
        <w:rPr>
          <w:sz w:val="20"/>
          <w:szCs w:val="20"/>
          <w:color w:val="auto"/>
        </w:rPr>
      </w:pPr>
      <w:r>
        <w:rPr>
          <w:rFonts w:ascii="Arial" w:cs="Arial" w:eastAsia="Arial" w:hAnsi="Arial"/>
          <w:sz w:val="14"/>
          <w:szCs w:val="14"/>
          <w:color w:val="auto"/>
        </w:rPr>
        <w:t>New York, NY 10112</w:t>
      </w:r>
    </w:p>
    <w:p>
      <w:pPr>
        <w:ind w:left="9160"/>
        <w:spacing w:after="0"/>
        <w:rPr>
          <w:sz w:val="20"/>
          <w:szCs w:val="20"/>
          <w:color w:val="auto"/>
        </w:rPr>
      </w:pPr>
      <w:r>
        <w:rPr>
          <w:rFonts w:ascii="Arial" w:cs="Arial" w:eastAsia="Arial" w:hAnsi="Arial"/>
          <w:sz w:val="14"/>
          <w:szCs w:val="14"/>
          <w:color w:val="auto"/>
        </w:rPr>
        <w:t>USA</w:t>
      </w:r>
    </w:p>
    <w:p>
      <w:pPr>
        <w:spacing w:after="0" w:line="146" w:lineRule="exact"/>
        <w:rPr>
          <w:sz w:val="20"/>
          <w:szCs w:val="20"/>
          <w:color w:val="auto"/>
        </w:rPr>
      </w:pPr>
    </w:p>
    <w:p>
      <w:pPr>
        <w:ind w:left="9160"/>
        <w:spacing w:after="0"/>
        <w:rPr>
          <w:sz w:val="20"/>
          <w:szCs w:val="20"/>
          <w:color w:val="auto"/>
        </w:rPr>
      </w:pPr>
      <w:r>
        <w:rPr>
          <w:rFonts w:ascii="Arial" w:cs="Arial" w:eastAsia="Arial" w:hAnsi="Arial"/>
          <w:sz w:val="14"/>
          <w:szCs w:val="14"/>
          <w:color w:val="auto"/>
        </w:rPr>
        <w:t>Tel: +1 212 492 4000</w:t>
      </w:r>
    </w:p>
    <w:p>
      <w:pPr>
        <w:spacing w:after="0" w:line="13" w:lineRule="exact"/>
        <w:rPr>
          <w:sz w:val="20"/>
          <w:szCs w:val="20"/>
          <w:color w:val="auto"/>
        </w:rPr>
      </w:pPr>
    </w:p>
    <w:p>
      <w:pPr>
        <w:ind w:left="9160"/>
        <w:spacing w:after="0"/>
        <w:rPr>
          <w:sz w:val="20"/>
          <w:szCs w:val="20"/>
          <w:color w:val="auto"/>
        </w:rPr>
      </w:pPr>
      <w:r>
        <w:rPr>
          <w:rFonts w:ascii="Arial" w:cs="Arial" w:eastAsia="Arial" w:hAnsi="Arial"/>
          <w:sz w:val="14"/>
          <w:szCs w:val="14"/>
          <w:color w:val="auto"/>
        </w:rPr>
        <w:t>Fax: +1 212 489 1687</w:t>
      </w:r>
    </w:p>
    <w:p>
      <w:pPr>
        <w:ind w:left="9160"/>
        <w:spacing w:after="0"/>
        <w:rPr>
          <w:sz w:val="20"/>
          <w:szCs w:val="20"/>
          <w:color w:val="auto"/>
        </w:rPr>
      </w:pPr>
      <w:r>
        <w:rPr>
          <w:rFonts w:ascii="Arial" w:cs="Arial" w:eastAsia="Arial" w:hAnsi="Arial"/>
          <w:sz w:val="14"/>
          <w:szCs w:val="14"/>
          <w:color w:val="auto"/>
        </w:rPr>
        <w:t>www.deloitte.com</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February 20, 2026, relating to the consolidated financial statements of Evercore Inc. and subsidiaries (the “Company”), and the effectiveness of the Company’s internal control over financial reporting, appearing in the Annual Report on Form 10-K of the Company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2026</w:t>
      </w:r>
    </w:p>
    <w:p>
      <w:pPr>
        <w:sectPr>
          <w:pgSz w:w="11900" w:h="16838" w:orient="portrait"/>
          <w:cols w:equalWidth="0" w:num="1">
            <w:col w:w="10900"/>
          </w:cols>
          <w:pgMar w:left="500" w:top="117" w:right="499" w:bottom="1440" w:gutter="0" w:footer="0" w:header="0"/>
        </w:sectPr>
      </w:pPr>
    </w:p>
    <w:bookmarkStart w:id="8" w:name="page9"/>
    <w:bookmarkEnd w:id="8"/>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Evercore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920" w:type="dxa"/>
            <w:vAlign w:val="bottom"/>
            <w:shd w:val="clear" w:color="auto" w:fill="9ADAF6"/>
          </w:tcPr>
          <w:p>
            <w:pPr>
              <w:ind w:left="20"/>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2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7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shd w:val="clear" w:color="auto" w:fill="9ADAF6"/>
          </w:tcPr>
          <w:p>
            <w:pPr>
              <w:ind w:left="160"/>
              <w:spacing w:after="0" w:line="216" w:lineRule="exact"/>
              <w:rPr>
                <w:sz w:val="20"/>
                <w:szCs w:val="20"/>
                <w:color w:val="auto"/>
              </w:rPr>
            </w:pPr>
            <w:r>
              <w:rPr>
                <w:rFonts w:ascii="Arial" w:cs="Arial" w:eastAsia="Arial" w:hAnsi="Arial"/>
                <w:sz w:val="21"/>
                <w:szCs w:val="21"/>
                <w:b w:val="1"/>
                <w:bCs w:val="1"/>
                <w:color w:val="auto"/>
              </w:rPr>
              <w:t>Class</w:t>
            </w:r>
          </w:p>
        </w:tc>
        <w:tc>
          <w:tcPr>
            <w:tcW w:w="40" w:type="dxa"/>
            <w:vAlign w:val="bottom"/>
          </w:tcPr>
          <w:p>
            <w:pPr>
              <w:spacing w:after="0"/>
              <w:rPr>
                <w:sz w:val="18"/>
                <w:szCs w:val="18"/>
                <w:color w:val="auto"/>
              </w:rPr>
            </w:pPr>
          </w:p>
        </w:tc>
        <w:tc>
          <w:tcPr>
            <w:tcW w:w="11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8"/>
                <w:szCs w:val="18"/>
                <w:color w:val="auto"/>
              </w:rPr>
            </w:pPr>
          </w:p>
        </w:tc>
        <w:tc>
          <w:tcPr>
            <w:tcW w:w="17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8"/>
                <w:szCs w:val="18"/>
                <w:color w:val="auto"/>
              </w:rPr>
            </w:pPr>
          </w:p>
        </w:tc>
        <w:tc>
          <w:tcPr>
            <w:tcW w:w="14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Type</w:t>
            </w:r>
          </w:p>
        </w:tc>
        <w:tc>
          <w:tcPr>
            <w:tcW w:w="40" w:type="dxa"/>
            <w:vAlign w:val="bottom"/>
          </w:tcPr>
          <w:p>
            <w:pPr>
              <w:spacing w:after="0"/>
              <w:rPr>
                <w:sz w:val="23"/>
                <w:szCs w:val="23"/>
                <w:color w:val="auto"/>
              </w:rPr>
            </w:pPr>
          </w:p>
        </w:tc>
        <w:tc>
          <w:tcPr>
            <w:tcW w:w="920" w:type="dxa"/>
            <w:vAlign w:val="bottom"/>
            <w:shd w:val="clear" w:color="auto" w:fill="9ADAF6"/>
          </w:tcPr>
          <w:p>
            <w:pPr>
              <w:ind w:left="240"/>
              <w:spacing w:after="0"/>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3"/>
                <w:szCs w:val="23"/>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3"/>
                <w:szCs w:val="23"/>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3"/>
                <w:szCs w:val="23"/>
                <w:color w:val="auto"/>
              </w:rPr>
            </w:pPr>
          </w:p>
        </w:tc>
        <w:tc>
          <w:tcPr>
            <w:tcW w:w="17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7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Class A</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20"/>
                <w:szCs w:val="20"/>
                <w:color w:val="auto"/>
              </w:rPr>
            </w:pPr>
          </w:p>
        </w:tc>
        <w:tc>
          <w:tcPr>
            <w:tcW w:w="9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5,000,000</w:t>
            </w:r>
          </w:p>
        </w:tc>
        <w:tc>
          <w:tcPr>
            <w:tcW w:w="20" w:type="dxa"/>
            <w:vAlign w:val="bottom"/>
          </w:tcPr>
          <w:p>
            <w:pPr>
              <w:spacing w:after="0"/>
              <w:rPr>
                <w:sz w:val="20"/>
                <w:szCs w:val="20"/>
                <w:color w:val="auto"/>
              </w:rPr>
            </w:pPr>
          </w:p>
        </w:tc>
        <w:tc>
          <w:tcPr>
            <w:tcW w:w="12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$ 347.85</w:t>
            </w:r>
          </w:p>
        </w:tc>
        <w:tc>
          <w:tcPr>
            <w:tcW w:w="20" w:type="dxa"/>
            <w:vAlign w:val="bottom"/>
          </w:tcPr>
          <w:p>
            <w:pPr>
              <w:spacing w:after="0"/>
              <w:rPr>
                <w:sz w:val="20"/>
                <w:szCs w:val="20"/>
                <w:color w:val="auto"/>
              </w:rPr>
            </w:pPr>
          </w:p>
        </w:tc>
        <w:tc>
          <w:tcPr>
            <w:tcW w:w="17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4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$ 240,190.42</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20"/>
                <w:szCs w:val="20"/>
                <w:color w:val="auto"/>
              </w:rPr>
            </w:pPr>
          </w:p>
        </w:tc>
        <w:tc>
          <w:tcPr>
            <w:tcW w:w="118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1,739,250,000.00</w:t>
            </w:r>
          </w:p>
        </w:tc>
        <w:tc>
          <w:tcPr>
            <w:tcW w:w="20" w:type="dxa"/>
            <w:vAlign w:val="bottom"/>
          </w:tcPr>
          <w:p>
            <w:pPr>
              <w:spacing w:after="0"/>
              <w:rPr>
                <w:sz w:val="20"/>
                <w:szCs w:val="20"/>
                <w:color w:val="auto"/>
              </w:rPr>
            </w:pPr>
          </w:p>
        </w:tc>
        <w:tc>
          <w:tcPr>
            <w:tcW w:w="10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vMerge w:val="continue"/>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$0.01 per</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shd w:val="clear" w:color="auto" w:fill="E7E7E2"/>
          </w:tcPr>
          <w:p>
            <w:pPr>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7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$ 240,190.42</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21"/>
                <w:szCs w:val="21"/>
                <w:color w:val="auto"/>
              </w:rPr>
              <w:t>1,739,250,000.00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$ 240,190.42</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680" w:hanging="225"/>
        <w:spacing w:after="0" w:line="237" w:lineRule="auto"/>
        <w:tabs>
          <w:tab w:leader="none" w:pos="800" w:val="left"/>
        </w:tabs>
        <w:numPr>
          <w:ilvl w:val="0"/>
          <w:numId w:val="4"/>
        </w:numPr>
        <w:rPr>
          <w:rFonts w:ascii="Arial" w:cs="Arial" w:eastAsia="Arial" w:hAnsi="Arial"/>
          <w:sz w:val="27"/>
          <w:szCs w:val="27"/>
          <w:color w:val="auto"/>
          <w:vertAlign w:val="superscript"/>
        </w:rPr>
      </w:pPr>
      <w:r>
        <w:rPr>
          <w:rFonts w:ascii="Arial" w:cs="Arial" w:eastAsia="Arial" w:hAnsi="Arial"/>
          <w:sz w:val="21"/>
          <w:szCs w:val="21"/>
          <w:color w:val="auto"/>
        </w:rPr>
        <w:t>(1) Estimated solely for the purpose of calculating the registration fee in accordance with Rules 457(c) and 457(h) under the Securities Act of 1933, as amended (the "Securities Act"). The offering price and the registration fee are based on the average of the high and low prices of shares of Class A common stock, par value $0.01 per share, of Evercore Inc., as reported on the New York Stock Exchange on June 11, 2026. (2) Pursuant to Rule 416(a) under the Securities Act, the registration statement on Form S-8 (the "Registration Statement") to which this exhibit relates shall also cover any additional shares of the common stock, $0.01 par value (the "Common Stock"), of Evercore Inc. (the "Registrant") that become issuable with respect to the securities identified in the above table, by reason of any stock dividend, stock splits, reverse stock splits, recapitalizations, reclassifications, mergers, split-ups, reorganizations, consolidations and other capital adjustments effected without receipt of consideration that increases the number of outstanding shares of Common Stock. (3) Represents shares of Common Stock subject to issuance in connection with the Fourth Amended and Restated 2016 Evercore Inc. Stock Incentive Plan (the "Fourth Amended 2016 Plan"). (4) Pursuant to Rule 416(c) under the Securities Act, this Registration Statement also covers an indeterminate amount of interests to be offered or sold pursuant to the Fourth Amended and Restated Evercore 2016 plan. In accordance with Rule 457(h)(2) under the Securities Act, no separate fee calculation is required for such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82550</wp:posOffset>
            </wp:positionV>
            <wp:extent cx="6387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8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85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jpeg"/><Relationship Id="rId27" Type="http://schemas.openxmlformats.org/officeDocument/2006/relationships/image" Target="media/image17.png"/><Relationship Id="rId28" Type="http://schemas.openxmlformats.org/officeDocument/2006/relationships/image" Target="media/image18.png"/><Relationship Id="rId19" Type="http://schemas.openxmlformats.org/officeDocument/2006/relationships/hyperlink" Target="http://www.sec.gov/Archives/edgar/data/1360901/000136090117000031/evr930201710qex31.htm" TargetMode="External"/><Relationship Id="rId20" Type="http://schemas.openxmlformats.org/officeDocument/2006/relationships/hyperlink" Target="http://www.sec.gov/Archives/edgar/data/1360901/000119312517275725/d450886dex32.htm" TargetMode="External"/><Relationship Id="rId21" Type="http://schemas.openxmlformats.org/officeDocument/2006/relationships/hyperlink" Target="http://www.sec.gov/ix?doc=/Archives/edgar/data/1360901/000119312526191911/d30614ddef14a.htm#toc30614_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2026-06-18T16:05:07Z</dcterms:created>
  <dcterms:modified xsi:type="dcterms:W3CDTF">2026-06-18T16:05:07Z</dcterms:modified>
</cp:coreProperties>
</file>