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364"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10-K</w:t>
      </w:r>
    </w:p>
    <w:p>
      <w:pPr>
        <w:spacing w:after="0" w:line="181" w:lineRule="exact"/>
        <w:rPr>
          <w:sz w:val="24"/>
          <w:szCs w:val="24"/>
          <w:color w:val="auto"/>
        </w:rPr>
      </w:pPr>
    </w:p>
    <w:p>
      <w:pPr>
        <w:ind w:left="620" w:right="260" w:hanging="139"/>
        <w:spacing w:after="0" w:line="183" w:lineRule="auto"/>
        <w:tabs>
          <w:tab w:leader="none" w:pos="620" w:val="left"/>
        </w:tabs>
        <w:numPr>
          <w:ilvl w:val="0"/>
          <w:numId w:val="1"/>
        </w:numPr>
        <w:rPr>
          <w:rFonts w:ascii="Arial" w:cs="Arial" w:eastAsia="Arial" w:hAnsi="Arial"/>
          <w:sz w:val="31"/>
          <w:szCs w:val="31"/>
          <w:b w:val="1"/>
          <w:bCs w:val="1"/>
          <w:color w:val="auto"/>
          <w:vertAlign w:val="subscript"/>
        </w:rPr>
      </w:pPr>
      <w:r>
        <w:rPr>
          <w:rFonts w:ascii="Arial" w:cs="Arial" w:eastAsia="Arial" w:hAnsi="Arial"/>
          <w:sz w:val="16"/>
          <w:szCs w:val="16"/>
          <w:b w:val="1"/>
          <w:bCs w:val="1"/>
          <w:color w:val="auto"/>
        </w:rPr>
        <w:t>ANNUAL REPORT PURSUANT TO SECTION 13 OR 15(d) OF THE SECURITIES EXCHANGE ACT OF 1934 FOR THE FISCAL YEAR ENDED DECEMBER 31, 2013</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06" w:lineRule="exact"/>
        <w:rPr>
          <w:sz w:val="24"/>
          <w:szCs w:val="24"/>
          <w:color w:val="auto"/>
        </w:rPr>
      </w:pPr>
    </w:p>
    <w:p>
      <w:pPr>
        <w:ind w:left="660" w:hanging="193"/>
        <w:spacing w:after="0"/>
        <w:tabs>
          <w:tab w:leader="none" w:pos="660"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5"/>
          <w:szCs w:val="15"/>
          <w:b w:val="1"/>
          <w:bCs w:val="1"/>
          <w:color w:val="auto"/>
        </w:rPr>
        <w:t>TRANSITION REPORT PURSUANT TO SECTION 13 OR 15(d) OF THE SECURITIES EXCHANGE ACT OF 1934 FOR THE TRANSITION</w:t>
      </w:r>
    </w:p>
    <w:p>
      <w:pPr>
        <w:spacing w:after="0" w:line="10" w:lineRule="exact"/>
        <w:rPr>
          <w:rFonts w:ascii="MS PGothic" w:cs="MS PGothic" w:eastAsia="MS PGothic" w:hAnsi="MS PGothic"/>
          <w:sz w:val="28"/>
          <w:szCs w:val="28"/>
          <w:color w:val="auto"/>
          <w:vertAlign w:val="subscript"/>
        </w:rPr>
      </w:pPr>
    </w:p>
    <w:p>
      <w:pPr>
        <w:ind w:left="660"/>
        <w:spacing w:after="0"/>
        <w:rPr>
          <w:rFonts w:ascii="MS PGothic" w:cs="MS PGothic" w:eastAsia="MS PGothic" w:hAnsi="MS PGothic"/>
          <w:sz w:val="28"/>
          <w:szCs w:val="28"/>
          <w:color w:val="auto"/>
          <w:vertAlign w:val="subscript"/>
        </w:rPr>
      </w:pPr>
      <w:r>
        <w:rPr>
          <w:rFonts w:ascii="Arial" w:cs="Arial" w:eastAsia="Arial" w:hAnsi="Arial"/>
          <w:sz w:val="16"/>
          <w:szCs w:val="16"/>
          <w:b w:val="1"/>
          <w:bCs w:val="1"/>
          <w:color w:val="auto"/>
        </w:rPr>
        <w:t>PERIOD FROMTO</w:t>
      </w:r>
      <w:r>
        <w:rPr>
          <w:rFonts w:ascii="Arial" w:cs="Arial" w:eastAsia="Arial" w:hAnsi="Arial"/>
          <w:sz w:val="14"/>
          <w:szCs w:val="14"/>
          <w:b w:val="1"/>
          <w:bCs w:val="1"/>
          <w:color w:val="auto"/>
        </w:rPr>
        <w:t>.</w:t>
      </w:r>
    </w:p>
    <w:p>
      <w:pPr>
        <w:spacing w:after="0" w:line="39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Commission File Number 001-32975</w:t>
      </w:r>
    </w:p>
    <w:p>
      <w:pPr>
        <w:spacing w:after="0" w:line="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EVERCORE PARTNERS INC.</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w:t>
      </w:r>
    </w:p>
    <w:p>
      <w:pPr>
        <w:spacing w:after="0" w:line="156" w:lineRule="exact"/>
        <w:rPr>
          <w:sz w:val="24"/>
          <w:szCs w:val="24"/>
          <w:color w:val="auto"/>
        </w:rPr>
      </w:pPr>
    </w:p>
    <w:tbl>
      <w:tblPr>
        <w:tblLayout w:type="fixed"/>
        <w:tblInd w:w="44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3540" w:type="dxa"/>
            <w:vAlign w:val="bottom"/>
            <w:gridSpan w:val="2"/>
          </w:tcPr>
          <w:p>
            <w:pPr>
              <w:jc w:val="center"/>
              <w:ind w:right="2443"/>
              <w:spacing w:after="0"/>
              <w:rPr>
                <w:sz w:val="20"/>
                <w:szCs w:val="20"/>
                <w:color w:val="auto"/>
              </w:rPr>
            </w:pPr>
            <w:r>
              <w:rPr>
                <w:rFonts w:ascii="Arial" w:cs="Arial" w:eastAsia="Arial" w:hAnsi="Arial"/>
                <w:sz w:val="16"/>
                <w:szCs w:val="16"/>
                <w:b w:val="1"/>
                <w:bCs w:val="1"/>
                <w:color w:val="auto"/>
                <w:w w:val="93"/>
              </w:rPr>
              <w:t>Delaware</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jc w:val="right"/>
              <w:ind w:right="785"/>
              <w:spacing w:after="0"/>
              <w:rPr>
                <w:sz w:val="20"/>
                <w:szCs w:val="20"/>
                <w:color w:val="auto"/>
              </w:rPr>
            </w:pPr>
            <w:r>
              <w:rPr>
                <w:rFonts w:ascii="Arial" w:cs="Arial" w:eastAsia="Arial" w:hAnsi="Arial"/>
                <w:sz w:val="16"/>
                <w:szCs w:val="16"/>
                <w:b w:val="1"/>
                <w:bCs w:val="1"/>
                <w:color w:val="auto"/>
              </w:rPr>
              <w:t>20-4748747</w:t>
            </w:r>
          </w:p>
        </w:tc>
      </w:tr>
      <w:tr>
        <w:trPr>
          <w:trHeight w:val="196"/>
        </w:trPr>
        <w:tc>
          <w:tcPr>
            <w:tcW w:w="5340" w:type="dxa"/>
            <w:vAlign w:val="bottom"/>
            <w:gridSpan w:val="3"/>
          </w:tcPr>
          <w:p>
            <w:pPr>
              <w:jc w:val="center"/>
              <w:ind w:right="643"/>
              <w:spacing w:after="0"/>
              <w:rPr>
                <w:sz w:val="20"/>
                <w:szCs w:val="20"/>
                <w:color w:val="auto"/>
              </w:rPr>
            </w:pPr>
            <w:r>
              <w:rPr>
                <w:rFonts w:ascii="Arial" w:cs="Arial" w:eastAsia="Arial" w:hAnsi="Arial"/>
                <w:sz w:val="14"/>
                <w:szCs w:val="14"/>
                <w:b w:val="1"/>
                <w:bCs w:val="1"/>
                <w:color w:val="auto"/>
                <w:w w:val="87"/>
              </w:rPr>
              <w:t>(State or Other Jurisdiction of</w:t>
            </w: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jc w:val="center"/>
              <w:ind w:right="645"/>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5340" w:type="dxa"/>
            <w:vAlign w:val="bottom"/>
            <w:gridSpan w:val="3"/>
          </w:tcPr>
          <w:p>
            <w:pPr>
              <w:jc w:val="center"/>
              <w:ind w:right="643"/>
              <w:spacing w:after="0"/>
              <w:rPr>
                <w:sz w:val="20"/>
                <w:szCs w:val="20"/>
                <w:color w:val="auto"/>
              </w:rPr>
            </w:pPr>
            <w:r>
              <w:rPr>
                <w:rFonts w:ascii="Arial" w:cs="Arial" w:eastAsia="Arial" w:hAnsi="Arial"/>
                <w:sz w:val="14"/>
                <w:szCs w:val="14"/>
                <w:b w:val="1"/>
                <w:bCs w:val="1"/>
                <w:color w:val="auto"/>
                <w:w w:val="89"/>
              </w:rPr>
              <w:t>Incorporation or Organization)</w:t>
            </w:r>
          </w:p>
        </w:tc>
        <w:tc>
          <w:tcPr>
            <w:tcW w:w="1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Identification No.)</w:t>
            </w:r>
          </w:p>
        </w:tc>
      </w:tr>
      <w:tr>
        <w:trPr>
          <w:trHeight w:val="257"/>
        </w:trPr>
        <w:tc>
          <w:tcPr>
            <w:tcW w:w="5340" w:type="dxa"/>
            <w:vAlign w:val="bottom"/>
            <w:gridSpan w:val="3"/>
          </w:tcPr>
          <w:p>
            <w:pPr>
              <w:jc w:val="center"/>
              <w:ind w:right="643"/>
              <w:spacing w:after="0"/>
              <w:rPr>
                <w:sz w:val="20"/>
                <w:szCs w:val="20"/>
                <w:color w:val="auto"/>
              </w:rPr>
            </w:pPr>
            <w:r>
              <w:rPr>
                <w:rFonts w:ascii="Arial" w:cs="Arial" w:eastAsia="Arial" w:hAnsi="Arial"/>
                <w:sz w:val="16"/>
                <w:szCs w:val="16"/>
                <w:b w:val="1"/>
                <w:bCs w:val="1"/>
                <w:color w:val="auto"/>
                <w:w w:val="93"/>
              </w:rPr>
              <w:t>55 East 52nd Street, New York, New York</w:t>
            </w:r>
          </w:p>
        </w:tc>
        <w:tc>
          <w:tcPr>
            <w:tcW w:w="1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80" w:type="dxa"/>
            <w:vAlign w:val="bottom"/>
          </w:tcPr>
          <w:p>
            <w:pPr>
              <w:jc w:val="right"/>
              <w:ind w:right="965"/>
              <w:spacing w:after="0"/>
              <w:rPr>
                <w:sz w:val="20"/>
                <w:szCs w:val="20"/>
                <w:color w:val="auto"/>
              </w:rPr>
            </w:pPr>
            <w:r>
              <w:rPr>
                <w:rFonts w:ascii="Arial" w:cs="Arial" w:eastAsia="Arial" w:hAnsi="Arial"/>
                <w:sz w:val="18"/>
                <w:szCs w:val="18"/>
                <w:b w:val="1"/>
                <w:bCs w:val="1"/>
                <w:color w:val="auto"/>
              </w:rPr>
              <w:t>10055</w:t>
            </w:r>
          </w:p>
        </w:tc>
      </w:tr>
      <w:tr>
        <w:trPr>
          <w:trHeight w:val="283"/>
        </w:trPr>
        <w:tc>
          <w:tcPr>
            <w:tcW w:w="5340" w:type="dxa"/>
            <w:vAlign w:val="bottom"/>
            <w:gridSpan w:val="3"/>
          </w:tcPr>
          <w:p>
            <w:pPr>
              <w:jc w:val="center"/>
              <w:ind w:right="64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(Zip Code)</w:t>
            </w:r>
          </w:p>
        </w:tc>
      </w:tr>
      <w:tr>
        <w:trPr>
          <w:trHeight w:val="357"/>
        </w:trPr>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gridSpan w:val="3"/>
          </w:tcPr>
          <w:p>
            <w:pPr>
              <w:jc w:val="center"/>
              <w:ind w:left="3"/>
              <w:spacing w:after="0"/>
              <w:rPr>
                <w:sz w:val="20"/>
                <w:szCs w:val="20"/>
                <w:color w:val="auto"/>
              </w:rPr>
            </w:pPr>
            <w:r>
              <w:rPr>
                <w:rFonts w:ascii="Arial" w:cs="Arial" w:eastAsia="Arial" w:hAnsi="Arial"/>
                <w:sz w:val="15"/>
                <w:szCs w:val="15"/>
                <w:b w:val="1"/>
                <w:bCs w:val="1"/>
                <w:color w:val="auto"/>
                <w:w w:val="91"/>
              </w:rPr>
              <w:t>Registrant’s telephone number, including area code: (212) 857-3100</w:t>
            </w:r>
          </w:p>
        </w:tc>
        <w:tc>
          <w:tcPr>
            <w:tcW w:w="1780" w:type="dxa"/>
            <w:vAlign w:val="bottom"/>
          </w:tcPr>
          <w:p>
            <w:pPr>
              <w:spacing w:after="0"/>
              <w:rPr>
                <w:sz w:val="24"/>
                <w:szCs w:val="24"/>
                <w:color w:val="auto"/>
              </w:rPr>
            </w:pPr>
          </w:p>
        </w:tc>
      </w:tr>
      <w:tr>
        <w:trPr>
          <w:trHeight w:val="284"/>
        </w:trPr>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1780" w:type="dxa"/>
            <w:vAlign w:val="bottom"/>
          </w:tcPr>
          <w:p>
            <w:pPr>
              <w:spacing w:after="0"/>
              <w:rPr>
                <w:sz w:val="24"/>
                <w:szCs w:val="24"/>
                <w:color w:val="auto"/>
              </w:rPr>
            </w:pPr>
          </w:p>
        </w:tc>
      </w:tr>
      <w:tr>
        <w:trPr>
          <w:trHeight w:val="373"/>
        </w:trPr>
        <w:tc>
          <w:tcPr>
            <w:tcW w:w="18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520" w:type="dxa"/>
            <w:vAlign w:val="bottom"/>
          </w:tcPr>
          <w:p>
            <w:pPr>
              <w:spacing w:after="0"/>
              <w:rPr>
                <w:sz w:val="24"/>
                <w:szCs w:val="24"/>
                <w:color w:val="auto"/>
              </w:rPr>
            </w:pPr>
          </w:p>
        </w:tc>
        <w:tc>
          <w:tcPr>
            <w:tcW w:w="4100" w:type="dxa"/>
            <w:vAlign w:val="bottom"/>
            <w:gridSpan w:val="3"/>
          </w:tcPr>
          <w:p>
            <w:pPr>
              <w:jc w:val="center"/>
              <w:ind w:left="153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r>
      <w:tr>
        <w:trPr>
          <w:trHeight w:val="258"/>
        </w:trPr>
        <w:tc>
          <w:tcPr>
            <w:tcW w:w="5340" w:type="dxa"/>
            <w:vAlign w:val="bottom"/>
            <w:gridSpan w:val="3"/>
          </w:tcPr>
          <w:p>
            <w:pPr>
              <w:jc w:val="center"/>
              <w:ind w:right="643"/>
              <w:spacing w:after="0"/>
              <w:rPr>
                <w:sz w:val="20"/>
                <w:szCs w:val="20"/>
                <w:color w:val="auto"/>
              </w:rPr>
            </w:pPr>
            <w:r>
              <w:rPr>
                <w:rFonts w:ascii="Arial" w:cs="Arial" w:eastAsia="Arial" w:hAnsi="Arial"/>
                <w:sz w:val="16"/>
                <w:szCs w:val="16"/>
                <w:b w:val="1"/>
                <w:bCs w:val="1"/>
                <w:color w:val="auto"/>
                <w:w w:val="91"/>
              </w:rPr>
              <w:t>Class A Common Stock, $0.01 par value</w:t>
            </w:r>
          </w:p>
        </w:tc>
        <w:tc>
          <w:tcPr>
            <w:tcW w:w="1600" w:type="dxa"/>
            <w:vAlign w:val="bottom"/>
          </w:tcPr>
          <w:p>
            <w:pPr>
              <w:spacing w:after="0"/>
              <w:rPr>
                <w:sz w:val="22"/>
                <w:szCs w:val="22"/>
                <w:color w:val="auto"/>
              </w:rPr>
            </w:pPr>
          </w:p>
        </w:tc>
        <w:tc>
          <w:tcPr>
            <w:tcW w:w="2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95"/>
        </w:trPr>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gridSpan w:val="3"/>
          </w:tcPr>
          <w:p>
            <w:pPr>
              <w:jc w:val="center"/>
              <w:ind w:left="3"/>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1780" w:type="dxa"/>
            <w:vAlign w:val="bottom"/>
          </w:tcPr>
          <w:p>
            <w:pPr>
              <w:spacing w:after="0"/>
              <w:rPr>
                <w:sz w:val="24"/>
                <w:szCs w:val="24"/>
                <w:color w:val="auto"/>
              </w:rPr>
            </w:pPr>
          </w:p>
        </w:tc>
      </w:tr>
      <w:tr>
        <w:trPr>
          <w:trHeight w:val="235"/>
        </w:trPr>
        <w:tc>
          <w:tcPr>
            <w:tcW w:w="7660" w:type="dxa"/>
            <w:vAlign w:val="bottom"/>
            <w:gridSpan w:val="5"/>
          </w:tcPr>
          <w:p>
            <w:pPr>
              <w:spacing w:after="0" w:line="173" w:lineRule="exact"/>
              <w:rPr>
                <w:sz w:val="20"/>
                <w:szCs w:val="20"/>
                <w:color w:val="auto"/>
              </w:rPr>
            </w:pPr>
            <w:r>
              <w:rPr>
                <w:rFonts w:ascii="Arial" w:cs="Arial" w:eastAsia="Arial" w:hAnsi="Arial"/>
                <w:sz w:val="15"/>
                <w:szCs w:val="15"/>
                <w:color w:val="auto"/>
                <w:w w:val="92"/>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2"/>
              </w:rPr>
              <w:t>☒</w:t>
            </w:r>
          </w:p>
        </w:tc>
        <w:tc>
          <w:tcPr>
            <w:tcW w:w="1780" w:type="dxa"/>
            <w:vAlign w:val="bottom"/>
          </w:tcPr>
          <w:p>
            <w:pPr>
              <w:jc w:val="center"/>
              <w:ind w:right="1025"/>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40"/>
        </w:trPr>
        <w:tc>
          <w:tcPr>
            <w:tcW w:w="766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 Yes</w:t>
            </w:r>
          </w:p>
        </w:tc>
        <w:tc>
          <w:tcPr>
            <w:tcW w:w="1780" w:type="dxa"/>
            <w:vAlign w:val="bottom"/>
          </w:tcPr>
          <w:p>
            <w:pPr>
              <w:jc w:val="center"/>
              <w:ind w:right="1025"/>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19" w:lineRule="exact"/>
        <w:rPr>
          <w:sz w:val="24"/>
          <w:szCs w:val="24"/>
          <w:color w:val="auto"/>
        </w:rPr>
      </w:pPr>
    </w:p>
    <w:p>
      <w:pPr>
        <w:jc w:val="both"/>
        <w:ind w:right="60" w:firstLine="432"/>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80" w:firstLine="432"/>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40" w:firstLine="432"/>
        <w:spacing w:after="0" w:line="19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firstLine="432"/>
        <w:spacing w:after="0" w:line="27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73" w:lineRule="exact"/>
        <w:rPr>
          <w:sz w:val="24"/>
          <w:szCs w:val="24"/>
          <w:color w:val="auto"/>
        </w:rPr>
      </w:pPr>
    </w:p>
    <w:tbl>
      <w:tblPr>
        <w:tblLayout w:type="fixed"/>
        <w:tblInd w:w="440" w:type="dxa"/>
        <w:tblCellMar>
          <w:top w:w="0" w:type="dxa"/>
          <w:left w:w="0" w:type="dxa"/>
          <w:bottom w:w="0" w:type="dxa"/>
          <w:right w:w="0" w:type="dxa"/>
        </w:tblCellMar>
      </w:tblPr>
      <w:tr>
        <w:trPr>
          <w:trHeight w:val="240"/>
        </w:trPr>
        <w:tc>
          <w:tcPr>
            <w:tcW w:w="2440" w:type="dxa"/>
            <w:vAlign w:val="bottom"/>
          </w:tcPr>
          <w:p>
            <w:pPr>
              <w:ind w:left="200"/>
              <w:spacing w:after="0"/>
              <w:rPr>
                <w:sz w:val="20"/>
                <w:szCs w:val="20"/>
                <w:color w:val="auto"/>
              </w:rPr>
            </w:pPr>
            <w:r>
              <w:rPr>
                <w:rFonts w:ascii="Arial" w:cs="Arial" w:eastAsia="Arial" w:hAnsi="Arial"/>
                <w:sz w:val="15"/>
                <w:szCs w:val="15"/>
                <w:color w:val="auto"/>
              </w:rPr>
              <w:t>Large Accelerated Filer  x</w:t>
            </w:r>
          </w:p>
        </w:tc>
        <w:tc>
          <w:tcPr>
            <w:tcW w:w="2140" w:type="dxa"/>
            <w:vAlign w:val="bottom"/>
          </w:tcPr>
          <w:p>
            <w:pPr>
              <w:ind w:left="60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tc>
        <w:tc>
          <w:tcPr>
            <w:tcW w:w="2620" w:type="dxa"/>
            <w:vAlign w:val="bottom"/>
          </w:tcPr>
          <w:p>
            <w:pPr>
              <w:ind w:left="6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tc>
        <w:tc>
          <w:tcPr>
            <w:tcW w:w="2220" w:type="dxa"/>
            <w:vAlign w:val="bottom"/>
          </w:tcPr>
          <w:p>
            <w:pPr>
              <w:ind w:left="240"/>
              <w:spacing w:after="0" w:line="173" w:lineRule="exact"/>
              <w:rPr>
                <w:sz w:val="20"/>
                <w:szCs w:val="20"/>
                <w:color w:val="auto"/>
              </w:rPr>
            </w:pPr>
            <w:r>
              <w:rPr>
                <w:rFonts w:ascii="Arial" w:cs="Arial" w:eastAsia="Arial" w:hAnsi="Arial"/>
                <w:sz w:val="15"/>
                <w:szCs w:val="15"/>
                <w:color w:val="auto"/>
                <w:w w:val="94"/>
              </w:rPr>
              <w:t xml:space="preserve">Smaller Reporting Company </w:t>
            </w:r>
            <w:r>
              <w:rPr>
                <w:rFonts w:ascii="MS PGothic" w:cs="MS PGothic" w:eastAsia="MS PGothic" w:hAnsi="MS PGothic"/>
                <w:sz w:val="15"/>
                <w:szCs w:val="15"/>
                <w:color w:val="auto"/>
                <w:w w:val="94"/>
              </w:rPr>
              <w:t>☐</w:t>
            </w:r>
          </w:p>
        </w:tc>
      </w:tr>
      <w:tr>
        <w:trPr>
          <w:trHeight w:val="181"/>
        </w:trPr>
        <w:tc>
          <w:tcPr>
            <w:tcW w:w="2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20" w:type="dxa"/>
            <w:vAlign w:val="bottom"/>
          </w:tcPr>
          <w:p>
            <w:pPr>
              <w:ind w:left="300"/>
              <w:spacing w:after="0"/>
              <w:rPr>
                <w:sz w:val="20"/>
                <w:szCs w:val="20"/>
                <w:color w:val="auto"/>
              </w:rPr>
            </w:pPr>
            <w:r>
              <w:rPr>
                <w:rFonts w:ascii="Arial" w:cs="Arial" w:eastAsia="Arial" w:hAnsi="Arial"/>
                <w:sz w:val="15"/>
                <w:szCs w:val="15"/>
                <w:color w:val="auto"/>
                <w:w w:val="99"/>
              </w:rPr>
              <w:t>(do not check if a smaller reporting</w:t>
            </w:r>
          </w:p>
        </w:tc>
        <w:tc>
          <w:tcPr>
            <w:tcW w:w="2220" w:type="dxa"/>
            <w:vAlign w:val="bottom"/>
          </w:tcPr>
          <w:p>
            <w:pPr>
              <w:spacing w:after="0"/>
              <w:rPr>
                <w:sz w:val="15"/>
                <w:szCs w:val="15"/>
                <w:color w:val="auto"/>
              </w:rPr>
            </w:pPr>
          </w:p>
        </w:tc>
      </w:tr>
      <w:tr>
        <w:trPr>
          <w:trHeight w:val="194"/>
        </w:trPr>
        <w:tc>
          <w:tcPr>
            <w:tcW w:w="2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620" w:type="dxa"/>
            <w:vAlign w:val="bottom"/>
          </w:tcPr>
          <w:p>
            <w:pPr>
              <w:ind w:left="300"/>
              <w:spacing w:after="0"/>
              <w:rPr>
                <w:sz w:val="20"/>
                <w:szCs w:val="20"/>
                <w:color w:val="auto"/>
              </w:rPr>
            </w:pPr>
            <w:r>
              <w:rPr>
                <w:rFonts w:ascii="Arial" w:cs="Arial" w:eastAsia="Arial" w:hAnsi="Arial"/>
                <w:sz w:val="15"/>
                <w:szCs w:val="15"/>
                <w:color w:val="auto"/>
              </w:rPr>
              <w:t>company)</w:t>
            </w:r>
          </w:p>
        </w:tc>
        <w:tc>
          <w:tcPr>
            <w:tcW w:w="2220" w:type="dxa"/>
            <w:vAlign w:val="bottom"/>
          </w:tcPr>
          <w:p>
            <w:pPr>
              <w:spacing w:after="0"/>
              <w:rPr>
                <w:sz w:val="16"/>
                <w:szCs w:val="16"/>
                <w:color w:val="auto"/>
              </w:rPr>
            </w:pPr>
          </w:p>
        </w:tc>
      </w:tr>
      <w:tr>
        <w:trPr>
          <w:trHeight w:val="259"/>
        </w:trPr>
        <w:tc>
          <w:tcPr>
            <w:tcW w:w="7200" w:type="dxa"/>
            <w:vAlign w:val="bottom"/>
            <w:gridSpan w:val="3"/>
          </w:tcPr>
          <w:p>
            <w:pPr>
              <w:spacing w:after="0" w:line="173" w:lineRule="exact"/>
              <w:rPr>
                <w:sz w:val="20"/>
                <w:szCs w:val="20"/>
                <w:color w:val="auto"/>
              </w:rPr>
            </w:pPr>
            <w:r>
              <w:rPr>
                <w:rFonts w:ascii="Arial" w:cs="Arial" w:eastAsia="Arial" w:hAnsi="Arial"/>
                <w:sz w:val="15"/>
                <w:szCs w:val="15"/>
                <w:color w:val="auto"/>
                <w:w w:val="94"/>
              </w:rPr>
              <w:t xml:space="preserve">Indicate by check whether the registrant is a shell company (as defined in Rule 12b-2 of the Exchange Act.  Yes </w:t>
            </w:r>
            <w:r>
              <w:rPr>
                <w:rFonts w:ascii="MS PGothic" w:cs="MS PGothic" w:eastAsia="MS PGothic" w:hAnsi="MS PGothic"/>
                <w:sz w:val="15"/>
                <w:szCs w:val="15"/>
                <w:color w:val="auto"/>
                <w:w w:val="94"/>
              </w:rPr>
              <w:t>☐</w:t>
            </w:r>
          </w:p>
        </w:tc>
        <w:tc>
          <w:tcPr>
            <w:tcW w:w="222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19" w:lineRule="exact"/>
        <w:rPr>
          <w:sz w:val="24"/>
          <w:szCs w:val="24"/>
          <w:color w:val="auto"/>
        </w:rPr>
      </w:pPr>
    </w:p>
    <w:p>
      <w:pPr>
        <w:ind w:right="60" w:firstLine="432"/>
        <w:spacing w:after="0" w:line="259" w:lineRule="auto"/>
        <w:rPr>
          <w:sz w:val="20"/>
          <w:szCs w:val="20"/>
          <w:color w:val="auto"/>
        </w:rPr>
      </w:pPr>
      <w:r>
        <w:rPr>
          <w:rFonts w:ascii="Arial" w:cs="Arial" w:eastAsia="Arial" w:hAnsi="Arial"/>
          <w:sz w:val="15"/>
          <w:szCs w:val="15"/>
          <w:color w:val="auto"/>
        </w:rPr>
        <w:t>The aggregate market value of the voting and nonvoting common equity of the registrant held by non-affiliates as of June 30, 2013 was approximately $1.2 billion, based on the closing price of the registrant’s Class A common stock reported on the New York Stock Exchange on such date of $39.28 per share and on the par value of the registrant’s Class B common stock, par value $0.01 per share.</w:t>
      </w:r>
    </w:p>
    <w:p>
      <w:pPr>
        <w:spacing w:after="0" w:line="22" w:lineRule="exact"/>
        <w:rPr>
          <w:sz w:val="24"/>
          <w:szCs w:val="24"/>
          <w:color w:val="auto"/>
        </w:rPr>
      </w:pPr>
    </w:p>
    <w:p>
      <w:pPr>
        <w:jc w:val="both"/>
        <w:ind w:right="220" w:firstLine="432"/>
        <w:spacing w:after="0" w:line="259" w:lineRule="auto"/>
        <w:rPr>
          <w:sz w:val="20"/>
          <w:szCs w:val="20"/>
          <w:color w:val="auto"/>
        </w:rPr>
      </w:pPr>
      <w:r>
        <w:rPr>
          <w:rFonts w:ascii="Arial" w:cs="Arial" w:eastAsia="Arial" w:hAnsi="Arial"/>
          <w:sz w:val="15"/>
          <w:szCs w:val="15"/>
          <w:color w:val="auto"/>
        </w:rPr>
        <w:t>The number of shares of the registrant’s Class A common stock, par value $0.01 per share, outstanding as of February 19, 2014, was 34,699,290. The number of shares of the registrant’s Class B common stock, par value $0.01 per share, outstanding as of February 19, 2014 was 32 (excluding 68 shares of Class B common stock held by a subsidiary of the registrant).</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ind w:firstLine="405"/>
        <w:spacing w:after="0" w:line="274" w:lineRule="auto"/>
        <w:rPr>
          <w:sz w:val="20"/>
          <w:szCs w:val="20"/>
          <w:color w:val="auto"/>
        </w:rPr>
      </w:pPr>
      <w:r>
        <w:rPr>
          <w:rFonts w:ascii="Arial" w:cs="Arial" w:eastAsia="Arial" w:hAnsi="Arial"/>
          <w:sz w:val="15"/>
          <w:szCs w:val="15"/>
          <w:color w:val="auto"/>
        </w:rPr>
        <w:t>Portions of the definitive Proxy Statement of Evercore Partners Inc. to be filed pursuant to Regulation 14A of the general rules and regulations under the Securities Exchange Act of 1934, as amended, for the 2014 annual meeting of stockholders (“Proxy Statement”) are incorporated by reference into Part III of this Form 10-K.</w:t>
      </w:r>
    </w:p>
    <w:p>
      <w:pPr>
        <w:sectPr>
          <w:pgSz w:w="11900" w:h="16838" w:orient="portrait"/>
          <w:cols w:equalWidth="0" w:num="1">
            <w:col w:w="11300"/>
          </w:cols>
          <w:pgMar w:left="240" w:top="229" w:right="3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0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9"/>
              </w:rPr>
              <w:t>EVERCORE PARTNERS INC.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0" w:type="dxa"/>
            <w:vAlign w:val="bottom"/>
            <w:gridSpan w:val="8"/>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88"/>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Borders>
              <w:bottom w:val="single" w:sz="8" w:color="0000EE"/>
            </w:tcBorders>
          </w:tcPr>
          <w:p>
            <w:pPr>
              <w:spacing w:after="0" w:line="189" w:lineRule="exact"/>
              <w:rPr>
                <w:rFonts w:ascii="Arial" w:cs="Arial" w:eastAsia="Arial" w:hAnsi="Arial"/>
                <w:sz w:val="18"/>
                <w:szCs w:val="18"/>
                <w:b w:val="1"/>
                <w:bCs w:val="1"/>
                <w:color w:val="0000EE"/>
                <w:w w:val="95"/>
              </w:rPr>
            </w:pPr>
            <w:hyperlink w:anchor="page2">
              <w:r>
                <w:rPr>
                  <w:rFonts w:ascii="Arial" w:cs="Arial" w:eastAsia="Arial" w:hAnsi="Arial"/>
                  <w:sz w:val="18"/>
                  <w:szCs w:val="18"/>
                  <w:b w:val="1"/>
                  <w:bCs w:val="1"/>
                  <w:color w:val="0000EE"/>
                  <w:w w:val="95"/>
                </w:rPr>
                <w:t>Part I.</w:t>
              </w:r>
            </w:hyperlink>
          </w:p>
        </w:tc>
        <w:tc>
          <w:tcPr>
            <w:tcW w:w="98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w:t>
            </w:r>
          </w:p>
        </w:tc>
        <w:tc>
          <w:tcPr>
            <w:tcW w:w="89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20" w:type="dxa"/>
            <w:vAlign w:val="bottom"/>
            <w:gridSpan w:val="5"/>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1A.</w:t>
            </w:r>
          </w:p>
        </w:tc>
        <w:tc>
          <w:tcPr>
            <w:tcW w:w="896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920" w:type="dxa"/>
            <w:vAlign w:val="bottom"/>
            <w:gridSpan w:val="5"/>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1B.</w:t>
            </w:r>
          </w:p>
        </w:tc>
        <w:tc>
          <w:tcPr>
            <w:tcW w:w="89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920" w:type="dxa"/>
            <w:vAlign w:val="bottom"/>
            <w:gridSpan w:val="5"/>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6920" w:type="dxa"/>
            <w:vAlign w:val="bottom"/>
            <w:gridSpan w:val="10"/>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Legal Proceedings</w:t>
              </w:r>
            </w:hyperlink>
          </w:p>
        </w:tc>
        <w:tc>
          <w:tcPr>
            <w:tcW w:w="7620" w:type="dxa"/>
            <w:vAlign w:val="bottom"/>
            <w:gridSpan w:val="14"/>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4.</w:t>
            </w:r>
          </w:p>
        </w:tc>
        <w:tc>
          <w:tcPr>
            <w:tcW w:w="89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20" w:type="dxa"/>
            <w:vAlign w:val="bottom"/>
            <w:gridSpan w:val="5"/>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50"/>
        </w:trPr>
        <w:tc>
          <w:tcPr>
            <w:tcW w:w="1480" w:type="dxa"/>
            <w:vAlign w:val="bottom"/>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5.</w:t>
            </w:r>
          </w:p>
        </w:tc>
        <w:tc>
          <w:tcPr>
            <w:tcW w:w="8060" w:type="dxa"/>
            <w:vAlign w:val="bottom"/>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 Securities</w:t>
              </w:r>
            </w:hyperlink>
          </w:p>
        </w:tc>
        <w:tc>
          <w:tcPr>
            <w:tcW w:w="90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Selected Financial Data</w:t>
              </w:r>
            </w:hyperlink>
          </w:p>
        </w:tc>
        <w:tc>
          <w:tcPr>
            <w:tcW w:w="6340" w:type="dxa"/>
            <w:vAlign w:val="bottom"/>
            <w:gridSpan w:val="12"/>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7.</w:t>
            </w:r>
          </w:p>
        </w:tc>
        <w:tc>
          <w:tcPr>
            <w:tcW w:w="89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5"/>
          </w:tcPr>
          <w:p>
            <w:pPr>
              <w:jc w:val="right"/>
              <w:ind w:right="4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7A.</w:t>
            </w:r>
          </w:p>
        </w:tc>
        <w:tc>
          <w:tcPr>
            <w:tcW w:w="4360" w:type="dxa"/>
            <w:vAlign w:val="bottom"/>
            <w:gridSpan w:val="1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2520" w:type="dxa"/>
            <w:vAlign w:val="bottom"/>
            <w:gridSpan w:val="4"/>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8.</w:t>
            </w:r>
          </w:p>
        </w:tc>
        <w:tc>
          <w:tcPr>
            <w:tcW w:w="436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Supplemental Data</w:t>
              </w:r>
            </w:hyperlink>
          </w:p>
        </w:tc>
        <w:tc>
          <w:tcPr>
            <w:tcW w:w="4600" w:type="dxa"/>
            <w:vAlign w:val="bottom"/>
            <w:gridSpan w:val="6"/>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9.</w:t>
            </w:r>
          </w:p>
        </w:tc>
        <w:tc>
          <w:tcPr>
            <w:tcW w:w="6480" w:type="dxa"/>
            <w:vAlign w:val="bottom"/>
            <w:gridSpan w:val="15"/>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Changes in and Disagreements with Accountants on Accounting and Financial Disclosure</w:t>
              </w:r>
            </w:hyperlink>
          </w:p>
        </w:tc>
        <w:tc>
          <w:tcPr>
            <w:tcW w:w="2480" w:type="dxa"/>
            <w:vAlign w:val="bottom"/>
            <w:gridSpan w:val="3"/>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97</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Controls and Procedures</w:t>
              </w:r>
            </w:hyperlink>
          </w:p>
        </w:tc>
        <w:tc>
          <w:tcPr>
            <w:tcW w:w="4700" w:type="dxa"/>
            <w:vAlign w:val="bottom"/>
            <w:gridSpan w:val="9"/>
          </w:tcPr>
          <w:p>
            <w:pPr>
              <w:spacing w:after="0"/>
              <w:rPr>
                <w:sz w:val="21"/>
                <w:szCs w:val="21"/>
                <w:color w:val="auto"/>
              </w:rPr>
            </w:pPr>
          </w:p>
        </w:tc>
        <w:tc>
          <w:tcPr>
            <w:tcW w:w="2480" w:type="dxa"/>
            <w:vAlign w:val="bottom"/>
            <w:gridSpan w:val="3"/>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7180" w:type="dxa"/>
            <w:vAlign w:val="bottom"/>
            <w:gridSpan w:val="12"/>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99</w:t>
              </w:r>
            </w:hyperlink>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8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10.</w:t>
            </w:r>
          </w:p>
        </w:tc>
        <w:tc>
          <w:tcPr>
            <w:tcW w:w="4100" w:type="dxa"/>
            <w:vAlign w:val="bottom"/>
            <w:gridSpan w:val="11"/>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Directors, Executive Officers and Corporate Governance</w:t>
              </w:r>
            </w:hyperlink>
          </w:p>
        </w:tc>
        <w:tc>
          <w:tcPr>
            <w:tcW w:w="4860" w:type="dxa"/>
            <w:vAlign w:val="bottom"/>
            <w:gridSpan w:val="7"/>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6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11.</w:t>
            </w:r>
          </w:p>
        </w:tc>
        <w:tc>
          <w:tcPr>
            <w:tcW w:w="4100" w:type="dxa"/>
            <w:vAlign w:val="bottom"/>
            <w:gridSpan w:val="1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4860" w:type="dxa"/>
            <w:vAlign w:val="bottom"/>
            <w:gridSpan w:val="7"/>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6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Security Ownership of Certain Beneficial Owners and Management and Related Stockholder Matters</w:t>
              </w:r>
            </w:hyperlink>
          </w:p>
        </w:tc>
        <w:tc>
          <w:tcPr>
            <w:tcW w:w="1660" w:type="dxa"/>
            <w:vAlign w:val="bottom"/>
            <w:gridSpan w:val="2"/>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6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13.</w:t>
            </w:r>
          </w:p>
        </w:tc>
        <w:tc>
          <w:tcPr>
            <w:tcW w:w="730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1660" w:type="dxa"/>
            <w:vAlign w:val="bottom"/>
            <w:gridSpan w:val="2"/>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6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3"/>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14.</w:t>
            </w:r>
          </w:p>
        </w:tc>
        <w:tc>
          <w:tcPr>
            <w:tcW w:w="5400" w:type="dxa"/>
            <w:vAlign w:val="bottom"/>
            <w:gridSpan w:val="1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3560" w:type="dxa"/>
            <w:vAlign w:val="bottom"/>
            <w:gridSpan w:val="5"/>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3">
              <w:r>
                <w:rPr>
                  <w:rFonts w:ascii="Arial" w:cs="Arial" w:eastAsia="Arial" w:hAnsi="Arial"/>
                  <w:sz w:val="18"/>
                  <w:szCs w:val="18"/>
                  <w:color w:val="0000EE"/>
                </w:rPr>
                <w:t>101</w:t>
              </w:r>
            </w:hyperlink>
          </w:p>
        </w:tc>
      </w:tr>
      <w:tr>
        <w:trPr>
          <w:trHeight w:val="250"/>
        </w:trPr>
        <w:tc>
          <w:tcPr>
            <w:tcW w:w="1480" w:type="dxa"/>
            <w:vAlign w:val="bottom"/>
            <w:gridSpan w:val="5"/>
          </w:tcPr>
          <w:p>
            <w:pPr>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r>
      <w:tr>
        <w:trPr>
          <w:trHeight w:val="250"/>
        </w:trPr>
        <w:tc>
          <w:tcPr>
            <w:tcW w:w="1480" w:type="dxa"/>
            <w:vAlign w:val="bottom"/>
            <w:gridSpan w:val="5"/>
          </w:tcPr>
          <w:p>
            <w:pPr>
              <w:ind w:left="340"/>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Exhibits and Financial Statement Schedules</w:t>
              </w:r>
            </w:hyperlink>
          </w:p>
        </w:tc>
        <w:tc>
          <w:tcPr>
            <w:tcW w:w="5800" w:type="dxa"/>
            <w:vAlign w:val="bottom"/>
            <w:gridSpan w:val="8"/>
          </w:tcPr>
          <w:p>
            <w:pPr>
              <w:spacing w:after="0"/>
              <w:rPr>
                <w:sz w:val="21"/>
                <w:szCs w:val="21"/>
                <w:color w:val="auto"/>
              </w:rPr>
            </w:pPr>
          </w:p>
        </w:tc>
        <w:tc>
          <w:tcPr>
            <w:tcW w:w="920" w:type="dxa"/>
            <w:vAlign w:val="bottom"/>
            <w:gridSpan w:val="5"/>
          </w:tcPr>
          <w:p>
            <w:pPr>
              <w:jc w:val="right"/>
              <w:ind w:right="40"/>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Our website address is www.evercore.com. We make available free of charge on the Investor Relations section of our website (http://ir.evercore.com) our Annual Report on Form 10-K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as amended (the “Exchange Act”). We also make available through our website other reports filed with or furnished to the SEC under the Exchange Act, including our Proxy Statements and reports filed by officers and directors under Section 16(a) of that Act, as well as our Code of Business Conduct and Ethics. From time to time we may use our website as a channel of distribution of material company information. Financial and other material information regarding the Company is routinely posted on and accessible at http://ir.evercore.com. In addition, you may automatically receive email alerts and other information about us by enrolling your email by visiting the “Email Alert” section at http://ir.evercore.com. We do not intend for information contained in our website to be part of this Form 10-K.</w:t>
      </w:r>
    </w:p>
    <w:p>
      <w:pPr>
        <w:spacing w:after="0" w:line="113"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Any materials we file with the SEC may be read and copied at the SEC’s Public Reference Room at 100 F Street, N.E., Washington, DC, 20549. Information on the operation of the Public Reference Room may be obtained by calling the SEC at 1-800-SEC-0330. The SEC maintains an Internet site (http://www.sec.gov) that contains reports, proxy and information statements and other information regarding issuers that file electronically with the SEC.</w:t>
      </w:r>
    </w:p>
    <w:p>
      <w:pPr>
        <w:spacing w:after="0" w:line="9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In this report, references to “Evercore”, the “Company”, “we”, “us” and “our” refer to Evercore Partners Inc., a Delaware corporation, and its consolidated subsidiaries. Unless the context otherwise requires, references to (1) “Evercore Partners Inc.” refer solely to Evercore Partners Inc., and not to any of its consolidated subsidiaries and (2) “Evercore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380" w:firstLine="432"/>
        <w:spacing w:after="0" w:line="276" w:lineRule="auto"/>
        <w:rPr>
          <w:sz w:val="20"/>
          <w:szCs w:val="20"/>
          <w:color w:val="auto"/>
        </w:rPr>
      </w:pPr>
      <w:r>
        <w:rPr>
          <w:rFonts w:ascii="Arial" w:cs="Arial" w:eastAsia="Arial" w:hAnsi="Arial"/>
          <w:sz w:val="17"/>
          <w:szCs w:val="17"/>
          <w:color w:val="auto"/>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19"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 or incorporated by reference in this report. We undertake no obligation to publicly update or review any forward-looking statement, whether as a result of new information, future developments or otherwise. You should, however, consult further disclosures we may make in future filings of our Annual Reports on Form 10-K, Quarterly Reports on Form 10-Q and Current Reports on Form 8-K and any amendments thereto or in future press releases or other public statements.</w:t>
      </w:r>
    </w:p>
    <w:p>
      <w:pPr>
        <w:spacing w:after="0" w:line="14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Evercore is one of the leading independent investment banking advisory firms in the world based on the dollar volume of announced worldwide merger and acquisition (“M&amp;A”) transactions on which we have advised since 2000. When we use the term independent investment banking advisory firm, we mean an investment banking firm that directly, or through its affiliates, does not engage in commercial banking or significant proprietary trading activities. We were founded on the belief that there is an opportunity within the investment banking industry for a firm free of the potential conflicts of interest created within large, multi-product financial institutions. We also believed that the broad set of relationships of an independent advisory business would provide the foundation for a differentiated investment management platform. We believe that maintaining standards of excellence and integrity in our core businesses demands a spirit of cooperation and hands-on participation more commonly found in smaller organizations. Since our inception, we have set out to build—in the employees we choose and in the projects we undertake—an organization dedicated to the highest caliber of professionalism and integrity.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globally through two business segments:</w:t>
      </w:r>
    </w:p>
    <w:p>
      <w:pPr>
        <w:spacing w:after="0" w:line="23"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Banking;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Management.</w:t>
      </w:r>
    </w:p>
    <w:p>
      <w:pPr>
        <w:spacing w:after="0" w:line="1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Investment Banking segment includes our Advisory services, through which we provide advice to clients on significant mergers, acquisitions, divestitures and other strategic corporate transactions, with a particular focus on advising prominent multinational corporations and substantial private equity firms on large, complex transactions. We also provide restructuring advice to companies in financial transition, as well as to creditors, shareholders and potential acquirers. In addition, we provide our clients with capital markets advice relating to both debt and equity securities, underwrite securities offerings and raise funds for financial sponsors. Our Investment Banking segment also includes our Institutional Equities services through which we offer equity research and agency-only equity securities trading for institutional investors.</w:t>
      </w:r>
    </w:p>
    <w:p>
      <w:pPr>
        <w:spacing w:after="0" w:line="12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Investment Management segment focuses on Institutional Asset Management, through which we manage financial assets for sophisticated institutional investors and provide independent fiduciary services to corporate employee benefit plans; Wealth Management, through which we provide wealth management services for high net-worth individuals; and Private Equity, through which we manage private equity funds. Each of these businesses is led by senior investment professionals with extensive experience in their respective fields.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94"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At December 31, 2013, our Investment Banking segment had 67 Senior Managing Directors and 17 Senior Advisors with expertise and client relationships in a wide variety of industry sectors, as well as 43 senior research and sales professionals in Institutional Equities.</w:t>
      </w:r>
    </w:p>
    <w:p>
      <w:pPr>
        <w:spacing w:after="0" w:line="9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2013, our Investment Banking segment generated $666.8 million, or 87% of our revenues, excluding Other Revenue, net, ($568.2 million, or 88%, in 2012 and $430.6 million, or 81%, in 2011) and earned advisory fees from 358 clients.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provide confidential, strategic and tactical advice to both public and private companies, with a particular focus on large, multinational corporations.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virtue of their prominence, size and sophistication, many of our clients are more likely to require expertise relating to larger and more complex situations.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are advising or have advised on numerous noteworthy transactions during the past three years, including:</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right="80" w:firstLine="5"/>
        <w:spacing w:after="0" w:line="308"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Disinterested Directors of the Board of Chrysler Group on the purchase of the VEBA's 41.5% member interests by Fiat</w:t>
      </w:r>
    </w:p>
    <w:p>
      <w:pPr>
        <w:spacing w:after="0" w:line="308" w:lineRule="exact"/>
        <w:rPr>
          <w:rFonts w:ascii="Arial" w:cs="Arial" w:eastAsia="Arial" w:hAnsi="Arial"/>
          <w:sz w:val="17"/>
          <w:szCs w:val="17"/>
          <w:color w:val="auto"/>
        </w:rPr>
      </w:pPr>
    </w:p>
    <w:p>
      <w:pPr>
        <w:ind w:left="300" w:right="520" w:firstLine="5"/>
        <w:spacing w:after="0" w:line="277"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E.I. du Pont de Nemours and Company on the spin-off of its Performance Chemicals business</w:t>
      </w:r>
    </w:p>
    <w:p>
      <w:pPr>
        <w:spacing w:after="0" w:line="332" w:lineRule="exact"/>
        <w:rPr>
          <w:rFonts w:ascii="Arial" w:cs="Arial" w:eastAsia="Arial" w:hAnsi="Arial"/>
          <w:sz w:val="18"/>
          <w:szCs w:val="18"/>
          <w:color w:val="auto"/>
        </w:rPr>
      </w:pPr>
    </w:p>
    <w:p>
      <w:pPr>
        <w:ind w:left="300" w:right="40" w:firstLine="5"/>
        <w:spacing w:after="0" w:line="342" w:lineRule="auto"/>
        <w:tabs>
          <w:tab w:leader="none" w:pos="498" w:val="left"/>
        </w:tabs>
        <w:numPr>
          <w:ilvl w:val="0"/>
          <w:numId w:val="4"/>
        </w:numPr>
        <w:rPr>
          <w:rFonts w:ascii="Arial" w:cs="Arial" w:eastAsia="Arial" w:hAnsi="Arial"/>
          <w:sz w:val="16"/>
          <w:szCs w:val="16"/>
          <w:color w:val="auto"/>
        </w:rPr>
      </w:pPr>
      <w:r>
        <w:rPr>
          <w:rFonts w:ascii="Arial" w:cs="Arial" w:eastAsia="Arial" w:hAnsi="Arial"/>
          <w:sz w:val="16"/>
          <w:szCs w:val="16"/>
          <w:color w:val="auto"/>
        </w:rPr>
        <w:t>Kinder Morgan on its acquisition of El Paso and on the subsequent sale of EP Energy to an investor group led by Apollo and Riverstone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00" w:hanging="19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AT&amp;T on its acquisition of Leap Wireless International</w:t>
      </w:r>
    </w:p>
    <w:p>
      <w:pPr>
        <w:spacing w:after="0" w:line="387" w:lineRule="exact"/>
        <w:rPr>
          <w:rFonts w:ascii="Arial" w:cs="Arial" w:eastAsia="Arial" w:hAnsi="Arial"/>
          <w:sz w:val="18"/>
          <w:szCs w:val="18"/>
          <w:color w:val="auto"/>
        </w:rPr>
      </w:pPr>
    </w:p>
    <w:p>
      <w:pPr>
        <w:ind w:left="300" w:firstLine="5"/>
        <w:spacing w:after="0" w:line="264"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Bristol-Myers Squibb on its acquisition of Amylin Pharmaceuticals and the sale of half of its interest in Amylin Pharmaceuticals to AstraZeneca</w:t>
      </w:r>
    </w:p>
    <w:p>
      <w:pPr>
        <w:spacing w:after="0" w:line="343" w:lineRule="exact"/>
        <w:rPr>
          <w:rFonts w:ascii="Arial" w:cs="Arial" w:eastAsia="Arial" w:hAnsi="Arial"/>
          <w:sz w:val="18"/>
          <w:szCs w:val="18"/>
          <w:color w:val="auto"/>
        </w:rPr>
      </w:pPr>
    </w:p>
    <w:p>
      <w:pPr>
        <w:ind w:left="300" w:firstLine="5"/>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Special Committee of the Board of Directors of Dell on its sale to Michael Dell and Silver Lake</w:t>
      </w:r>
    </w:p>
    <w:p>
      <w:pPr>
        <w:spacing w:after="0" w:line="332" w:lineRule="exact"/>
        <w:rPr>
          <w:rFonts w:ascii="Arial" w:cs="Arial" w:eastAsia="Arial" w:hAnsi="Arial"/>
          <w:sz w:val="18"/>
          <w:szCs w:val="18"/>
          <w:color w:val="auto"/>
        </w:rPr>
      </w:pPr>
    </w:p>
    <w:p>
      <w:pPr>
        <w:ind w:left="300" w:right="340" w:firstLine="5"/>
        <w:spacing w:after="0" w:line="277" w:lineRule="auto"/>
        <w:tabs>
          <w:tab w:leader="none" w:pos="4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Advent International and GS Capital Partners VI Fund on their acquisition of TransUnion</w:t>
      </w:r>
    </w:p>
    <w:p>
      <w:pPr>
        <w:spacing w:after="0" w:line="332" w:lineRule="exact"/>
        <w:rPr>
          <w:rFonts w:ascii="Arial" w:cs="Arial" w:eastAsia="Arial" w:hAnsi="Arial"/>
          <w:sz w:val="18"/>
          <w:szCs w:val="18"/>
          <w:color w:val="auto"/>
        </w:rPr>
      </w:pPr>
    </w:p>
    <w:p>
      <w:pPr>
        <w:jc w:val="both"/>
        <w:ind w:left="300" w:right="260" w:firstLine="5"/>
        <w:spacing w:after="0" w:line="312" w:lineRule="auto"/>
        <w:tabs>
          <w:tab w:leader="none" w:pos="49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Special Committee of Kraft Foods on its split into a global snacks-based business called Mondelez Internantional and a North American grocery businesses called Kraft Foods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right="840" w:firstLine="4"/>
        <w:spacing w:after="0" w:line="277"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Special Committee of Sirius XM Radio on the sale of its outstanding shares to Liberty Media</w:t>
      </w:r>
    </w:p>
    <w:p>
      <w:pPr>
        <w:spacing w:after="0" w:line="332" w:lineRule="exact"/>
        <w:rPr>
          <w:rFonts w:ascii="Arial" w:cs="Arial" w:eastAsia="Arial" w:hAnsi="Arial"/>
          <w:sz w:val="18"/>
          <w:szCs w:val="18"/>
          <w:color w:val="auto"/>
        </w:rPr>
      </w:pPr>
    </w:p>
    <w:p>
      <w:pPr>
        <w:ind w:left="-4" w:right="540" w:firstLine="4"/>
        <w:spacing w:after="0" w:line="277"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Forstmann Little &amp; Co. on the sale of its ownership stake in IMG Worldwide Holdings, Inc.</w:t>
      </w:r>
    </w:p>
    <w:p>
      <w:pPr>
        <w:spacing w:after="0" w:line="332" w:lineRule="exact"/>
        <w:rPr>
          <w:rFonts w:ascii="Arial" w:cs="Arial" w:eastAsia="Arial" w:hAnsi="Arial"/>
          <w:sz w:val="18"/>
          <w:szCs w:val="18"/>
          <w:color w:val="auto"/>
        </w:rPr>
      </w:pPr>
    </w:p>
    <w:p>
      <w:pPr>
        <w:ind w:left="-4" w:right="660" w:firstLine="4"/>
        <w:spacing w:after="0" w:line="264"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CLP Holdings on the acquisition, together with China Southern Power Grid, of ExxonMobil's majority stake in its Hong Kong electricity business</w:t>
      </w:r>
    </w:p>
    <w:p>
      <w:pPr>
        <w:spacing w:after="0" w:line="343" w:lineRule="exact"/>
        <w:rPr>
          <w:rFonts w:ascii="Arial" w:cs="Arial" w:eastAsia="Arial" w:hAnsi="Arial"/>
          <w:sz w:val="18"/>
          <w:szCs w:val="18"/>
          <w:color w:val="auto"/>
        </w:rPr>
      </w:pPr>
    </w:p>
    <w:p>
      <w:pPr>
        <w:ind w:left="-4" w:right="860" w:firstLine="4"/>
        <w:spacing w:after="0" w:line="277"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Primaris Retail REIT on its defense from a hostile suitor and ultimate sale to H&amp;R REIT</w:t>
      </w:r>
    </w:p>
    <w:p>
      <w:pPr>
        <w:spacing w:after="0" w:line="332" w:lineRule="exact"/>
        <w:rPr>
          <w:rFonts w:ascii="Arial" w:cs="Arial" w:eastAsia="Arial" w:hAnsi="Arial"/>
          <w:sz w:val="18"/>
          <w:szCs w:val="18"/>
          <w:color w:val="auto"/>
        </w:rPr>
      </w:pPr>
    </w:p>
    <w:p>
      <w:pPr>
        <w:ind w:left="-4" w:right="840" w:firstLine="4"/>
        <w:spacing w:after="0" w:line="277"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McGraw-Hill Companies on the sale of its McGraw-Hill Education business to Apollo</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196" w:hanging="196"/>
        <w:spacing w:after="0"/>
        <w:tabs>
          <w:tab w:leader="none" w:pos="196" w:val="left"/>
        </w:tabs>
        <w:numPr>
          <w:ilvl w:val="0"/>
          <w:numId w:val="5"/>
        </w:numPr>
        <w:rPr>
          <w:rFonts w:ascii="Arial" w:cs="Arial" w:eastAsia="Arial" w:hAnsi="Arial"/>
          <w:sz w:val="18"/>
          <w:szCs w:val="18"/>
          <w:color w:val="auto"/>
        </w:rPr>
      </w:pPr>
      <w:r>
        <w:rPr>
          <w:rFonts w:ascii="Arial" w:cs="Arial" w:eastAsia="Arial" w:hAnsi="Arial"/>
          <w:sz w:val="18"/>
          <w:szCs w:val="18"/>
          <w:color w:val="auto"/>
        </w:rPr>
        <w:t>Lubrizol on its sale to Berkshire Hathaway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96" w:hanging="196"/>
        <w:spacing w:after="0"/>
        <w:tabs>
          <w:tab w:leader="none" w:pos="196" w:val="left"/>
        </w:tabs>
        <w:numPr>
          <w:ilvl w:val="0"/>
          <w:numId w:val="5"/>
        </w:numPr>
        <w:rPr>
          <w:rFonts w:ascii="Arial" w:cs="Arial" w:eastAsia="Arial" w:hAnsi="Arial"/>
          <w:sz w:val="18"/>
          <w:szCs w:val="18"/>
          <w:color w:val="auto"/>
        </w:rPr>
      </w:pPr>
      <w:r>
        <w:rPr>
          <w:rFonts w:ascii="Arial" w:cs="Arial" w:eastAsia="Arial" w:hAnsi="Arial"/>
          <w:sz w:val="18"/>
          <w:szCs w:val="18"/>
          <w:color w:val="auto"/>
        </w:rPr>
        <w:t>Sanofi on its acquisition of Genzyme</w:t>
      </w:r>
    </w:p>
    <w:p>
      <w:pPr>
        <w:spacing w:after="0" w:line="1440" w:lineRule="exact"/>
        <w:rPr>
          <w:sz w:val="20"/>
          <w:szCs w:val="20"/>
          <w:color w:val="auto"/>
        </w:rPr>
      </w:pPr>
    </w:p>
    <w:p>
      <w:pPr>
        <w:sectPr>
          <w:pgSz w:w="11900" w:h="16838" w:orient="portrait"/>
          <w:cols w:equalWidth="0" w:num="2">
            <w:col w:w="5360" w:space="604"/>
            <w:col w:w="5436"/>
          </w:cols>
          <w:pgMar w:left="240" w:top="122" w:right="259" w:bottom="1440" w:gutter="0" w:footer="0" w:header="0"/>
          <w:type w:val="continuous"/>
        </w:sectPr>
      </w:pPr>
    </w:p>
    <w:p>
      <w:pPr>
        <w:ind w:right="520" w:firstLine="432"/>
        <w:spacing w:after="0" w:line="258" w:lineRule="auto"/>
        <w:rPr>
          <w:sz w:val="20"/>
          <w:szCs w:val="20"/>
          <w:color w:val="auto"/>
        </w:rPr>
      </w:pPr>
      <w:r>
        <w:rPr>
          <w:rFonts w:ascii="Arial" w:cs="Arial" w:eastAsia="Arial" w:hAnsi="Arial"/>
          <w:sz w:val="18"/>
          <w:szCs w:val="18"/>
          <w:color w:val="auto"/>
        </w:rPr>
        <w:t>Our approach is to work as a trusted senior advisor to top corporate officers and boards of directors, helping them devise strategies for enhancing shareholder value:</w:t>
      </w:r>
    </w:p>
    <w:p>
      <w:pPr>
        <w:spacing w:after="0" w:line="1" w:lineRule="exact"/>
        <w:rPr>
          <w:sz w:val="20"/>
          <w:szCs w:val="20"/>
          <w:color w:val="auto"/>
        </w:rPr>
      </w:pPr>
    </w:p>
    <w:p>
      <w:pPr>
        <w:ind w:left="64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color w:val="auto"/>
        </w:rPr>
        <w:t>. We seek to recommend shareholder value enhancement strategies or other financial strategies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would pursue ourselves were we acting in management’s capacity. This approach often includes advising our clients against pursuing transactions that we believe do not meet that standard.</w:t>
      </w:r>
    </w:p>
    <w:p>
      <w:pPr>
        <w:spacing w:after="0" w:line="1" w:lineRule="exact"/>
        <w:rPr>
          <w:rFonts w:ascii="Arial" w:cs="Arial" w:eastAsia="Arial" w:hAnsi="Arial"/>
          <w:sz w:val="18"/>
          <w:szCs w:val="18"/>
          <w:color w:val="auto"/>
        </w:rPr>
      </w:pPr>
    </w:p>
    <w:p>
      <w:pPr>
        <w:ind w:left="640" w:right="16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 Excellence</w:t>
      </w:r>
      <w:r>
        <w:rPr>
          <w:rFonts w:ascii="Arial" w:cs="Arial" w:eastAsia="Arial" w:hAnsi="Arial"/>
          <w:sz w:val="18"/>
          <w:szCs w:val="18"/>
          <w:color w:val="auto"/>
        </w:rPr>
        <w:t>. Since the beginning of 2000, we have advised on over $1.7 trillion of announced transactions, including acquisitions,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mergers of equals, special committee advisory assignments, recapitalizations and restructurings.</w:t>
      </w:r>
    </w:p>
    <w:p>
      <w:pPr>
        <w:ind w:left="640" w:right="140" w:hanging="321"/>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color w:val="auto"/>
        </w:rPr>
        <w:t>. The Senior Managing Directors in our advisory business participate in all facets of client interaction,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evaluation phase to the final stage of executing our recommendations.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advise clients in a number of different situations across many industries and geographies, each of which may require various services:</w:t>
      </w:r>
    </w:p>
    <w:p>
      <w:pPr>
        <w:spacing w:after="0" w:line="35" w:lineRule="exact"/>
        <w:rPr>
          <w:sz w:val="20"/>
          <w:szCs w:val="20"/>
          <w:color w:val="auto"/>
        </w:rPr>
      </w:pPr>
    </w:p>
    <w:p>
      <w:pPr>
        <w:ind w:left="640" w:right="16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color w:val="auto"/>
        </w:rPr>
        <w:t>. When we advise companies about the potential acquisition of another company or certain assets, our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1" w:lineRule="exact"/>
        <w:rPr>
          <w:rFonts w:ascii="Arial" w:cs="Arial" w:eastAsia="Arial" w:hAnsi="Arial"/>
          <w:sz w:val="18"/>
          <w:szCs w:val="18"/>
          <w:color w:val="auto"/>
        </w:rPr>
      </w:pPr>
    </w:p>
    <w:p>
      <w:pPr>
        <w:ind w:left="640" w:right="60" w:hanging="321"/>
        <w:spacing w:after="0" w:line="28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Divestitures and Sale Transactions</w:t>
      </w:r>
      <w:r>
        <w:rPr>
          <w:rFonts w:ascii="Arial" w:cs="Arial" w:eastAsia="Arial" w:hAnsi="Arial"/>
          <w:sz w:val="16"/>
          <w:szCs w:val="16"/>
          <w:color w:val="auto"/>
        </w:rPr>
        <w:t>. When we advise clients that are contemplating the sale of certain businesses, assets or their entire company,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include evaluating and recommending financial and strategic alternatives with respect to a sale, advising on valuation issues and the appropriate sales process for the situation, assisting in preparing an offering memorandum or other appropriate sales materials and rendering, if appropriate, fairness opinions. We also identify and contact selected qualified acquirers and assist in negotiating and closing the sale.</w:t>
      </w:r>
    </w:p>
    <w:p>
      <w:pPr>
        <w:spacing w:after="0" w:line="2" w:lineRule="exact"/>
        <w:rPr>
          <w:rFonts w:ascii="Arial" w:cs="Arial" w:eastAsia="Arial" w:hAnsi="Arial"/>
          <w:sz w:val="16"/>
          <w:szCs w:val="16"/>
          <w:color w:val="auto"/>
        </w:rPr>
      </w:pPr>
    </w:p>
    <w:p>
      <w:pPr>
        <w:ind w:left="640" w:right="240" w:hanging="321"/>
        <w:spacing w:after="0" w:line="323" w:lineRule="auto"/>
        <w:tabs>
          <w:tab w:leader="none" w:pos="64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Special Committee and Fairness Opinion Assignments</w:t>
      </w:r>
      <w:r>
        <w:rPr>
          <w:rFonts w:ascii="Arial" w:cs="Arial" w:eastAsia="Arial" w:hAnsi="Arial"/>
          <w:sz w:val="16"/>
          <w:szCs w:val="16"/>
          <w:color w:val="auto"/>
        </w:rPr>
        <w:t>. We are well known for our independence, quality and thoroughness and devoting senior-level attention throughout the project lifecycle. We believe our objectivity, integrity and discretion allow us to provide an unbiased perspective.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40" w:hanging="321"/>
        <w:spacing w:after="0" w:line="286"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color w:val="auto"/>
        </w:rPr>
        <w:t>. We provide financial advice and investment banking services to companies in financial transition, as well as to creditors,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potential acquirers. 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1" w:lineRule="exact"/>
        <w:rPr>
          <w:rFonts w:ascii="Arial" w:cs="Arial" w:eastAsia="Arial" w:hAnsi="Arial"/>
          <w:sz w:val="16"/>
          <w:szCs w:val="16"/>
          <w:color w:val="auto"/>
        </w:rPr>
      </w:pPr>
    </w:p>
    <w:p>
      <w:pPr>
        <w:jc w:val="both"/>
        <w:ind w:left="640" w:hanging="321"/>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Capital Markets</w:t>
      </w:r>
      <w:r>
        <w:rPr>
          <w:rFonts w:ascii="Arial" w:cs="Arial" w:eastAsia="Arial" w:hAnsi="Arial"/>
          <w:sz w:val="18"/>
          <w:szCs w:val="18"/>
          <w:color w:val="auto"/>
        </w:rPr>
        <w:t>. We serve as an objective advisor to corporations and financial sponsors on a broad array of financing issues. We have developed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in assisting clients with respect to the entire spectrum of capital structure decisions. In addition, we act as an underwriter in public offerings and private placements of debt and equity securities in the U.S. and internationally.</w:t>
      </w:r>
    </w:p>
    <w:p>
      <w:pPr>
        <w:spacing w:after="0" w:line="1" w:lineRule="exact"/>
        <w:rPr>
          <w:rFonts w:ascii="Arial" w:cs="Arial" w:eastAsia="Arial" w:hAnsi="Arial"/>
          <w:sz w:val="18"/>
          <w:szCs w:val="18"/>
          <w:color w:val="auto"/>
        </w:rPr>
      </w:pPr>
    </w:p>
    <w:p>
      <w:pPr>
        <w:ind w:left="640" w:right="60" w:hanging="321"/>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Private Funds</w:t>
      </w:r>
      <w:r>
        <w:rPr>
          <w:rFonts w:ascii="Arial" w:cs="Arial" w:eastAsia="Arial" w:hAnsi="Arial"/>
          <w:sz w:val="18"/>
          <w:szCs w:val="18"/>
          <w:color w:val="auto"/>
        </w:rPr>
        <w:t>. We advise fund sponsors in the U.S. and internationally on all aspects of the fundraising process. In 2013, we expanded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focus on secondary transactions for private funds interests.</w:t>
      </w:r>
    </w:p>
    <w:p>
      <w:pPr>
        <w:spacing w:after="0" w:line="13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Equities</w:t>
      </w:r>
    </w:p>
    <w:p>
      <w:pPr>
        <w:spacing w:after="0" w:line="90" w:lineRule="exact"/>
        <w:rPr>
          <w:sz w:val="20"/>
          <w:szCs w:val="20"/>
          <w:color w:val="auto"/>
        </w:rPr>
      </w:pPr>
    </w:p>
    <w:p>
      <w:pPr>
        <w:ind w:right="280" w:firstLine="432"/>
        <w:spacing w:after="0" w:line="258" w:lineRule="auto"/>
        <w:rPr>
          <w:sz w:val="20"/>
          <w:szCs w:val="20"/>
          <w:color w:val="auto"/>
        </w:rPr>
      </w:pPr>
      <w:r>
        <w:rPr>
          <w:rFonts w:ascii="Arial" w:cs="Arial" w:eastAsia="Arial" w:hAnsi="Arial"/>
          <w:sz w:val="18"/>
          <w:szCs w:val="18"/>
          <w:color w:val="auto"/>
        </w:rPr>
        <w:t>In June 2010, we commenced our U.S. Institutional Equities operations. This business distributes equity research and engages in agency-only equity securities trading for institutional investors.</w:t>
      </w:r>
    </w:p>
    <w:p>
      <w:pPr>
        <w:spacing w:after="0" w:line="1" w:lineRule="exact"/>
        <w:rPr>
          <w:sz w:val="20"/>
          <w:szCs w:val="20"/>
          <w:color w:val="auto"/>
        </w:rPr>
      </w:pPr>
    </w:p>
    <w:p>
      <w:pPr>
        <w:ind w:left="640" w:right="60" w:hanging="321"/>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Equity Research</w:t>
      </w:r>
      <w:r>
        <w:rPr>
          <w:rFonts w:ascii="Arial" w:cs="Arial" w:eastAsia="Arial" w:hAnsi="Arial"/>
          <w:sz w:val="18"/>
          <w:szCs w:val="18"/>
          <w:color w:val="auto"/>
        </w:rPr>
        <w:t>. Our research analysts perform research to help our clients understand the dynamics that drive the industries and companies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We seek to differentiate ourselves through originality of perspective, depth of insight and ability to uncover industry trends. Our research analysts cover major industry developments, publish research on industry sectors, provide fundamental, company-specific coverage and identify and evaluate investment opportunities in publicly-traded companies.</w:t>
      </w:r>
    </w:p>
    <w:p>
      <w:pPr>
        <w:spacing w:after="0" w:line="1" w:lineRule="exact"/>
        <w:rPr>
          <w:rFonts w:ascii="Arial" w:cs="Arial" w:eastAsia="Arial" w:hAnsi="Arial"/>
          <w:sz w:val="18"/>
          <w:szCs w:val="18"/>
          <w:color w:val="auto"/>
        </w:rPr>
      </w:pPr>
    </w:p>
    <w:p>
      <w:pPr>
        <w:ind w:left="640" w:right="120" w:hanging="321"/>
        <w:spacing w:after="0" w:line="290"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Institutional Sales and Trading</w:t>
      </w:r>
      <w:r>
        <w:rPr>
          <w:rFonts w:ascii="Arial" w:cs="Arial" w:eastAsia="Arial" w:hAnsi="Arial"/>
          <w:sz w:val="17"/>
          <w:szCs w:val="17"/>
          <w:color w:val="auto"/>
        </w:rPr>
        <w:t>. Our professionals provide equity securities sales and trading services to institutional investors and seek to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relationships with the portfolio managers and traders they serve by working closely with our equity research professionals.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Investment Management segment includes Institutional Asset Management, in the United States through Evercore Trust Company, N.A. (“ETC”), Atalanta Sosnoff Capital, LLC (“Atalanta Sosnoff”) and ABS Investment Management, LLC (“ABS”) and in Latin America through Evercore Casa de Bolsa, S.A. de C.V. (“ECB”, formerly Protego Casa de Bolsa, S.A. de C.V.); Wealth Management, through Evercore Wealth Management (“EWM”) and G5 Holdings S.A. (“G5 ǀ Evercore”); and Private Equity. Our Investment Management business principally manages and invests capital on behalf of third parties, including a broad range of institutional investors such as corporate and public pension funds, endowments, foundations, insurance companies, family offices and high net-worth individuals. Our Investment Management business is led by highly-experienced Portfolio and Client Relationship Managers. In December 2013, we completed the sale of Evercore Pan-Asset Capital Management (“Pan”), formerly included within Wealth Management.</w:t>
      </w:r>
    </w:p>
    <w:p>
      <w:pPr>
        <w:spacing w:after="0" w:line="113" w:lineRule="exact"/>
        <w:rPr>
          <w:sz w:val="20"/>
          <w:szCs w:val="20"/>
          <w:color w:val="auto"/>
        </w:rPr>
      </w:pPr>
    </w:p>
    <w:p>
      <w:pPr>
        <w:ind w:right="500" w:firstLine="432"/>
        <w:spacing w:after="0" w:line="279" w:lineRule="auto"/>
        <w:rPr>
          <w:sz w:val="20"/>
          <w:szCs w:val="20"/>
          <w:color w:val="auto"/>
        </w:rPr>
      </w:pPr>
      <w:r>
        <w:rPr>
          <w:rFonts w:ascii="Arial" w:cs="Arial" w:eastAsia="Arial" w:hAnsi="Arial"/>
          <w:sz w:val="17"/>
          <w:szCs w:val="17"/>
          <w:color w:val="auto"/>
        </w:rPr>
        <w:t>In 2013, our Investment Management segment generated revenue of $95.8 million or 13% of our revenues, excluding Other Revenue, net, ($79.8 million, or 12%, in 2012 and $99.2 million, or 19%, in 2011). As of December 31, 2013, we had $13.6 billion of assets under management (“AUM”), excluding any AUM from our non-consolidated affiliates, of which $8.4 billion was attributable to Institutional Asset Management, $4.9 billion was attributable to Wealth Management and $0.4 billion was attributable to Private Equity clients.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Asset Management</w:t>
      </w:r>
    </w:p>
    <w:p>
      <w:pPr>
        <w:spacing w:after="0" w:line="9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Within our Institutional Asset Management business, ETC provides specialized investment management, independent fiduciary and trustee services, Atalanta Sosnoff manages large-capitalization U.S. equity and balanced products, ABS is an institutionally focused hedge fund-of-funds manager and ECB primarily manages Mexican fixed income products and offers fiduciary and trust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57" w:lineRule="exact"/>
        <w:rPr>
          <w:sz w:val="20"/>
          <w:szCs w:val="20"/>
          <w:color w:val="auto"/>
        </w:rPr>
      </w:pPr>
    </w:p>
    <w:p>
      <w:pPr>
        <w:ind w:right="20" w:firstLine="432"/>
        <w:spacing w:after="0" w:line="283" w:lineRule="auto"/>
        <w:rPr>
          <w:sz w:val="20"/>
          <w:szCs w:val="20"/>
          <w:color w:val="auto"/>
        </w:rPr>
      </w:pPr>
      <w:r>
        <w:rPr>
          <w:rFonts w:ascii="Arial" w:cs="Arial" w:eastAsia="Arial" w:hAnsi="Arial"/>
          <w:sz w:val="18"/>
          <w:szCs w:val="18"/>
          <w:color w:val="auto"/>
        </w:rPr>
        <w:t>Wealth Management provides services through EWM and G5 ǀ Evercore. EWM targets clients with more than $5 million in investable assets and offers services such as investment policy creation, asset allocation, customized investment management, manager selection, performance reporting and financial planning.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Private Equity manages value-oriented, middle-market private equity funds in both the United States and Mexico. While we do not intend to raise Evercore-sponsored successor funds in the United States or Europe, we maintain a strategic alliance to pursue private equity investment opportunities with Trilantic Capital Partners (“Trilantic”) and to collaborate on the future growth of Trilantic’s business. As part of the agreement, we agreed to use commercially reasonable efforts to source investment opportunities for Trilantic’s current fund, Trilantic Capital Partners Associates IV L.P. (“Trilantic IV”), and Trilantic agreed to use commercially reasonable efforts to refer to the Company mergers and acquisitions advisory services or restructuring advisory services from time to time with respect to selected portfolio companies of Trilantic IV.</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connection with the issuance of certain limited partnership interests in Trilantic, the Company became a limited partner of Trilantic and is entitled to receive 10% of the aggregate amount of carried interest in respect to all of the portfolio investments made by Trilantic IV, up to $15.0 million. The Company and its affiliates are passive investors and do not participate in the management of any Trilantic-sponsored funds. Trilantic also agreed to pay an annual fee to the Company equal to $2.0 million per year for a period of five years as consideration for services to be performed by the Company. In addition, as part of the strategic alliance, the Company agreed to commit $5.0 million of the total capital commitments of Trilantic Capital Partners V L.P. ("Trilantic V").</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 for Growth</w:t>
      </w:r>
    </w:p>
    <w:p>
      <w:pPr>
        <w:spacing w:after="0" w:line="94"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color w:val="auto"/>
        </w:rPr>
        <w:t>We intend to continue to grow and diversify our Investment Banking and Investment Management businesses, and to further enhance our profile and competitive position, through the following strategies:</w:t>
      </w:r>
    </w:p>
    <w:p>
      <w:pPr>
        <w:spacing w:after="0" w:line="1" w:lineRule="exact"/>
        <w:rPr>
          <w:sz w:val="20"/>
          <w:szCs w:val="20"/>
          <w:color w:val="auto"/>
        </w:rPr>
      </w:pPr>
    </w:p>
    <w:p>
      <w:pPr>
        <w:ind w:left="640" w:right="20" w:hanging="321"/>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Add Highly Qualified Investment Banking Professionals with Industry and Product Expertise</w:t>
      </w:r>
      <w:r>
        <w:rPr>
          <w:rFonts w:ascii="Arial" w:cs="Arial" w:eastAsia="Arial" w:hAnsi="Arial"/>
          <w:sz w:val="16"/>
          <w:szCs w:val="16"/>
          <w:color w:val="auto"/>
        </w:rPr>
        <w:t>. We have taken action in a competitive environment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hiring five new Senior Managing Directors in the last 12 months, expanding our capabilities in Latin America and Singapore, increasing our presence on the West Coast with a new office in Silicon Valley, adding Healthcare Services to our healthcare practice and adding to our ability to advise large institutional investors on their private equity, infrastructure and real estate holdings. We intend to continue to recruit high-caliber advisory, funds placement, research and sales and trading professionals to add depth in industry sectors and products and services in areas that we believe we already have strength, and to extend our reach to sectors or new business lines we have identified as particularly attractive.</w:t>
      </w:r>
    </w:p>
    <w:p>
      <w:pPr>
        <w:spacing w:after="0" w:line="4" w:lineRule="exact"/>
        <w:rPr>
          <w:rFonts w:ascii="Arial" w:cs="Arial" w:eastAsia="Arial" w:hAnsi="Arial"/>
          <w:sz w:val="16"/>
          <w:szCs w:val="16"/>
          <w:color w:val="auto"/>
        </w:rPr>
      </w:pPr>
    </w:p>
    <w:p>
      <w:pPr>
        <w:ind w:left="640" w:right="80" w:hanging="321"/>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Achieve Organic Growth and Improved Profitability in Investment Management</w:t>
      </w:r>
      <w:r>
        <w:rPr>
          <w:rFonts w:ascii="Arial" w:cs="Arial" w:eastAsia="Arial" w:hAnsi="Arial"/>
          <w:sz w:val="18"/>
          <w:szCs w:val="18"/>
          <w:color w:val="auto"/>
        </w:rPr>
        <w:t>. We are focused on managing our current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business towards growth and improved profitability. We also continue to selectively evaluate opportunities to expand Evercore Wealth Management.</w:t>
      </w:r>
    </w:p>
    <w:p>
      <w:pPr>
        <w:spacing w:after="0" w:line="1" w:lineRule="exact"/>
        <w:rPr>
          <w:rFonts w:ascii="Arial" w:cs="Arial" w:eastAsia="Arial" w:hAnsi="Arial"/>
          <w:sz w:val="18"/>
          <w:szCs w:val="18"/>
          <w:color w:val="auto"/>
        </w:rPr>
      </w:pPr>
    </w:p>
    <w:p>
      <w:pPr>
        <w:ind w:left="640" w:right="20" w:hanging="321"/>
        <w:spacing w:after="0" w:line="270"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In New Geographic Markets. </w:t>
      </w:r>
      <w:r>
        <w:rPr>
          <w:rFonts w:ascii="Arial" w:cs="Arial" w:eastAsia="Arial" w:hAnsi="Arial"/>
          <w:sz w:val="17"/>
          <w:szCs w:val="17"/>
          <w:color w:val="auto"/>
        </w:rPr>
        <w:t>We are expanding in new geographic markets where we believe the business environment will be receptive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strengths of our Investment Banking business model or where we believe our clients have or may develop a significant presence. Our recent expansion in Canada and Singapore, as well as our advisory affiliates and alliances in Brazil, Argentina, Japan, China, South Korea, Russia and India, represent important steps in this strategy. We are actively seeking to strengthen, expand and deepen these alliances and to enter into new arrangements in additional geographies. We may hire groups of talented professionals or pursue additional strategic acquisitions or alliances with highly-regarded regional or local firms whose cultures and operating principles are similar to ours.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and Geographic Location</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See Note 22 to our consolidated financial statements for additional information regarding our segment results and the geographic areas from which we derive our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December 31, 2013, we employed approximately 1,000 people worldwide. Our senior professionals play a significant role in driving growth and are measured by their productivity either through revenue per Senior Managing Director or other metrics including asset growth for Portfolio and Client Relationship Managers. None of our employees are subject to any collective bargaining agreements, and we believe we have good relations with our employees.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As a leading independent investment banking firm, our core asset is our professional staff, including their intellectual capital and their dedication to providing the highest quality services to our clients. Prior to joining Evercore, many of our Senior Managing Directors, Portfolio and Client Relationship Managers and Senior Research and Sales and Trading Professionals held senior level positions with other leading corporations, financial services firms or investment firms.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financial advisory and investment management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1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Evercore is predominantly an independent investment banking advisory firm, and its competitors can be categorized into three main groups: (1) large universal banks and bulge bracket firms such as Bank of America, Barclays, Citigroup, Credit Suisse, Deutsche Bank, Goldman Sachs, JPMorgan Chase, Morgan Stanley and UBS, (2) independent advisory firms such as Lazard and Rothschild and (3) boutiques, such as Blackstone’s investment banking business, Centerview, Greenhill, Moelis and Perella Weinberg, among others. The universal banks, which also offer lending, engage in significant proprietary trading and manage large private equity funds. We believe, and our clients have informed us, that firms which also engage in acquisition financing, significant proprietary trading in clients’ securities and the management of large private equity funds that often compete with clients can cause such firms to develop interests that may be in conflict with the interests of advisory clients. Since Evercore is able to avoid potential conflicts associated with these types of activities, we believe that Evercore is better able to develop more trusted and long-term relationships with its clients than those of its competitors which provide such services. In addition, we have a larger global presence and deeper sector expertise than many of the boutiques. Our Institutional Equities business is also subject to competition from investment banks and other large and small financial institutions who offer similar services.</w:t>
      </w:r>
    </w:p>
    <w:p>
      <w:pPr>
        <w:spacing w:after="0" w:line="11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believe that we face a range of competitors in our Investment Management business, with numerous other firms providing competitive services in each of our sectors. In Institutional Asset Management, each of Atalanta Sosnoff, ABS, ECB and ETC face substantial competition from a large number of asset management and trust companies, many of which are larger, more established firms with greater brand name recognition and more extensive client networks and product offerings. Wealth Management competes with domestic and global private banks, regional broker-dealers, independent broker-dealers, registered investment advisors, commercial banks, trust companies and other financial services firms offering wealth management services to clients, many of which have substantially greater resources and offer a broader range of services. In Private Equity, our competition includes private equity funds of all sizes.</w:t>
      </w:r>
    </w:p>
    <w:p>
      <w:pPr>
        <w:spacing w:after="0" w:line="1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In the United States, the SEC is the federal agency responsible for the administration of the federal securities laws. Evercore Group L.L.C. (“EGL”), a wholly-owned subsidiary of ours through which we conduct our investment banking business, is registered as a broker-dealer with the SEC and the Financial Industry Regulatory Authority (“FINRA”), and is registered as a broker-dealer in all 50 states and the District of Columbia. EGL is subject to regulation and oversight by the SEC. FINRA, a self-regulatory organization that is subject to oversight by the SEC, adopts and enforces rules governing the conduct, and examines the activities, of its member firms, including EGL. State securities regulators also have regulatory or oversight authority over EGL. In addition, EGL is subject to regulation as a municipal advisor by the Municipal Securities Rulemaking Board with respect to The Private Funds Group's ("PFG") activities as placement agent for investment funds that may seek to solicit capital from certain public pension funds. PFG is also impacted by various state and local regulations that restrict or prohibit the use of placement agents in connection with investments by public pension funds, including regulations in New York, Illinois, Ohio, California and New Mexico. Similar measures are being considered or have been implemented in other jurisdictions.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sales methods, trade practices,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Our broker-dealer subsidiary is also subject to regulations, including the USA PATRIOT Act of 2001 (the “Patriot Act”),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are also subject to the Foreign Corrupt Practices Act, which prohibits offering, promising, giving, or authorizing others to give anything of value, either directly or indirectly, to a non-U.S. government official in order to influence official action or otherwise gain an unfair business advantage, such as to obtain or retain business.</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Three of our affiliates, EWM, ABS and Atalanta Sosnoff, are registered as investment advisors with the SEC. In addition, as a result of recent regulatory initiatives, Evercore Advisors L.L.C., as investment advisor to Evercore Capital Partners II L.P. and its affiliated entities (“ECP II”), has become subject to the Investment Advisers Act of 1940 and has registered with the SEC as an investment advisor.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state and local political contributions, as well as general anti-fraud prohibitions. EWM is also an investment advisor to a mutual fund, which subjects EWM to additional regulations under the Investment Company Act of 1940 (the “1940 Act”). ETC, which is limited to fiduciary activities, is regulated by the Office of the Comptroller of the Currency (“OCC”), is a member bank of the Federal Reserve System and is subject to the Patriot 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ECB is authorized by the Mexican Ministry of Finance to act as a broker-dealer and financial advisor in accordance with the Mexican Securities Market Law. ECB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ECB. Since August 2009, ECB has been authorized by the Mexican National Banking and Securities Commission to act as a trustee and to operate in the equity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i w:val="1"/>
          <w:iCs w:val="1"/>
          <w:color w:val="auto"/>
        </w:rPr>
        <w:t xml:space="preserve">Authorization by the Financial Conduct Authority (“FCA”). </w:t>
      </w:r>
      <w:r>
        <w:rPr>
          <w:rFonts w:ascii="Arial" w:cs="Arial" w:eastAsia="Arial" w:hAnsi="Arial"/>
          <w:sz w:val="16"/>
          <w:szCs w:val="16"/>
          <w:color w:val="auto"/>
        </w:rPr>
        <w:t>The FCA is responsible for regulating Evercore Partners International LLP (“Evercore</w:t>
      </w:r>
      <w:r>
        <w:rPr>
          <w:rFonts w:ascii="Arial" w:cs="Arial" w:eastAsia="Arial" w:hAnsi="Arial"/>
          <w:sz w:val="16"/>
          <w:szCs w:val="16"/>
          <w:i w:val="1"/>
          <w:iCs w:val="1"/>
          <w:color w:val="auto"/>
        </w:rPr>
        <w:t xml:space="preserve"> </w:t>
      </w:r>
      <w:r>
        <w:rPr>
          <w:rFonts w:ascii="Arial" w:cs="Arial" w:eastAsia="Arial" w:hAnsi="Arial"/>
          <w:sz w:val="16"/>
          <w:szCs w:val="16"/>
          <w:color w:val="auto"/>
        </w:rPr>
        <w:t>UK”) and has done so since April 1, 2013 when the FCA replaced the Financial Services Authority. The Financial Services and Markets Act 2000 (“FSMA”) is the basis for the UK’s financial services regulatory regime. FSMA is supported by secondary legislation and other rules made under FSMA, including the FCA Handbook of Rules and Guidance. A key FSMA provision is section 19, which contains a “general prohibition” against any person carrying on a “regulated activity” (or purporting to do so) in the UK unless he is an authorized or exempt person. It is a criminal offense to breach this general prohibition and certain agreements made in breach may not be enforceable. The “regulated activities” are set out in the FSMA (Regulated Activities) Order 2001 (as amended). The regulated activities Evercore UK is authorized to carry out include: advising on investments; arranging (bringing about) deals in investments and making arrangements with a view to transactions in investments. As a UK authorized person, Evercore UK is subject to the FCA’s high level principles for businesses. FSMA also has a civil penalty regime for market abuse which exists independently of the separate criminal regime for insider dealing.</w:t>
      </w:r>
    </w:p>
    <w:p>
      <w:pPr>
        <w:spacing w:after="0" w:line="3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 xml:space="preserve">Regulatory Capital. </w:t>
      </w:r>
      <w:r>
        <w:rPr>
          <w:rFonts w:ascii="Arial" w:cs="Arial" w:eastAsia="Arial" w:hAnsi="Arial"/>
          <w:sz w:val="18"/>
          <w:szCs w:val="18"/>
          <w:color w:val="auto"/>
        </w:rPr>
        <w:t>Regulatory capital requirements form an integral part of the FCA’s prudential supervision of FCA authorized firms. The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rules oblige firms to hold a certain amount of capital at all times (taking into account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particular risks to which the firm may be exposed given its business activities), thereby helping to ensure that firms can meet their liabilities as they fall due and safeguarding their (and their counterparties’) financial stability. The FCA also expects firms to take a proactive approach to monitoring and managing risks, consistent with its high level requirement for firms to have adequate financial resources. However, as a so-called “exempt-CAD firm”, Evercore UK is subject only to limited capital requirements.</w:t>
      </w:r>
    </w:p>
    <w:p>
      <w:pPr>
        <w:spacing w:after="0" w:line="13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Anti-Money Laundering, Counter-Terrorist Financing and Anti-Bribery. </w:t>
      </w:r>
      <w:r>
        <w:rPr>
          <w:rFonts w:ascii="Arial" w:cs="Arial" w:eastAsia="Arial" w:hAnsi="Arial"/>
          <w:sz w:val="16"/>
          <w:szCs w:val="16"/>
          <w:color w:val="auto"/>
        </w:rPr>
        <w:t>The Money Laundering Regulations 2007 (the “MLRs”) came into force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2007 and implement the Third EU Money Laundering Directive. The MLRs harmonize standards across the EU with higher-level, risk-based requirements and require relevant firms to have procedures in place to prevent money laundering and to take a risk-based approach to focus the efforts where they are most needed. This approach includes client due diligence, monitoring, staff training and awareness. Failure to maintain the necessary procedures is a criminal offense. The Proceeds of Crime Act 2002 and the Terrorism Act 2000 also contain a number of offenses in relation to money laundering and terrorist financing, respectively. Evercore UK (and potentially other Evercore entities with a ‘close connection’ to the UK) are also subject to the UK Bribery Act 2010 which came into force on July 1, 2011. It provides for criminal penalties for bribery of, or receipt of a bribe from, public officials, corporations and individuals, as well as for the failure of an organization to prevent a person with whom it is associated from providing bribes for the organization’s benefit.</w:t>
      </w:r>
    </w:p>
    <w:p>
      <w:pPr>
        <w:spacing w:after="0" w:line="16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Regulatory Framework in the European Union. </w:t>
      </w:r>
      <w:r>
        <w:rPr>
          <w:rFonts w:ascii="Arial" w:cs="Arial" w:eastAsia="Arial" w:hAnsi="Arial"/>
          <w:sz w:val="16"/>
          <w:szCs w:val="16"/>
          <w:color w:val="auto"/>
        </w:rPr>
        <w:t>Evercore UK has obtained the appropriate European investment services passport rights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cross-border services into a number of other members of the European Economic Area (“EEA”). It has also obtained a passport to provide specific investment services from a Spanish branch. These “passports” derive from the pan-European regime established by the EU Markets in Financial Instruments Directive (“MiFID”), which regulates the provision of investment services and activities throughout the EEA. MiFID provides investment firms which are authorized in any one EEA member state the right to provide investment services on a cross-border basis, or through the establishment of a branch to clients located in other EEA member states (known as “host member states”) on the basis of their home member state authorization without the need for separate authorization by the competent authorities in the relevant host member state. This practice is known as “passporting”. MiFID is currently under review and there are proposals to update it in relation to a range of matters, including restrictions on the ability of non-European firms providing services in Europe. This could impact the ability of Evercore entities outside of Europe to provide investment services within Europe.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In Hong Kong, the Securities and Futures Commission (“SFC”) regulates our subsidiary, Evercore Asia Limited. The compliance requirements of the SFC include, among other things, net capital requirements and stockholders’ equity requirements. The SFC regulates the activities of the officers, directors, employees and other persons affiliated with Evercore Asia Limited, and require the registration of such persons.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established a Singapore subsidiary, Evercore Asia (Singapore) Pte. Ltd. (“Evercore Singapore”) in August 2013 with the objective of creating a business platform to engage in corporate finance advisory services. In Singapore, corporate finance advisory activities are regulated by the Monetary Authority of Singapore (“MAS”) and subject to licensing requirements. Evercore Singapore has filed certain notification with the MAS to invoke an exemption from the licensing requirements, which allows the entity to conduct limited corporate finance advisory activities. For Singapore regulatory purposes, currently, Evercore Singapore is not considered as being licensed, regulated, supervised or registered by the MAS. Evercore Singapore has also filed an application to obtain the requisite license to conduct corporate finance advisory activities and dealing in securities activities in Singapore, which will allow them to conduct a wider range of regulated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and self-regulatory organizations or changes in the interpretation or enforcement of existing laws and rules, either in the United States or elsewhere, may directly affect our mode of operation and profitability.</w:t>
      </w:r>
    </w:p>
    <w:p>
      <w:pPr>
        <w:spacing w:after="0" w:line="1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U.S. and non-U.S. government agencies and self-regulatory organizations, as well as state securities commissions in the United States and Mexican Financial Authorities, are empowered to conduct periodic examinations and initiate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administrative proceedings that can result in censure, fine, the issuance of cease-and-desist orders or the suspension or expulsion of a regulated entity or its directors, officers or employees.</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Difficult market conditions may adversely affect our business in many ways, including reducing the volume of the transactions involving our Investment Banking business and reducing the value of the assets we manage in our Investment Management businesses, which, in each case, may materially reduce our revenue or income.</w:t>
      </w:r>
    </w:p>
    <w:p>
      <w:pPr>
        <w:spacing w:after="0" w:line="12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a financial services firm, our businesses are materially affected by conditions in the global financial markets and economic conditions throughout the world. Global financial markets and economic conditions are negatively impacted by many factors beyond our control, including the inability to access credit markets, rising interest rates or inflation, terrorism, political uncertainty, uncertainty in the U.S. federal fiscal policy and the fiscal policy of foreign governments and the timing and nature of regulatory reform. Financial market and economic conditions have been volatile in the last several years, and challenging conditions have persisted. Concerns over the rate of economic recovery, the level of U.S. national debt and foreign debt, unemployment, the availability and cost of credit, the global housing market, inflation levels, energy costs and geopolitical issues have contributed to increased volatility, uncertainty and diminished expectations for the economy and for the markets. These conditions could reduce the demand for our services and present new challenges. Revenue generated by our Investment Banking business is related to the volume and value of the transactions in which we are involved. During periods of unfavorable market and economic conditions, our operating results may be adversely affected by a decrease in the volume and value of M&amp;A transactions and increasing price competition among financial services companies seeking advisory engagements. Unfavorable market conditions also may lead to a reduction in revenues from our trading, underwriting and placement agent activities. In addition, Europe’s debt crisis could have a material adverse effect on our business and financial condition, particularly with respect to our U.K. advisory business. The European sovereign debt crisis has negatively impacted economic conditions and global markets. The uncertainty over the outcome of international and the EU’s financial support programs and the possibility that other EU member states may experience similar financial troubles could further disrupt global markets. See “-</w:t>
      </w:r>
      <w:r>
        <w:rPr>
          <w:rFonts w:ascii="Arial" w:cs="Arial" w:eastAsia="Arial" w:hAnsi="Arial"/>
          <w:sz w:val="17"/>
          <w:szCs w:val="17"/>
          <w:i w:val="1"/>
          <w:iCs w:val="1"/>
          <w:color w:val="auto"/>
        </w:rPr>
        <w:t>A portion of our revenues are</w:t>
      </w:r>
      <w:r>
        <w:rPr>
          <w:rFonts w:ascii="Arial" w:cs="Arial" w:eastAsia="Arial" w:hAnsi="Arial"/>
          <w:sz w:val="17"/>
          <w:szCs w:val="17"/>
          <w:color w:val="auto"/>
        </w:rPr>
        <w:t xml:space="preserve"> </w:t>
      </w:r>
      <w:r>
        <w:rPr>
          <w:rFonts w:ascii="Arial" w:cs="Arial" w:eastAsia="Arial" w:hAnsi="Arial"/>
          <w:sz w:val="17"/>
          <w:szCs w:val="17"/>
          <w:i w:val="1"/>
          <w:iCs w:val="1"/>
          <w:color w:val="auto"/>
        </w:rPr>
        <w:t>derived from our international operations, which are subject to certain risks.”</w:t>
      </w:r>
    </w:p>
    <w:p>
      <w:pPr>
        <w:spacing w:after="0" w:line="1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During a market or general economic downturn, our Institutional Asset Management and Wealth Management businesses would also be expected to generate lower revenue because the management fees we receive are typically based on the market value of the securities that comprise the assets we manage. In addition, due to uncertainty or volatility in the market or in response to difficult market conditions, clients may withdraw funds from these businesses in favor of investments they perceive as offering greater opportunity or lower risk. Difficult market conditions can also materially adversely affect our ability to launch new products or offer new services in our Institutional Asset Management or Wealth Management businesses, which could negatively affect our ability to increase AUM. In each case, management fees based on AUM would be negatively affected. Moreover, difficult market conditions may negatively impact the private equity funds that we manage by further reducing valuations and curtailing opportunities to exit and realize value from their investments.</w:t>
      </w:r>
    </w:p>
    <w:p>
      <w:pPr>
        <w:spacing w:after="0" w:line="1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Certain aspects of our cost structure are largely fixed, and we may incur costs associated with new or expanded lines of business prior to these lines of business generating significant revenue. If our revenue declines or fails to increase commensurately with the expenses associated with new or expanded lines of business, our profitability may be materially adversely affected.</w:t>
      </w:r>
    </w:p>
    <w:p>
      <w:pPr>
        <w:spacing w:after="0" w:line="4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incur costs associated with new or expanded lines of business, including guaranteed or fixed compensation costs, prior to these lines of business generating significant revenue. In addition, certain aspects of our cost structure, such as costs for occupancy and equipment rentals, communication and information technology services, and depreciation and amortization are largely fixed, and we may not be able to timely adjust these costs to match fluctuations in revenue. If our revenue declines, or fails to increase commensurately with the expenses associated with new or expanded lines of business, our profitability may be materially adversely affected.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senior professionals, including our executive officers, and the loss of their services could have a material adverse effect on us.</w:t>
      </w:r>
    </w:p>
    <w:p>
      <w:pPr>
        <w:spacing w:after="0" w:line="11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senior leadership team’s reputations and relationships with clients and potential clients are critical elements in maintaining and expanding our businesses. For example, our Investment Banking business is dependent on our senior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Investment Banking professionals and on a small number of senior research analysts, traders and executives. In addition, Atalanta Sosnoff, EWM and ETC are dependent on a small number of senior portfolio managers and executives. Further, the operations and performance of G5 ǀ Evercore and ABS are dependent on a small number of senior executives. Our professionals possess substantial experience and expertise and strong client relationships, however, they are not obligated to remain employed with us. If these personnel were to retire, join an existing competitor form a competing company or otherwise leave us, it could jeopardize our relationships with clients and result in the loss of client engagements and revenues.</w:t>
      </w:r>
    </w:p>
    <w:p>
      <w:pPr>
        <w:spacing w:after="0" w:line="20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identify and hire productive individuals to join our firm or consummate additional acquisitions, alliances or joint ventures on attractive terms, we may not be able to implement our growth strategy successfully.</w:t>
      </w:r>
    </w:p>
    <w:p>
      <w:pPr>
        <w:spacing w:after="0" w:line="11"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Our growth strategy is based, in part, on expanding our various businesses through additional acquisitions, entering into joint ventures and strategic alliances, and internally developing new opportunities that are complementary to our existing businesses and where we think we can add substantial value or generate substantial returns. The success of this strategy will depend on, among other things:</w:t>
      </w: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suitable opportunities and capital resources to effect our strategy;</w:t>
      </w:r>
    </w:p>
    <w:p>
      <w:pPr>
        <w:spacing w:after="0" w:line="9" w:lineRule="exact"/>
        <w:rPr>
          <w:rFonts w:ascii="Arial" w:cs="Arial" w:eastAsia="Arial" w:hAnsi="Arial"/>
          <w:sz w:val="18"/>
          <w:szCs w:val="18"/>
          <w:color w:val="auto"/>
        </w:rPr>
      </w:pPr>
    </w:p>
    <w:p>
      <w:pPr>
        <w:ind w:left="640" w:right="180" w:hanging="321"/>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competition from other companies that may have greater financial resources than we do or may not require the same level of disclosure of these activities;</w:t>
      </w:r>
    </w:p>
    <w:p>
      <w:pPr>
        <w:ind w:left="640" w:hanging="32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value acquisition and investment candidates accurately and negotiate acceptable terms for those acquisitions and investments; and</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enter into mutually beneficial relationships with joint venture partners.</w:t>
      </w:r>
    </w:p>
    <w:p>
      <w:pPr>
        <w:spacing w:after="0" w:line="15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growth strategy also relies on our ability to attract and retain profitable senior finance professionals across all of our businesses. Due to the early stage of development of many of our businesses and competition from other firms, we may face difficulties in recruiting and retaining professionals of a caliber consistent with our business strategy. In particular, many of our competitors are significantly larger with greater financial resources, and may be able to offer more attractive compensation packages and broader career opportunities. Additionally, it may take more than one year for us to determine whether new advisory professionals will be profitable or effective, during which time we may incur significant expenses and expend significant time and resources on training, integration and business development.</w:t>
      </w:r>
    </w:p>
    <w:p>
      <w:pPr>
        <w:spacing w:after="0" w:line="13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we are not successful in implementing our growth strategy, our business and results and the market price for our Class A common stock may be adversely affected.</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inability to develop, integrate and manage recently added capabilities, joint ventures, alliances and acquired businesses successfully could have adverse consequences to our business.</w:t>
      </w:r>
    </w:p>
    <w:p>
      <w:pPr>
        <w:spacing w:after="0" w:line="35" w:lineRule="exact"/>
        <w:rPr>
          <w:sz w:val="20"/>
          <w:szCs w:val="20"/>
          <w:color w:val="auto"/>
        </w:rPr>
      </w:pPr>
    </w:p>
    <w:p>
      <w:pPr>
        <w:ind w:right="680" w:firstLine="432"/>
        <w:spacing w:after="0" w:line="258" w:lineRule="auto"/>
        <w:rPr>
          <w:sz w:val="20"/>
          <w:szCs w:val="20"/>
          <w:color w:val="auto"/>
        </w:rPr>
      </w:pPr>
      <w:r>
        <w:rPr>
          <w:rFonts w:ascii="Arial" w:cs="Arial" w:eastAsia="Arial" w:hAnsi="Arial"/>
          <w:sz w:val="18"/>
          <w:szCs w:val="18"/>
          <w:color w:val="auto"/>
        </w:rPr>
        <w:t>Integrating acquired businesses, providing a platform for new businesses and partnering with other firms involve a number of risks and present financial, managerial and operational challenges, including the following factors, among others:</w:t>
      </w:r>
    </w:p>
    <w:p>
      <w:pPr>
        <w:spacing w:after="0" w:line="1"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employees or customers;</w:t>
      </w:r>
    </w:p>
    <w:p>
      <w:pPr>
        <w:spacing w:after="0" w:line="9" w:lineRule="exact"/>
        <w:rPr>
          <w:rFonts w:ascii="Arial" w:cs="Arial" w:eastAsia="Arial" w:hAnsi="Arial"/>
          <w:sz w:val="18"/>
          <w:szCs w:val="18"/>
          <w:color w:val="auto"/>
        </w:rPr>
      </w:pPr>
    </w:p>
    <w:p>
      <w:pPr>
        <w:ind w:left="640" w:right="400" w:hanging="321"/>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inconsistencies in or conflicts between standards, controls, procedures and policies and the need to implement company-wide financial, accounting, information technology and other systems;</w:t>
      </w: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the quality of services that have historically been provided;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coordinate geographically diverse organizations; and</w:t>
      </w:r>
    </w:p>
    <w:p>
      <w:pPr>
        <w:spacing w:after="0" w:line="9" w:lineRule="exact"/>
        <w:rPr>
          <w:rFonts w:ascii="Arial" w:cs="Arial" w:eastAsia="Arial" w:hAnsi="Arial"/>
          <w:sz w:val="18"/>
          <w:szCs w:val="18"/>
          <w:color w:val="auto"/>
        </w:rPr>
      </w:pPr>
    </w:p>
    <w:p>
      <w:pPr>
        <w:ind w:left="640" w:right="100" w:hanging="321"/>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our day-to-day business as a result of the need to manage any disruptions and difficulties and the need to add management resources to do so.</w:t>
      </w:r>
    </w:p>
    <w:p>
      <w:pPr>
        <w:spacing w:after="0" w:line="130"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In addition, acquisitions, start-ups and internally developed initiatives generally result in increased operating and administrative costs as the necessary infrastructure, IT, legal and compliance systems, controls and personnel are put in place. Our inability to develop, integrate and manage acquired companies, joint ventures or other strategic relationships and growth initiatives in an efficient and cost-effective manner, or at all, could have material adverse short- and long-term effects on our operating results, financial condition and liquidity.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realize the cost savings, revenue enhancements or other benefits that we expected from our acquisitions and other growth initiatives.</w:t>
      </w:r>
    </w:p>
    <w:p>
      <w:pPr>
        <w:spacing w:after="0" w:line="11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analyses of the benefits and costs of expanding our businesses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our analyses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their underlying assumptions to be reasonable, they are estimates that are necessarily speculative in nature. In addition, new regulatory requirements and conflicts may reduce the synergies that we expect to result from our growth initiatives. Even if we achieve the expected benefits, we may not be able to achieve them within the anticipated time frame. Also, the cost savings and other synergies from these acquisitions may be offset by costs incurred in integrating the companies, increases in other expenses or problems in the business unrelated to these acquisitions. In the case of joint ventures, we are subject to additional risks and uncertainties in that we may be dependent upon, and subject to liability, losses or reputational damage relating to personnel, systems and activities that are not under our direct and sole control, and conflicts and disagreements between us and our joint venture partners may negatively impact our business.</w:t>
      </w:r>
    </w:p>
    <w:p>
      <w:pPr>
        <w:spacing w:after="0" w:line="13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Additionally, acquiring the equity of an existing business or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A material liability associated with an acquisition, especially where there is no right to indemnification, could adversely affect our operating results, financial condition and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has placed, and will continue to place, significant demands on our administrative, operational and financial resources.</w:t>
      </w:r>
    </w:p>
    <w:p>
      <w:pPr>
        <w:spacing w:after="0" w:line="90"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We have experienced significant growth in the past several years, including in our Investment Banking business, by expanding into sales, trading, research and underwriting activities, entering into strategic alliances, acquiring The Lexicon Partnership LLP ("Lexicon") and the hiring of additional senior professionals in our advisory group, and in our Investment Management business through the acquisitions of Atalanta Sosnoff and Mt. Eden and our investment in ABS. Supporting this growth has placed significant demands on our operational, legal, regulatory and financial systems and resources for integration, training and business development efforts. We are often required to commit additional resources to maintain appropriate operational, legal, regulatory and financial systems to adequately support expansion, even when we only partner, enter into strategic alliances or take minority stakes in other businesses. We expect our growth to continue, which could place additional demands on our resources and increase our expenses. We cannot provide assurance that our financial controls, the level of knowledge of our personnel, our operational abilities, our legal and compliance controls and our other corporate support systems will be adequate to manage our expanding operations effectively. Any failure to do so could adversely affect our ability to pursue our growth strategy, generate revenue and control expenses.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3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revenue and profits are highly volatile. We generally derive Investment Banking revenue from engagements that generate significant fees at key transaction milestones, such as closing, and the timing of these milestones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0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earn a majority of our revenue from advisory engagements, and, in many cases, we are not paid until the successful consummation of the transactions. As a result, our Investment Banking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Institutional Asset Management and Wealth Management, our revenue includes management fees from assets we manage. These revenues are dependent upon the amount of AUM, which can decline as a result of market depreciation, withdrawals or otherwise, as well as the performance of the assets. The timing of flows, contributions and withdrawals are often out of our control, can occur on short notice, and may be inconsistent from quarter to quarter. See “—</w:t>
      </w:r>
      <w:r>
        <w:rPr>
          <w:rFonts w:ascii="Arial" w:cs="Arial" w:eastAsia="Arial" w:hAnsi="Arial"/>
          <w:sz w:val="16"/>
          <w:szCs w:val="16"/>
          <w:i w:val="1"/>
          <w:iCs w:val="1"/>
          <w:color w:val="auto"/>
        </w:rPr>
        <w:t>The amount and mix of our AUM are subject to significant fluctuations</w:t>
      </w:r>
      <w:r>
        <w:rPr>
          <w:rFonts w:ascii="Arial" w:cs="Arial" w:eastAsia="Arial" w:hAnsi="Arial"/>
          <w:sz w:val="16"/>
          <w:szCs w:val="16"/>
          <w:color w:val="auto"/>
        </w:rPr>
        <w:t>.” In addition, a portion of our Institutional Asset Management revenue is derived from performance fees, which vary depending on the performance of the investments we select for the funds and clients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manage, which could cause our revenue and profits to fluctuate. Even in the absence of a market downturn, below-market investment performance by our funds and portfolio managers could reduce AUM and asset management revenues.</w:t>
      </w:r>
    </w:p>
    <w:p>
      <w:pPr>
        <w:spacing w:after="0" w:line="116"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In Private Equity, we record revenue from performance fees, or carried interest, when the returns on the private equity funds’ investments exceed certain minimum thresholds. In addition, if a fund performs poorly, we may be obligated to reverse previously recorded performance fee revenue under “claw-back” provisions. The claw-back provisions of an Evercore private equity fund remain in effect until the final distribution of the proceeds from such fund. Our Private Equity revenue also includes our allocable share, based on our investments in the funds managed by our Private Equity business, of unrealized (“mark-to-market”) as well as realized gains and losses reported by such funds. As a result, because the investment returns of our Private Equity funds are uncertain and difficult to predict, the revenue we derive from our Private Equity business can be volatile from quarter to quarter and year to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deal appropriately with conflicts of interest could damage our reputation and materially adversely affect our business.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we have expanded the scope of our businesses and client base, we increasingly confront actual and potential conflicts of interest relating to our Investment Banking and Investment Management businesses. It is possible that actual, potential or perceived conflicts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in a number of ways, including an inability to raise additional assets and a reluctance of potential clients and counterparties to do business with us.</w:t>
      </w:r>
    </w:p>
    <w:p>
      <w:pPr>
        <w:spacing w:after="0" w:line="3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Policies, controls and procedures that we may be required to implement to address additional regulatory requirements, including as a result of our Institutional Equities business and expansion into underwriting activities, or to mitigate actual or potential conflicts of interest, may result in increased costs, including for additional personnel and infrastructure and IT improvements, as well as limit our activities and reduce the positive synergies that we seek to cultivate across our businesses.</w:t>
      </w:r>
    </w:p>
    <w:p>
      <w:pPr>
        <w:spacing w:after="0" w:line="1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Certain of our executive officers and employees responsible for managing the Discovery Fund have invested their own capital in side-by-side investments in specific portfolio companies along with the Discovery Fund. These side-by-side investments are not subject to management fees or carried interest. As a result, some of our executive officers and private equity portfolio managers have a different economic interest in the performance of investments in certain portfolio companies compared to the interests of investors in our private equity funds. This lack of a total alignment of interests and incentives could result in our executive officers and private equity portfolio managers devoting a disproportionate amount of time and attention to certain investments, and could result in the underperformance of our private equity fund as a whole.</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There have been a number of highly-publicized cases involving fraud or other misconduct by employees in the financial services industry, and there is a risk that our employees could engage in misconduct that adversely affects our business. For example, one of our former Senior Managing Directors was recently arrested in connection with an insider trading investigation. Our Investment Banking business also often requires that we deal with confidential matters of great significance to our clients. If our employees were to improperly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35"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As a financial services firm, we depend to a large extent on our relationships with our clients and our reputation for integrity and high-caliber professional services to attract and retain clients. As a result, if a client is not satisfied with our services or if there are allegations of improper conduct by private litigants or regulators, whether the ultimate outcome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favorable or unfavorable to us, as well as negative publicity and press speculation about us, whether or not valid, may harm our reputation and may be more damaging to our business than to other types of businesses. Moreover, our role as advisor to our clients on important mergers and acquisitions or restructuring transactions often involves complex analysis and the exercise of professional judgment, including, if appropriate, rendering fairness opinions in connection with mergers and other transactions.</w:t>
      </w:r>
    </w:p>
    <w:p>
      <w:pPr>
        <w:spacing w:after="0" w:line="13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recent years, the volume of claims and amount of damages claimed in litigation and regulatory proceedings against M&amp;A financial advisors has been increasing. Our M&amp;A advisory activities may subject us to the risk of significant legal liability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addition, a portion of our M&amp;A advisory fees are obtained from restructuring clients, and often these clients do not have sufficient resources to indemnify us for costs and expenses associated with third-party subpoenas and, to the extent claims are not barred as part of the reorganization process, direct claims.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In our Investment Management business, we make investment decisions on behalf of our clients that could result in substantial losses. This also may subject us to the risk of legal liability or actions alleging negligent misconduct, breach of fiduciary duty or breach of contract. These risks often may be difficult to assess or quantify and their existence and magnitude often remain unknown for substantial periods of time. Substantial legal liability or legal expenses incurred in defending against litigation could materially adversely affect our business, financial condition, operating results or liquidity or cause significant reputational harm to us, which could seriously harm our business.</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Extensive and evolving regulation of our businesses exposes us to the potential for significant penalties and fines due to compliance failures, increases our costs and limits on our ability to engage in certain activities.</w:t>
      </w:r>
    </w:p>
    <w:p>
      <w:pPr>
        <w:spacing w:after="0" w:line="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Our failure to comply with applicable laws or regulations could result in adverse publicity and reputational harm as well as fines, suspensions of personnel or other sanctions, including revocation of the registration of us or any of our subsidiaries as an investment adviser or broker-dealer. Our businesses are subject to periodic examination by various regulatory authorities, and we cannot predict the outcome of any such examinations or estimate the amount of monetary fines or penalties which could be assessed. In addition, adverse regulatory scrutiny of any of our strategic partners could have a material adverse effect on our business and reputation.</w:t>
      </w:r>
    </w:p>
    <w:p>
      <w:pPr>
        <w:spacing w:after="0" w:line="58"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In recent years, the U.S. and other governments have taken actions, and may continue to take further actions, including expanding current or enacting new standards, requirements and rules that may be applicable to us and our subsidiaries and in particular our Investment Management business. For example, several states and municipalities in the United States have recently adopted “pay-to-play” rules, which could limit our ability to charge advisory fees, and could therefore affect the profitability of that portion of our business. In addition,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Investment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If the use of soft dollars is limited, we may have to bear some of these costs. Furthermore, new regulations regarding the management of hedge funds and the use of certain investment products may impact our Investment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34"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Over the last several years, global financial markets have experienced extraordinary disruption and volatility, and there have been a number of highly-publicized financial scandals involving misconduct by financial market participants and their employees. As a result, various U.S. and foreign government agencies and regulatory bodies have taken, and may take further, actions to expand laws, rules, regulations and standards that may be applicable to our activities. Our ability to conduct business and our operating results, including compliance costs, may be adversely affected as a result of any new requirements imposed by the SEC, other U.S. or foreign governmental regulatory authorities or self-regulatory organizations that regulate financial services firms or supervise financial markets. We also may be adversely affected by changes in the interpretation or enforcement of existing laws and rules by these governmental authorities and self-regulatory organizations. In addition, some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clients or prospective clients may adopt policies that exceed regulatory requirements and impose additional restrictions. For example, certain public pension funds will not invest in funds where a placement agent or other solicitor was involved.</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full extent of the effects of governmental economic and regulatory involvement in the wake of disruption and volatility in global financial markets remains uncertain.</w:t>
      </w:r>
    </w:p>
    <w:p>
      <w:pPr>
        <w:spacing w:after="0" w:line="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As a result of market volatility and disruption in the last several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 Furthermore, there can be no assurance that governmental or other measures to aid economic recovery, including economic stimulus legislation, will be effective. As these conditions persist, our business, financial condition, results of operation and ability to make distributions to our stockholders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operational risks.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face various operational risks related to our businesses on a day-to-day basis. We rely heavily on financial, accounting, communication and other data processing systems. These systems, including the systems of third parties on whom we rely, may fail to operate properly or become disabled as a result of tampering or a breach of our network security systems or otherwise, including for reasons beyond our control. In addition, our systems may be subject to cyberattacks. Breaches of our network security systems could involve attacks that are intended to obtain unauthorized access to our proprietary information, destroy data or disable, degrade or sabotage our systems, often through the introduction of computer viruses, cyberattacks and other means and could originate from a wide variety of sources, including unknown third parties outside the firm. The increased use of mobile technologies can heighten these and other operational risks. Although we take various measures to ensure the integrity of our systems, there can be no assurance that these measures will provide adequate protection. If our systems are compromised, do not operate properly or are disabled, we could suffer a disruption of our business, financial losses, liability to clients, regulatory sanctions and damage to our reputation.</w:t>
      </w:r>
    </w:p>
    <w:p>
      <w:pPr>
        <w:spacing w:after="0" w:line="12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operate in businesses that are highly dependent on information systems and technology. In our Institutional Equities, Institutional Asset Management and Wealth Management businesses in particular, we must consistently and reliably obtain securities pricing information, process client transactions and provide reports and other customer service to our clients. Any failure to keep accurate books and records can render us liable to disciplinary action by governmental and self-regulatory authorities, as well as to claims by our clients. We also rely on third-party service providers for certain aspects of our business. Any interruption or deterioration in the performance of these third parties or failures of their information systems and technology could impair our operations, affect our reputation and adversely affect our businesses.</w:t>
      </w:r>
    </w:p>
    <w:p>
      <w:pPr>
        <w:spacing w:after="0" w:line="13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providing services to clients, we may manage, utilize and store sensitive or confidential client or employee data, including personal data. As a result, we may be subject to numerous laws and regulations designed to protect this information, such as the U.S. federal and state laws governing the protection of health or other personally identifiable information and international laws. 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 In addition, unauthorized disclosure of sensitive or confidential client or employee data, whether through systems failure, employee negligence, fraud or misappropriation, could damage our reputation and cause us to lose clients and their related revenue in the future. Potential liability in the event of a security breach of client data could be significant and depending on the circumstances giving rise to the breach, this liability may not be subject to a contractual limit of liability or an exclusion of consequential or indirect damages.</w:t>
      </w:r>
    </w:p>
    <w:p>
      <w:pPr>
        <w:spacing w:after="0" w:line="128"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In addition, if we were to experience a disaster or other business continuity problem, such as a pandemic, other man-made or natural disaster or disruption involving electronic communications or other services used by us or third parties with whom we conduct business,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timely and successfully recover could materially disrupt our businesses and cause material financial loss, regulatory actions, reputational harm or legal liability.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ability to make scheduled payments on or to refinance our debt obligations depends on our financial condition and operating performance. We cannot provide assurance that we will maintain a level of cash flows from operating activities sufficient to permit us to pay the principal of, and interest on, our indebtedness, including the $120.0 million principal amount of senior unsecured notes issued to Mizuho Corporate Bank, Ltd. (“Mizuho”) due 2020 with a 5.20% coupon (the “Senior Notes”). If our cash flows and capital resources are insufficient to fund our debt service obligations, including the principal noted above and semi-annual interest payments of $3.1 million and our contingent obligations to fund our redeemable noncontrolling interest of $36.8 million as of December 31, 2013, we may be forced to reduce or delay investments and capital expenditures, or to sell assets, seek additional capital or restructure or refinance our indebtedness, including the Senior Notes and other contractual commitments.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financial condition and results of operation.</w:t>
      </w:r>
    </w:p>
    <w:p>
      <w:pPr>
        <w:spacing w:after="0" w:line="3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Goodwill and other intangible assets represent a significant portion of our assets.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operating performance indicators, competition, sale or disposition of a significant portion of one of our businesses and other factors. The valuation of the reporting units requires judgment in estimating future cash flows, discount rates and other factors. In making these judgments, we evaluate the financial health of our reporting units, including such factors as market performance, changes in our client base and projected growth rates. Because these factors are ever changing, due to market and general business conditions, we cannot predict whether, and to what extent, our goodwill and long-lived intangible assets may be impaired in future periods.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Investment Banking Business</w:t>
      </w:r>
    </w:p>
    <w:p>
      <w:pPr>
        <w:spacing w:after="0" w:line="1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A majority of our revenue is derived from advisory assignments for Investment Banking clients, which are not long-term contracted sources of revenue and are subject to intense competition, and declines in these engagements could have a material adverse effect on our financial condition and operating results.</w:t>
      </w:r>
    </w:p>
    <w:p>
      <w:pPr>
        <w:spacing w:after="0" w:line="46"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We historically have earned a substantial portion of our revenue from fees paid to us by our Investment Banking clients for advisory services. These fees are typically payable upon the successful completion of a particular transaction or restructuring. Investment Banking services accounted for 87%, 88% and 82% of Net Revenues in 2013, 2012 and 2011, respectively, a substantial portion of which represents fees generated by our advisory group. We expect that we will continue to rely on Investment Banking fees from advisory services for a substantial portion of our revenue for the foreseeable future. Accordingly, a decline in our Investment Banking advisory engagements or the market for advisory services would adversely affect our business.</w:t>
      </w:r>
    </w:p>
    <w:p>
      <w:pPr>
        <w:spacing w:after="0" w:line="10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addition, our Advisory professionals operate in a highly-competitive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high percentage of our net revenue is derived from a small number of Investment Banking clients, and the termination of any one advisory engagement could reduce our revenue and harm our operating results.</w:t>
      </w:r>
    </w:p>
    <w:p>
      <w:pPr>
        <w:spacing w:after="0" w:line="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top five Investment Banking clients accounted for 14%, 13% and 24% of Net Revenues in 2013, 2012 and 2011, respectively. The composition of the group comprising our largest Investment Banking clients varies significantly from year to year, and a relatively small number of clients may account for a significant portion of our Investment Banking Revenues. As a result, our operating results, financial condition and liquidity may be significantly affected by even one lost mandate or the failure of one advisory assignment to be completed, however, no clients accounted for more than 10% of our Net Revenues for the years ended December 31, 2013, 2012 and 2011.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4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reputation and price. We have experienced intense competition over obtaining advisory mandates in recent years, and we may experience pricing pressures in our Investment Banking business in the future as some of our competitors seek to obtain increased market share by reducing fees.</w:t>
      </w:r>
    </w:p>
    <w:p>
      <w:pPr>
        <w:spacing w:after="0" w:line="13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may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Institutional Equities business relies on non-affiliated third-party service providers.</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Institutional Equities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Our senior management and officers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trading activities expose us to risks.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may incur losses and be subject to reputational harm to the extent that, for any reason, we are unable to sell securities we purchased as an underwriter at the anticipated price levels. As an underwriter, we also are subject to liability for material misstatements or omissions in prospectuses and other offering documents relating to offerings we underwrite. In addition, through indemnification provisions in our agreement with our clearing organization, customer activities may expose us to off-balance sheet credit risk. Securities may have to be purchased or sold at prevailing market prices in the event a customer fails to settle a trade on its original terms. We seek to manage the risks associated with customer trading activities through customer screening and trading procedures.</w:t>
      </w:r>
    </w:p>
    <w:p>
      <w:pPr>
        <w:spacing w:after="0" w:line="297" w:lineRule="exact"/>
        <w:rPr>
          <w:sz w:val="20"/>
          <w:szCs w:val="20"/>
          <w:color w:val="auto"/>
        </w:rPr>
      </w:pPr>
    </w:p>
    <w:p>
      <w:pPr>
        <w:ind w:right="3520" w:firstLine="3536"/>
        <w:spacing w:after="0" w:line="393" w:lineRule="auto"/>
        <w:rPr>
          <w:sz w:val="20"/>
          <w:szCs w:val="20"/>
          <w:color w:val="auto"/>
        </w:rPr>
      </w:pPr>
      <w:r>
        <w:rPr>
          <w:rFonts w:ascii="Arial" w:cs="Arial" w:eastAsia="Arial" w:hAnsi="Arial"/>
          <w:sz w:val="18"/>
          <w:szCs w:val="18"/>
          <w:b w:val="1"/>
          <w:bCs w:val="1"/>
          <w:color w:val="auto"/>
        </w:rPr>
        <w:t xml:space="preserve">Risks Relating to Our Investment Management Business </w:t>
      </w:r>
      <w:r>
        <w:rPr>
          <w:rFonts w:ascii="Arial" w:cs="Arial" w:eastAsia="Arial" w:hAnsi="Arial"/>
          <w:sz w:val="18"/>
          <w:szCs w:val="18"/>
          <w:b w:val="1"/>
          <w:bCs w:val="1"/>
          <w:i w:val="1"/>
          <w:iCs w:val="1"/>
          <w:color w:val="auto"/>
        </w:rPr>
        <w:t>The amount and mix of our AUM are subject to significant fluctuations.</w:t>
      </w:r>
    </w:p>
    <w:p>
      <w:pPr>
        <w:spacing w:after="0" w:line="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revenues and profitability of our Institutional Asset Management and Wealth Management businesses are derived from providing investment management and related services. The level of our revenues depends largely on the level and mix of AUM. Fluctuations in the amount and mix of our AUM may be attributable in part to market conditions outside of our control that have had, and in the future could have, a negative impact on our revenues and income. Any decrease in the value or amount of our AUM because of market volatility or other factors negatively impacts our revenues and income. We are subject to an increased risk of asset volatility from changes in the global financial and equity markets. Individual financial and equity markets may be adversely affected by economic, political, financial, or other instabilities that are particular to the country or regions in which a market is located, including without limitation local acts of terrorism, economic crises or other business, social or political crises. Declines in these markets have caused in the past, and may cause in the future, a decline in our revenues and income. Global economic conditions, exacerbated by war or terrorism or financial crises, changes in the equity market place, currency exchange rates, interest rates, inflation rates, the yield curve, and other factors that are difficult to predict affect the mix, market values and levels of our AUM. A decline in the price of stocks or bonds, or in particular market segments, or in the securities market generally, could cause the value and returns on our AUM to decline, resulting in a decline in our revenues and income. Moreover, changing market conditions may cause a shift in our asset mix between international and U.S. assets, potentially resulting in a decline in our revenue and income depending upon the nature of our AUM and the level of management fees we earn based on them. Additionally, changing market conditions may cause a shift in our asset mix</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towards fixed-income products and a related decline in our revenue and income, as in the U.S. we generally derive higher fee revenues and income from equity assets than from fixed-income products we manage.</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the investments we make on behalf of our funds and clients perform poorly, we will suffer a decline in our investment management revenue and earnings, and our Investment Management business may be adversely affected.</w:t>
      </w:r>
    </w:p>
    <w:p>
      <w:pPr>
        <w:spacing w:after="0" w:line="3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Revenue from our Institutional Asset Management and Wealth Management businesses is derived from fees earned for the management of client assets, generally based on the market value of AUM. Poor investment performance by these businesses, on an absolute basis or as compared to third-party benchmarks or competitors, could stimulate higher redemptions, thereby lowering AUM and reducing the fees we earn, even in periods when securities prices are generally rising. In addition, if the investments we make on behalf of our funds and clients perform poorly, it may be more difficult for us to attract new investors, launch new products or offer new services in our Institutional Asset Management or Wealth Management businesses. Furthermore, if the volatility in the U.S. and global markets cause a decline in the price of securities that constitutes a significant portion of our AUM, our clients could withdraw funds from, or be hesitant to invest in, our Investment Management business due to the uncertainty or volatility in the market or in favor of investments they perceive as offering greater opportunity or lower risk, which would also result in lower investment management revenue. In our Private Equity business, our revenues include management fees based on committed or invested capital and performance fees. If our private equity investments perform poorly, whether on a realized or unrealized basis, our revenues and earnings will suffer. Poor performance by our private equity investments may also make it more difficult for us to raise any new funds in the future, may result in such fundraising taking longer to complete than anticipated or may prevent us from raising such funds. In addition, to the extent that, over the life of the funds, we have received an amount of carried interest that exceeds a specified percentage of distributions made to the third-party investors in our funds, we may be obligated to repay the amount of this excess to the third-party investors.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Investment Management business’ reliance on non-affiliated third-party service providers subjects the Company to operational risks.</w:t>
      </w:r>
    </w:p>
    <w:p>
      <w:pPr>
        <w:spacing w:after="0" w:line="102"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We have entered into services agreements with third-party service providers for custodial services and trust and investment administration processing and reporting services. Our officers oversee and manage these relationships; however, poor oversight and control on our part or inferior performance or service on the part of the service providers could result in loss of customers, violation of applicable rules and regulations, including, but not limited to, privacy and anti-money laundering laws and otherwise adversely affect our business and operations.</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agreements with the OCC require us to maintain and segregate certain assets, and our failure to comply with these agreements (including if we are required to access these assets for other purposes) could adversely affect us.</w:t>
      </w:r>
    </w:p>
    <w:p>
      <w:pPr>
        <w:spacing w:after="0" w:line="35"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connection with the organization of ETC, the OCC required the Company and Evercore LP to enter into a Capital and Liquidity Support Agreement, a Capital and Liquidity Maintenance Agreement and other related agreements (collectively, the “OCC Agreements”). The OCC Agreements require the Company’s and Evercore LP’s continuing obligation to provide ETC necessary capital and liquidity support in order to ensure that ETC continues to operate safely and soundly and in accordance with applicable laws and regulations. In particular, the OCC Agreements require that the Company and Evercore LP</w:t>
      </w:r>
    </w:p>
    <w:p>
      <w:pPr>
        <w:spacing w:after="0" w:line="2" w:lineRule="exact"/>
        <w:rPr>
          <w:sz w:val="20"/>
          <w:szCs w:val="20"/>
          <w:color w:val="auto"/>
        </w:rPr>
      </w:pPr>
    </w:p>
    <w:p>
      <w:pPr>
        <w:ind w:right="6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at least $5 million in Tier 1 capital in ETC or such other amount as the OCC may require, (2) maintain liquid assets in ETC in an amount at least equal to the greater of $3.5 million or 90 days coverage of ETC’s operating expenses and (3) provide at least $10 million of certain collateral held in a segregated account at a third-party depository institution.</w:t>
      </w:r>
    </w:p>
    <w:p>
      <w:pPr>
        <w:spacing w:after="0" w:line="13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If we fail to comply with any of the OCC Agreements, we could become subject to civil money penalties, regulatory enforcement actions, payment of damages and, if the OCC deems it likely that we are unable to fulfill our obligations or breach the OCC Agreements, a forced disposition of ETC. The occurrence of any of these events or the disclosure that these events are probable or under consideration may cause reputational harm and erosion of client trust, due to a perception that we are unable to comply with applicable regulatory requirements, unable to successfully launch new initiatives and businesses, or that our reputation for integrity and high-caliber professional services is no longer valid, any of which could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40"/>
        <w:spacing w:after="0" w:line="338" w:lineRule="auto"/>
        <w:rPr>
          <w:sz w:val="20"/>
          <w:szCs w:val="20"/>
          <w:color w:val="auto"/>
        </w:rPr>
      </w:pPr>
      <w:r>
        <w:rPr>
          <w:rFonts w:ascii="Arial" w:cs="Arial" w:eastAsia="Arial" w:hAnsi="Arial"/>
          <w:sz w:val="15"/>
          <w:szCs w:val="15"/>
          <w:b w:val="1"/>
          <w:bCs w:val="1"/>
          <w:i w:val="1"/>
          <w:iCs w:val="1"/>
          <w:color w:val="auto"/>
        </w:rPr>
        <w:t>Valuation methodologies for certain assets in our private equity funds can be subject to significant subjectivity, and the values of assets established pursuant to such methodologies may never be realized, which could result in significant losses for our funds. In addition, certain of our redeemable noncontrolling interests are based on fair value estimates and assumptions which may significantly differ from the value if redeemed.</w:t>
      </w:r>
    </w:p>
    <w:p>
      <w:pPr>
        <w:spacing w:after="0" w:line="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have made principal investments in ECP II, Evercore Mexico Capital Partners II, L.P. (“EMCP II”), Evercore Mexico Capital Partners III, L.P. (“EMCP III”), Discovery Americas I, L.P. (the "Discovery Fund"), CITIC Securities International Partners, LTD, Trilantic IV and Trilantic V. These funds generally invest in relatively high-risk, illiquid assets. In addition, some of these investments are, or may in the future be, in industries or sectors which are unstable, in distress or undergoing some uncertainty. Such investments may be subject to rapid changes in value caused by sudden company-specific or industry-wide developments. Contributing capital to these funds is risky, and we may lose some or all of the principal amount of our investments. There are no regularly quoted market prices for a number of investments in our funds. The value of the investments of our funds is determined using fair value methodologies described in the funds’ valuation policies, which may consider, among other things, the nature of the investment, the expected cash flows from the investment, bid or ask prices provided by third parties for the investment and the trading price of recent sales of securities (in the case of publicly-traded securities), restrictions on transfer and other recognized valuation methodologies. The methodologies we use in valuing individual investments are based on estimates and assumptions specific to the particular investments. Therefore, the value of our investments does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 and principal investments. We also have commitments related to our redeemable noncontrolling interests, which are initially recorded at fair value and may be subject to periodic adjustments as a result of a change in the estimated fair value of the associated capital interests. The methodologies we use in valuing these interests are based on estimates and assumptions specific to the particular commitment. Therefore, the value of our redeemable noncontrolling interest may not necessarily reflect the value that would actually be obtained by the noncontrolling interest holders when such capital interests are redeemed.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partners of the private equity funds we manage may terminate their relationship with us at any time.</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w:t>
      </w:r>
    </w:p>
    <w:p>
      <w:pPr>
        <w:spacing w:after="0" w:line="28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derived from our international operations, which are subject to certain risks.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2013, we earned 30% of our Total Revenues, excluding Other Revenue, from clients and private equity funds located outside of the United States. We intend to grow our non-U.S. business, and this growth is critical to our overall success. In addition, many of our larger clients for our Investment Banking business are non-U.S. entities seeking to enter into transactions involving U.S. businesses. Our international operations carry special financial and business risks, which could include the following:</w:t>
      </w:r>
    </w:p>
    <w:p>
      <w:pPr>
        <w:spacing w:after="0" w:line="2"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difficulties managing and staffing foreign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language and cultural differences;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and costly changes in trading policies, regulatory requirements, tariffs and other barriers;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difficulties in collecting accounts receivable;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stable political and economic environments, including the sovereign debt crisis in Europe;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civil disturbances or other catastrophic events that reduce business activity.</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If our international business increases relative to our total business, these factors could have a more pronounced effect on our operating results. See also </w:t>
      </w:r>
      <w:r>
        <w:rPr>
          <w:rFonts w:ascii="Arial" w:cs="Arial" w:eastAsia="Arial" w:hAnsi="Arial"/>
          <w:sz w:val="18"/>
          <w:szCs w:val="18"/>
          <w:i w:val="1"/>
          <w:iCs w:val="1"/>
          <w:color w:val="auto"/>
        </w:rPr>
        <w:t>“—Difficult market conditions may adversely affect our business in many ways, including reducing the volume of the transactions involving our Investment Banking business and reducing the value of the assets we manage in our Investment Management businesses, which, in each case, may materially reduce our revenue or income.”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90"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Because our financial statements are denominated in U.S. dollars and we receive a portion of our net revenue from continuing operations in other currencies, predominantly in Mexican pesos, Euros, British pounds, Brazilian real, Canadian dollars, Singapore dollars and Hong Kong dollars, we are exposed to fluctuations in foreign currencies. In addition, we pay certain of our expenses in such currencies.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respectively, to our financial results. Fluctuations in foreign currency exchange rates may also affect the levels of our AUM and, as a result, our investment advisory fees.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economic conditions and political events in Mexico may result in disruptions to our business operations and adversely affect our revenue.</w:t>
      </w:r>
    </w:p>
    <w:p>
      <w:pPr>
        <w:spacing w:after="0" w:line="11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Mexican company has all of its assets located in Mexico and most of its revenue derived from operations in Mexico. As a financial services firm, our businesses in Mexico are materially affected by Mexico’s financial markets and economic conditions. For example, for our ECB business, a lack of liquidity in Mexican government bonds could have a material adverse effect on ECB’s business. Historically, interest rates in Mexico have been volatile, particularly in times of economic unrest and uncertainty. Mexico has had, and may continue to have, high real and nominal interest rates. In addition, because the Mexican government exercises significant influence over many aspects of the Mexican economy, political events in Mexico, including a change in state and municipal political leadership, may result in disruptions to our business operations and adversely affect its revenue. Any action by the government, including changes in the regulation of Mexico’s financial sector, could have an adverse effect on the operations of our Mexican business, especially on its asset management business.</w:t>
      </w:r>
    </w:p>
    <w:p>
      <w:pPr>
        <w:spacing w:after="0" w:line="13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Mexican business derives a significant portion of its revenue from advisory contracts with state and local governments in Mexico. The term limit system in Mexico may prevent us from maintaining relationships with the same clients in the same political positions beyond these periods. After an election takes place, there is no guarantee that we will be able to remain as advisors of the new government, even if the new administration is of the same political party as the previous one.</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3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are required to pay some of our Senior Managing Directors for most of the benefits relating to any additional tax depreciation or amortization deductions we may claim as a result of the tax basis step-up we received in connection with exchanges of Evercore LP partnership units (“LP Units”) for shares and related transactions.</w:t>
      </w:r>
    </w:p>
    <w:p>
      <w:pPr>
        <w:spacing w:after="0" w:line="4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2013, there were 5,581,725 vested and no unvested LP Units held by some of our Senior Managing Directors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have entered into a tax receivable agreement with some of our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Although we are not aware of any issue that would cause the IRS to challenge a tax basis increase, Senior Managing Directors who receive payments will not reimburse us for any payments that may previously have been made under the tax receivable agreement. As a result, in certain circumstances we could make payments to some of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only material asset is our interest in Evercore LP, and we are accordingly dependent upon distributions from Evercore LP to pay dividends and taxes and other expenses.</w:t>
      </w:r>
    </w:p>
    <w:p>
      <w:pPr>
        <w:spacing w:after="0" w:line="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is a holding company and has no material assets other than its ownership of partnership units in Evercore LP. The Company has no independent means of generating revenue. We intend to cause Evercore LP to make distributions to its partners in an amount sufficient to cover all applicable taxes payable, other expenses and dividends, if any, declared by us.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Payments of dividends, if any, will be at the sole discretion of the Company’s board of directors after taking into account various factors, including:</w:t>
      </w:r>
    </w:p>
    <w:p>
      <w:pPr>
        <w:spacing w:after="0" w:line="4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business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contractual, legal, tax and regulatory restrictions;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implications of the payment of dividends by us to our stockholders or by our subsidiaries (including Evercore LP) to us;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211" w:lineRule="exact"/>
        <w:rPr>
          <w:sz w:val="20"/>
          <w:szCs w:val="20"/>
          <w:color w:val="auto"/>
        </w:rPr>
      </w:pPr>
    </w:p>
    <w:p>
      <w:pPr>
        <w:ind w:left="60" w:right="20" w:firstLine="405"/>
        <w:spacing w:after="0" w:line="279" w:lineRule="auto"/>
        <w:rPr>
          <w:sz w:val="20"/>
          <w:szCs w:val="20"/>
          <w:color w:val="auto"/>
        </w:rPr>
      </w:pPr>
      <w:r>
        <w:rPr>
          <w:rFonts w:ascii="Arial" w:cs="Arial" w:eastAsia="Arial" w:hAnsi="Arial"/>
          <w:sz w:val="17"/>
          <w:szCs w:val="17"/>
          <w:color w:val="auto"/>
        </w:rPr>
        <w:t>In addition, Evercore LP is generally prohibited under Delaware law from making a distribution to a partner to the extent that, at the time of the distribution, after giving effect to the distribution, liabilities of Evercore LP (with certain exceptions) exceed the fair value of its assets. Furthermore, certain subsidiaries of Evercore LP may be subject to similar legal limitations on their ability to make distributions to Evercore LP.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Deterioration in the financial condition, earnings or cash flow of Evercore LP and its subsidiaries for any reason could limit or impair their ability to pay such distributions. Additionally, to the extent that the Company requires funds and Evercore LP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December 31, 2013, Evercore LP and its consolidated subsidiaries had approximately $245.5 million in cash and cash equivalents available for distribution without prior regulatory approval.</w:t>
      </w:r>
    </w:p>
    <w:p>
      <w:pPr>
        <w:spacing w:after="0" w:line="197" w:lineRule="exact"/>
        <w:rPr>
          <w:sz w:val="20"/>
          <w:szCs w:val="20"/>
          <w:color w:val="auto"/>
        </w:rPr>
      </w:pPr>
    </w:p>
    <w:p>
      <w:pPr>
        <w:ind w:right="120"/>
        <w:spacing w:after="0" w:line="334" w:lineRule="auto"/>
        <w:rPr>
          <w:sz w:val="20"/>
          <w:szCs w:val="20"/>
          <w:color w:val="auto"/>
        </w:rPr>
      </w:pPr>
      <w:r>
        <w:rPr>
          <w:rFonts w:ascii="Arial" w:cs="Arial" w:eastAsia="Arial" w:hAnsi="Arial"/>
          <w:sz w:val="16"/>
          <w:szCs w:val="16"/>
          <w:b w:val="1"/>
          <w:bCs w:val="1"/>
          <w:i w:val="1"/>
          <w:iCs w:val="1"/>
          <w:color w:val="auto"/>
        </w:rPr>
        <w:t>If Evercore Partners Inc. were deemed an “investment company” under the 1940 Act as a result of its ownership of Evercore LP, applicable restrictions could make it impractical for us to continue our business as contemplated and could have a material adverse effect on our business.</w:t>
      </w:r>
    </w:p>
    <w:p>
      <w:pPr>
        <w:spacing w:after="0" w:line="1"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0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affiliates operate with relative autonomy, which limits our ability to alter their management practices and policies.</w:t>
      </w:r>
    </w:p>
    <w:p>
      <w:pPr>
        <w:spacing w:after="0" w:line="57"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Although we are represented on the management committees of G5 ǀ Evercore and ABS, we are not able to exercise significant operational control over these affiliates and are not directly involved in managing their day-to-day activities, including investment management policies and procedures, fee levels, marketing and product development and client relationships. Moreover, the founders of these affiliates have certain protective and participating rights, including the ability to block certain major corporate actions and approval of the annual budget and compensation arrangements. In addition, while we control the management committee of Atalanta Sosnoff, responsibility for its day-to-day operations is vested with the management of Atalanta Sosnoff, including managing client relationships and making discretionary investment decisions. As a consequence, our reputation, financial condition and results of operations may be adversely affected by problems arising from the day-to-day operations of one of these businesses, or from other matters regarding one of these businesses over which we cannot exercise control. Future acquisitions of, and investments in, investment management or investment banking businesses may be structured in a similar manner.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i w:val="1"/>
          <w:iCs w:val="1"/>
          <w:color w:val="auto"/>
        </w:rPr>
        <w:t>Our Senior Managing Directors control a significant portion of the voting power in Evercore Partners Inc., which may give rise to conflicts of interests.</w:t>
      </w:r>
    </w:p>
    <w:p>
      <w:pPr>
        <w:spacing w:after="0" w:line="1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LP Units held by such holders. Each holder of Class B common stock is entitled, without regard to the number of shares of Class B common stock held by such holder, to one vote for each partnership unit in Evercore LP held by such holder. Our Senior Managing Directors, and certain trusts benefiting their families, collectively have 15% of the voting power in Evercore Partners Inc. As a result, our Senior Managing Directors have the ability to exercise influence over the election of the members of our board of directors and, therefore, influence over our management and affairs, including determinations with respect to acquisitions, dispositions, borrowings, issuances of common stock or other securities, and the declaration and payment of dividends. In addition, they are able to exercise influence over the outcome of all matters requiring stockholder approval. This concentration of ownership could deprive our Class A stockholders of an opportunity to receive a premium for their common stock as part of a sale of our company and might ultimately affect the market price of our Class A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decline due to the large number of shares eligible for future sale and for exchange.</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27"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On August 21, 2008, we entered into a Purchase Agreement with Mizuho pursuant to which Mizuho purchased from us Senior Notes along with warrants to purchase 5,454,545 shares of Evercore Class A common stock at $22.00 per share (the “Warrants”) expiring in 2020.</w:t>
      </w:r>
    </w:p>
    <w:p>
      <w:pPr>
        <w:spacing w:after="0" w:line="9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At December 31, 2013, we had a total of 33,069,534 shares of our Class A common stock outstanding. In addition, our Senior Managing Directors own an aggregate of 5,581,725 partnership units in Evercore LP, which were all fully vested as of December 31, 2013.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upon exchange of the partnership units that are held by our Senior Managing Directors are eligible for resale from time to time, subject to certain contractual and Securities Act restrictions. Also, as of December 31, 2013, 7,217,076 restricted stock units (“RSUs”) issued pursuant to the Evercore Partners Inc. 2006 Stock Incentive Plan were outstanding. Of these RSUs, 525,283 were fully vested and 6,691,793 were unvested. We also had 1,127,461 restricted shares of Class A common stock outstanding at December 31, 2013 as partial consideration for the Lexicon acquisition.</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Some of our Senior Managing Directors are parties to registration rights agreements with us. Under these agreements, these persons have the ability to cause us to register the shares of our Class A common stock they could acquire.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 which could cause the value of our Class A common stock to decline.</w:t>
      </w:r>
    </w:p>
    <w:p>
      <w:pPr>
        <w:spacing w:after="0" w:line="1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delay or prevent a change in control.</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principal offices are located in leased office space at 55 East 52nd Street, New York, New York, at Blvd. Manuel A. Camacho 36-22, Col. Lomas de Chapultepec in Mexico City, Mexico and at 15 Stanhope Gate in London, UK. We do not own any real property.</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Mexican, United Kingdom, Hong Kong, Canadian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Accounting Standards Codification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when warranted</w:t>
      </w:r>
      <w:r>
        <w:rPr>
          <w:rFonts w:ascii="Arial" w:cs="Arial" w:eastAsia="Arial" w:hAnsi="Arial"/>
          <w:sz w:val="16"/>
          <w:szCs w:val="16"/>
          <w:i w:val="1"/>
          <w:iCs w:val="1"/>
          <w:color w:val="auto"/>
        </w:rPr>
        <w:t>.</w:t>
      </w:r>
      <w:r>
        <w:rPr>
          <w:rFonts w:ascii="Arial" w:cs="Arial" w:eastAsia="Arial" w:hAnsi="Arial"/>
          <w:sz w:val="16"/>
          <w:szCs w:val="16"/>
          <w:color w:val="auto"/>
        </w:rPr>
        <w:t xml:space="preserve"> Once established, such provisions are adjusted when there is more information available or when an event occurs requiring a change.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121" w:right="1440"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1400" w:firstLine="41"/>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Evercore Class A Common Stock</w:t>
      </w:r>
    </w:p>
    <w:p>
      <w:pPr>
        <w:spacing w:after="0" w:line="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Class A common stock is listed on the NYSE and is traded under the symbol “EVR.” At the close of business on February 19, 2014, there were 9 Class A common stockholders of record.</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reported intra-day sale prices per share for the Class A common stock, as reported on the NYSE:</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2013</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2012</w:t>
            </w:r>
          </w:p>
        </w:tc>
        <w:tc>
          <w:tcPr>
            <w:tcW w:w="1200" w:type="dxa"/>
            <w:vAlign w:val="bottom"/>
            <w:tcBorders>
              <w:bottom w:val="single" w:sz="8" w:color="auto"/>
            </w:tcBorders>
          </w:tcPr>
          <w:p>
            <w:pPr>
              <w:spacing w:after="0"/>
              <w:rPr>
                <w:sz w:val="16"/>
                <w:szCs w:val="16"/>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Low</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42.36</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29.15</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21.50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61.07</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30.21</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25.26</w:t>
            </w:r>
          </w:p>
        </w:tc>
      </w:tr>
    </w:tbl>
    <w:p>
      <w:pPr>
        <w:spacing w:after="0" w:line="17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is no trading market for the Evercore Partners Inc. Class B common stock. As of February 19, 2014, there were 32 holders of record of the Class B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paid quarterly cash dividends of $0.25 per share of Class A common stock for the quarter ended December 31, 2013, $0.22 per share for the quarters ended September 30, 2013, June 30, 2013, March 31, 2013 and December 31, 2012, and $0.20 per share of Class A common stock for the quarters ended September 30, 2012, June 30, 2012 and March 31, 2012.</w:t>
      </w:r>
    </w:p>
    <w:p>
      <w:pPr>
        <w:spacing w:after="0" w:line="127"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We pay dividend equivalents, in the form of unvested RSU awards, concurrently with the payment of dividends to the holders of Class A common shares, on all unvested RSU grants awarded in conjunction with annual bonuses and new hire awards, as well as awards issued in conjunction with the acquisition of Lexicon in 2011. The dividend equivalents have the same vesting and delivery terms as the underlying RSU award.</w:t>
      </w:r>
    </w:p>
    <w:p>
      <w:pPr>
        <w:spacing w:after="0" w:line="9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are a holding company and have no material assets other than our ownership of partnership units in Evercore LP. We intend to cause Evercore LP to make distributions to us in an amount sufficient to cover dividends, if any, declared by us. If Evercore LP makes such distributions, the limited partners of Evercore LP will be entitled to receive equivalent distributions from Evercore LP on their vested partnership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for the period October 1, 2013 through December 31,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 Shares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(or Units)</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Paid Per Share</w:t>
            </w:r>
          </w:p>
        </w:tc>
        <w:tc>
          <w:tcPr>
            <w:tcW w:w="1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Programs(2)</w:t>
            </w:r>
          </w:p>
        </w:tc>
        <w:tc>
          <w:tcPr>
            <w:tcW w:w="1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Programs(2)</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23,586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47.69</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November 1 to November 30</w:t>
            </w: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10,435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47.73</w:t>
            </w:r>
          </w:p>
        </w:tc>
        <w:tc>
          <w:tcPr>
            <w:tcW w:w="140" w:type="dxa"/>
            <w:vAlign w:val="bottom"/>
          </w:tcPr>
          <w:p>
            <w:pPr>
              <w:spacing w:after="0"/>
              <w:rPr>
                <w:sz w:val="21"/>
                <w:szCs w:val="21"/>
                <w:color w:val="auto"/>
              </w:rPr>
            </w:pP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16,692</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55.12</w:t>
            </w: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5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50,713</w:t>
            </w:r>
          </w:p>
        </w:tc>
        <w:tc>
          <w:tcPr>
            <w:tcW w:w="16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50.14</w:t>
            </w:r>
          </w:p>
        </w:tc>
        <w:tc>
          <w:tcPr>
            <w:tcW w:w="140" w:type="dxa"/>
            <w:vAlign w:val="bottom"/>
          </w:tcPr>
          <w:p>
            <w:pPr>
              <w:spacing w:after="0"/>
              <w:rPr>
                <w:sz w:val="21"/>
                <w:szCs w:val="21"/>
                <w:color w:val="auto"/>
              </w:rPr>
            </w:pPr>
          </w:p>
        </w:tc>
        <w:tc>
          <w:tcPr>
            <w:tcW w:w="170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8890</wp:posOffset>
            </wp:positionV>
            <wp:extent cx="4605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include treasury transactions arising from net settlement of equity awards to satisfy minimum tax obligations.</w:t>
      </w:r>
    </w:p>
    <w:p>
      <w:pPr>
        <w:spacing w:after="0" w:line="23" w:lineRule="exact"/>
        <w:rPr>
          <w:rFonts w:ascii="Arial" w:cs="Arial" w:eastAsia="Arial" w:hAnsi="Arial"/>
          <w:sz w:val="18"/>
          <w:szCs w:val="18"/>
          <w:color w:val="auto"/>
        </w:rPr>
      </w:pPr>
    </w:p>
    <w:p>
      <w:pPr>
        <w:ind w:left="660" w:right="180" w:hanging="652"/>
        <w:spacing w:after="0" w:line="271" w:lineRule="auto"/>
        <w:tabs>
          <w:tab w:leader="none" w:pos="3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October 2013, Evercore's Board authorized the repurchase of additional Class A Shares and/or LP so that going forward Evercore will be able to repurchase an aggregate of 5 million Class A Shares and/or LP Units for up to $250.0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-845820</wp:posOffset>
            </wp:positionV>
            <wp:extent cx="4605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following table sets forth the historical selected financial data for the Company for all periods presented. For more information on our historical financial information, see Item 7 “Management’s Discussion and Analysis of Financial Condition and Results of Operations” and Item 8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gridSpan w:val="8"/>
          </w:tcPr>
          <w:p>
            <w:pPr>
              <w:ind w:left="460"/>
              <w:spacing w:after="0"/>
              <w:rPr>
                <w:sz w:val="20"/>
                <w:szCs w:val="20"/>
                <w:color w:val="auto"/>
              </w:rPr>
            </w:pPr>
            <w:r>
              <w:rPr>
                <w:rFonts w:ascii="Arial" w:cs="Arial" w:eastAsia="Arial" w:hAnsi="Arial"/>
                <w:sz w:val="14"/>
                <w:szCs w:val="14"/>
                <w:b w:val="1"/>
                <w:bCs w:val="1"/>
                <w:color w:val="auto"/>
              </w:rPr>
              <w:t>(dollars in thousands, except per share data)</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Revenues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Investment Banking Revenue</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666,806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568,238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430,597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301,931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293,311</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Investment Management Revenue</w:t>
            </w: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95,759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79,790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99,161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74,610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21,164</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16,868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13,897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22,211</w:t>
            </w:r>
          </w:p>
        </w:tc>
        <w:tc>
          <w:tcPr>
            <w:tcW w:w="0" w:type="dxa"/>
            <w:vAlign w:val="bottom"/>
          </w:tcPr>
          <w:p>
            <w:pPr>
              <w:spacing w:after="0"/>
              <w:rPr>
                <w:sz w:val="1"/>
                <w:szCs w:val="1"/>
                <w:color w:val="auto"/>
              </w:rPr>
            </w:pPr>
          </w:p>
        </w:tc>
      </w:tr>
      <w:tr>
        <w:trPr>
          <w:trHeight w:val="219"/>
        </w:trPr>
        <w:tc>
          <w:tcPr>
            <w:tcW w:w="41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779,433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657,674</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543,655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398,746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336,686</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14,005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19,391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24,269</w:t>
            </w:r>
          </w:p>
        </w:tc>
        <w:tc>
          <w:tcPr>
            <w:tcW w:w="0" w:type="dxa"/>
            <w:vAlign w:val="bottom"/>
          </w:tcPr>
          <w:p>
            <w:pPr>
              <w:spacing w:after="0"/>
              <w:rPr>
                <w:sz w:val="1"/>
                <w:szCs w:val="1"/>
                <w:color w:val="auto"/>
              </w:rPr>
            </w:pPr>
          </w:p>
        </w:tc>
      </w:tr>
      <w:tr>
        <w:trPr>
          <w:trHeight w:val="219"/>
        </w:trPr>
        <w:tc>
          <w:tcPr>
            <w:tcW w:w="4120" w:type="dxa"/>
            <w:vAlign w:val="bottom"/>
          </w:tcPr>
          <w:p>
            <w:pPr>
              <w:ind w:left="40"/>
              <w:spacing w:after="0"/>
              <w:rPr>
                <w:sz w:val="20"/>
                <w:szCs w:val="20"/>
                <w:color w:val="auto"/>
              </w:rPr>
            </w:pPr>
            <w:r>
              <w:rPr>
                <w:rFonts w:ascii="Arial" w:cs="Arial" w:eastAsia="Arial" w:hAnsi="Arial"/>
                <w:sz w:val="17"/>
                <w:szCs w:val="17"/>
                <w:color w:val="auto"/>
              </w:rPr>
              <w:t>Net Revenues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765,428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642,373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524,264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375,905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312,417</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598,806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523,386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427,155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316,016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256,632</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36,447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53,452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61,297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23,029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32,337</w:t>
            </w:r>
          </w:p>
        </w:tc>
        <w:tc>
          <w:tcPr>
            <w:tcW w:w="0" w:type="dxa"/>
            <w:vAlign w:val="bottom"/>
          </w:tcPr>
          <w:p>
            <w:pPr>
              <w:spacing w:after="0"/>
              <w:rPr>
                <w:sz w:val="1"/>
                <w:szCs w:val="1"/>
                <w:color w:val="auto"/>
              </w:rPr>
            </w:pPr>
          </w:p>
        </w:tc>
      </w:tr>
      <w:tr>
        <w:trPr>
          <w:trHeight w:val="219"/>
        </w:trPr>
        <w:tc>
          <w:tcPr>
            <w:tcW w:w="4120" w:type="dxa"/>
            <w:vAlign w:val="bottom"/>
          </w:tcPr>
          <w:p>
            <w:pPr>
              <w:ind w:left="40"/>
              <w:spacing w:after="0"/>
              <w:rPr>
                <w:sz w:val="20"/>
                <w:szCs w:val="20"/>
                <w:color w:val="auto"/>
              </w:rPr>
            </w:pPr>
            <w:r>
              <w:rPr>
                <w:rFonts w:ascii="Arial" w:cs="Arial" w:eastAsia="Arial" w:hAnsi="Arial"/>
                <w:sz w:val="17"/>
                <w:szCs w:val="17"/>
                <w:color w:val="auto"/>
              </w:rPr>
              <w:t>Total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635,253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576,838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488,452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339,045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288,969</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40"/>
              <w:spacing w:after="0" w:line="186" w:lineRule="exact"/>
              <w:rPr>
                <w:sz w:val="20"/>
                <w:szCs w:val="20"/>
                <w:color w:val="auto"/>
              </w:rPr>
            </w:pPr>
            <w:r>
              <w:rPr>
                <w:rFonts w:ascii="Arial" w:cs="Arial" w:eastAsia="Arial" w:hAnsi="Arial"/>
                <w:sz w:val="17"/>
                <w:szCs w:val="17"/>
                <w:b w:val="1"/>
                <w:bCs w:val="1"/>
                <w:color w:val="auto"/>
              </w:rPr>
              <w:t>Income before Income (Loss) from Equity Method</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Investments and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130,175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65,535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35,812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36,860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23,448</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Income (Loss) from Equity Method Investments</w:t>
            </w: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8,326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4,852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(1,406)</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138,501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70,387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36,731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36,303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22,042</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63,689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30,908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22,724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16,177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19,679</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Income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74,812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39,479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20,126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b w:val="1"/>
                <w:bCs w:val="1"/>
                <w:color w:val="auto"/>
              </w:rPr>
              <w:t>Net Income (Loss) from Discontinued Operations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(2,117)</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72,022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39,479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10,531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18,760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10,590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3,579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8,851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40"/>
              <w:spacing w:after="0" w:line="186" w:lineRule="exact"/>
              <w:rPr>
                <w:sz w:val="20"/>
                <w:szCs w:val="20"/>
                <w:color w:val="auto"/>
              </w:rPr>
            </w:pPr>
            <w:r>
              <w:rPr>
                <w:rFonts w:ascii="Arial" w:cs="Arial" w:eastAsia="Arial" w:hAnsi="Arial"/>
                <w:sz w:val="17"/>
                <w:szCs w:val="17"/>
                <w:b w:val="1"/>
                <w:bCs w:val="1"/>
                <w:color w:val="auto"/>
              </w:rPr>
              <w:t>Net Income (Loss) Attributable to Evercore</w:t>
            </w:r>
          </w:p>
        </w:tc>
        <w:tc>
          <w:tcPr>
            <w:tcW w:w="3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53,262</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28,889</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6,952</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8,954</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Partners Inc.</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Dividends Declared per Share</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0.91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0.82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0.74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0.63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0.51</w:t>
            </w:r>
          </w:p>
        </w:tc>
        <w:tc>
          <w:tcPr>
            <w:tcW w:w="0" w:type="dxa"/>
            <w:vAlign w:val="bottom"/>
          </w:tcPr>
          <w:p>
            <w:pPr>
              <w:spacing w:after="0"/>
              <w:rPr>
                <w:sz w:val="1"/>
                <w:szCs w:val="1"/>
                <w:color w:val="auto"/>
              </w:rPr>
            </w:pPr>
          </w:p>
        </w:tc>
      </w:tr>
      <w:tr>
        <w:trPr>
          <w:trHeight w:val="166"/>
        </w:trPr>
        <w:tc>
          <w:tcPr>
            <w:tcW w:w="4120" w:type="dxa"/>
            <w:vAlign w:val="bottom"/>
            <w:shd w:val="clear" w:color="auto" w:fill="CCEEFF"/>
          </w:tcPr>
          <w:p>
            <w:pPr>
              <w:ind w:left="40"/>
              <w:spacing w:after="0" w:line="166" w:lineRule="exact"/>
              <w:rPr>
                <w:sz w:val="20"/>
                <w:szCs w:val="20"/>
                <w:color w:val="auto"/>
              </w:rPr>
            </w:pPr>
            <w:r>
              <w:rPr>
                <w:rFonts w:ascii="Arial" w:cs="Arial" w:eastAsia="Arial" w:hAnsi="Arial"/>
                <w:sz w:val="17"/>
                <w:szCs w:val="17"/>
                <w:b w:val="1"/>
                <w:bCs w:val="1"/>
                <w:color w:val="auto"/>
              </w:rPr>
              <w:t>Diluted Net Income (Loss) Per Share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Attributable to Evercore Partners Inc.</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Common Shareholders: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0"/>
              <w:spacing w:after="0"/>
              <w:rPr>
                <w:sz w:val="20"/>
                <w:szCs w:val="20"/>
                <w:color w:val="auto"/>
              </w:rPr>
            </w:pPr>
            <w:r>
              <w:rPr>
                <w:rFonts w:ascii="Arial" w:cs="Arial" w:eastAsia="Arial" w:hAnsi="Arial"/>
                <w:sz w:val="17"/>
                <w:szCs w:val="17"/>
                <w:color w:val="auto"/>
              </w:rPr>
              <w:t>From Continuing Operations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0.89</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0.41</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86"/>
        </w:trPr>
        <w:tc>
          <w:tcPr>
            <w:tcW w:w="4120" w:type="dxa"/>
            <w:vAlign w:val="bottom"/>
          </w:tcPr>
          <w:p>
            <w:pPr>
              <w:ind w:left="520"/>
              <w:spacing w:after="0" w:line="186" w:lineRule="exact"/>
              <w:rPr>
                <w:sz w:val="20"/>
                <w:szCs w:val="20"/>
                <w:color w:val="auto"/>
              </w:rPr>
            </w:pPr>
            <w:r>
              <w:rPr>
                <w:rFonts w:ascii="Arial" w:cs="Arial" w:eastAsia="Arial" w:hAnsi="Arial"/>
                <w:sz w:val="17"/>
                <w:szCs w:val="17"/>
                <w:b w:val="1"/>
                <w:bCs w:val="1"/>
                <w:color w:val="auto"/>
              </w:rPr>
              <w:t>Net Income (Loss) Per Share Attributable to</w:t>
            </w:r>
          </w:p>
        </w:tc>
        <w:tc>
          <w:tcPr>
            <w:tcW w:w="34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0.89</w:t>
            </w:r>
          </w:p>
        </w:tc>
        <w:tc>
          <w:tcPr>
            <w:tcW w:w="12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0.39</w:t>
            </w:r>
          </w:p>
        </w:tc>
        <w:tc>
          <w:tcPr>
            <w:tcW w:w="12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73"/>
        </w:trPr>
        <w:tc>
          <w:tcPr>
            <w:tcW w:w="412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w w:val="96"/>
              </w:rPr>
              <w:t>Evercore Partners Inc. Common Shareholders</w:t>
            </w:r>
          </w:p>
        </w:tc>
        <w:tc>
          <w:tcPr>
            <w:tcW w:w="340" w:type="dxa"/>
            <w:vAlign w:val="bottom"/>
            <w:tcBorders>
              <w:bottom w:val="single" w:sz="8" w:color="auto"/>
            </w:tcBorders>
            <w:vMerge w:val="continue"/>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 OF FINANCIAL CONDITION DATA</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1,180,783</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1,145,218</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1,043,592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898,085</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891,160</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Liabilities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296,661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283,836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252,602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179,113</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Total Long-term Debt</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103,226</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101,375</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99,664</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98,082</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96,618</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580,820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604,742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555,499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505,438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595,404</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7"/>
                <w:szCs w:val="17"/>
                <w:color w:val="auto"/>
              </w:rPr>
              <w:t>Noncontrolling Interest</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97,382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111,970</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80,429</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91,948</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29,361</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Equity</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563,158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490,749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465,826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367,241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295,756</w:t>
            </w:r>
          </w:p>
        </w:tc>
        <w:tc>
          <w:tcPr>
            <w:tcW w:w="0" w:type="dxa"/>
            <w:vAlign w:val="bottom"/>
          </w:tcPr>
          <w:p>
            <w:pPr>
              <w:spacing w:after="0"/>
              <w:rPr>
                <w:sz w:val="1"/>
                <w:szCs w:val="1"/>
                <w:color w:val="auto"/>
              </w:rPr>
            </w:pPr>
          </w:p>
        </w:tc>
      </w:tr>
      <w:tr>
        <w:trPr>
          <w:trHeight w:val="31"/>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Evercore Partners Inc.’s consolidated financial statements and the related notes included elsewhere in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Total revenues reflect revenues from our Investment Banking and Investment Management business segments that include fees for services, transaction-related client reimbursements plus other revenue. Net revenues reflect total revenues less interest expense related to repurchase agreements and the Senior Notes.</w:t>
      </w:r>
    </w:p>
    <w:p>
      <w:pPr>
        <w:spacing w:after="0" w:line="127"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i w:val="1"/>
          <w:iCs w:val="1"/>
          <w:color w:val="auto"/>
        </w:rPr>
        <w:t xml:space="preserve">Investment Banking. </w:t>
      </w:r>
      <w:r>
        <w:rPr>
          <w:rFonts w:ascii="Arial" w:cs="Arial" w:eastAsia="Arial" w:hAnsi="Arial"/>
          <w:sz w:val="16"/>
          <w:szCs w:val="16"/>
          <w:color w:val="auto"/>
        </w:rPr>
        <w:t>Our Investment Banking business earns fees from our clients for providing advice on mergers, acquisitions, divestitures, leveraged</w:t>
      </w:r>
      <w:r>
        <w:rPr>
          <w:rFonts w:ascii="Arial" w:cs="Arial" w:eastAsia="Arial" w:hAnsi="Arial"/>
          <w:sz w:val="16"/>
          <w:szCs w:val="16"/>
          <w:i w:val="1"/>
          <w:iCs w:val="1"/>
          <w:color w:val="auto"/>
        </w:rPr>
        <w:t xml:space="preserve"> </w:t>
      </w:r>
      <w:r>
        <w:rPr>
          <w:rFonts w:ascii="Arial" w:cs="Arial" w:eastAsia="Arial" w:hAnsi="Arial"/>
          <w:sz w:val="16"/>
          <w:szCs w:val="16"/>
          <w:color w:val="auto"/>
        </w:rPr>
        <w:t>buyouts, restructurings and similar corporate finance matters, and from underwriting and private placement activities, as well as commissions from our sales and trading activities. The amount and timing of the fees paid vary by the type of engagement. In general, advisory fees are paid at the time we sign an engagement letter, during the course of the engagement or when an engagement is completed. The majority of our investment banking revenue consists of advisory fees that are dependent on the successful completion of a transaction. A transaction can fail to be completed for many reasons, including failure of parties to agree upon final terms with the counterparty, to secure necessary board or shareholder approvals, to secure necessary financing or to achieve necessary regulatory approvals. In the case of bankruptcy engagements, fees are subject to approval of the court. Underwriting revenues are recognized when the offering has been deemed to be completed, placement fees are generally recognized at the time of the client’s acceptance of capital or capital commitments and commissions are recorded on a trade-date basis or, in the case of payments under commission sharing arrangements, on the date earned.</w:t>
      </w:r>
    </w:p>
    <w:p>
      <w:pPr>
        <w:spacing w:after="0" w:line="11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trends in our advisory business generally are correlated to the volume of M&amp;A activity and/or restructuring activity, which tends to be counter-cyclical to M&amp;A. However, deviations from this trend can occur in any given year or quarter for a number of reasons. For example, changes in our market share or the ability of our clients to close certain large transactions can cause our revenue results to diverge from the level of overall M&amp;A or restructuring activity.</w:t>
      </w:r>
    </w:p>
    <w:p>
      <w:pPr>
        <w:spacing w:after="0" w:line="13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Investment Management. </w:t>
      </w:r>
      <w:r>
        <w:rPr>
          <w:rFonts w:ascii="Arial" w:cs="Arial" w:eastAsia="Arial" w:hAnsi="Arial"/>
          <w:sz w:val="17"/>
          <w:szCs w:val="17"/>
          <w:color w:val="auto"/>
        </w:rPr>
        <w:t>Our Investment Management business includes operations related to the management of the Institutional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Wealth Management and Private Equity businesses. Revenue sources primarily include management fees, which include fees earned from portfolio companies, fiduciary and consulting fees, performance fees (including carried interest) and gains (or losses) on our investments.</w:t>
      </w:r>
    </w:p>
    <w:p>
      <w:pPr>
        <w:spacing w:after="0" w:line="11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Management fees for third party clients generally represent a percentage of AUM. Fiduciary and consulting fees, which are generally a function of the size and complexity of each engagement, are individually negotiated. Management fees from private equity operations are generally a percentage of committed capital or invested capital at rates agreed with the investment funds we manage or with the individual client. Performance fees from private equity funds are earned when specified benchmarks are exceeded. In certain circumstances, such fees are subject to “claw-back” provisions. Portfolio company fees include monitoring, director and transaction fees associated with services provided to the portfolio companies of the private equity funds we manage. Gains and losses include both realized and unrealized gains and losses on principal investments, including those arising from our equity interest in investment partnerships.</w:t>
      </w:r>
    </w:p>
    <w:p>
      <w:pPr>
        <w:spacing w:after="0" w:line="13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Transaction-Related Client Reimbursements</w:t>
      </w:r>
      <w:r>
        <w:rPr>
          <w:rFonts w:ascii="Arial" w:cs="Arial" w:eastAsia="Arial" w:hAnsi="Arial"/>
          <w:sz w:val="17"/>
          <w:szCs w:val="17"/>
          <w:color w:val="auto"/>
        </w:rPr>
        <w:t>. In both our Investment Banking and Investment Management segments, we make various transaction-related expenditures, such as travel and professional fees, on behalf of our clients. Pursuant to the engagement letters with our advisory clients or the contracts with the limited partners in the private equity funds we manage, these expenditures may be reimbursable. We define these expenses as transaction-related expenses and record such expenditures as incurred and record revenue when it is determined that clients have an obligation to reimburse us for such transaction-related expenses. Client expense reimbursements are recorded as revenue on the Consolidated Statements of Operations on the later of the date an engagement letter is executed or the date we pay or accrue the expense.</w:t>
      </w:r>
    </w:p>
    <w:p>
      <w:pPr>
        <w:spacing w:after="0" w:line="124"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i w:val="1"/>
          <w:iCs w:val="1"/>
          <w:color w:val="auto"/>
        </w:rPr>
        <w:t xml:space="preserve">Other Revenue and Interest Expense. </w:t>
      </w:r>
      <w:r>
        <w:rPr>
          <w:rFonts w:ascii="Arial" w:cs="Arial" w:eastAsia="Arial" w:hAnsi="Arial"/>
          <w:sz w:val="16"/>
          <w:szCs w:val="16"/>
          <w:color w:val="auto"/>
        </w:rPr>
        <w:t>Other Revenue and Interest Expense is derived primarily from investing customer funds in financing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transactions are principally repurchases and resales of Mexican government and government agency securities. Revenue and expenses associated with these transactions are recognized over the term of the repurchase or resale transaction. Other Revenue includes income earned on marketable securities, cash and cash equivalents and assets segregated for regulatory purposes, as well as adjustments to amounts due pursuant to our tax receivable agreements,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to its initial establishment, related to changes in state and local tax rates. Interest Expense includes interest expense associated with the Senior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i w:val="1"/>
          <w:iCs w:val="1"/>
          <w:color w:val="auto"/>
        </w:rPr>
        <w:t xml:space="preserve">Employee Compensation and Benefits Expense. </w:t>
      </w:r>
      <w:r>
        <w:rPr>
          <w:rFonts w:ascii="Arial" w:cs="Arial" w:eastAsia="Arial" w:hAnsi="Arial"/>
          <w:sz w:val="18"/>
          <w:szCs w:val="18"/>
          <w:color w:val="auto"/>
        </w:rPr>
        <w:t>We include all payments for services rendered by our employees, as well as profits interests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that have been accounted for as compensation, in employee compensation and benefits expense.</w:t>
      </w:r>
    </w:p>
    <w:p>
      <w:pPr>
        <w:spacing w:after="0" w:line="116"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We maintain compensation programs, including base salary, cash, deferred cash and equity bonus awards and benefits programs and manage compensation to estimates of competitive levels based on market conditions and performance. Our level of compensation reflects our plan to maintain competitive compensation levels to retain key personnel, and it reflects the impact of newly-hired senior professionals, including related grants of equity awards which are generally valued at their grant date.</w:t>
      </w:r>
    </w:p>
    <w:p>
      <w:pPr>
        <w:spacing w:after="0" w:line="13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Increasing the number of high-caliber, experienced senior level employees is critical to our growth efforts. In our advisory businesses, these hires generally do not begin to generate significant revenue in the year they are hired.</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annual compensation program includes share-based compensation awards and deferred cash awards as a component of the annual bonus awards for certain employees. These awards are generally subject to annual vesting requirements over a four-year period beginning at the date of grant, which occurs in the first quarter of each year; accordingly, the expense is generally amortized over the stated vesting period. With respect to the annual awards granted in February 2012 and thereafter, the Company adopted new retirement eligibility criteria, which stipulates that if an employee has at least five years of continuous service, is at least 55 years of age and has a combined age and years of service of at least 65 years, the employee is eligible for retirement (prior year’s awards required combined years of service and age of at least 70 years). Retirement eligibility allows for continued vesting of awards after employees depart from the Company, provided they give the minimum advance notice, which is generally one year. As a consequence of these changes, a greater number of employees will become retirement eligible and the related requisite service period over which we will expense these awards will be shorter than the stated vesting period.</w:t>
      </w:r>
    </w:p>
    <w:p>
      <w:pPr>
        <w:spacing w:after="0" w:line="128"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i w:val="1"/>
          <w:iCs w:val="1"/>
          <w:color w:val="auto"/>
        </w:rPr>
        <w:t xml:space="preserve">Non-Compensation Expenses.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technology services, depreciation and amortization, acquisition and transition costs and other operating expenses. We refer to all of these expenses as non-compensation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Other Expenses include: a) amortization costs associated with the modification and vesting of LP Units and certain other awards, b) charges associated with the vesting of Event-based Awards, c) the amortization of intangible assets associated with certain acquisitions, d) Special Charges incurred related to the impairment of intangible assets from Morse, Williams and Company, Inc. in 2013, Special Charges incurred in connection with exiting facilities in the UK in 2012 and Special Charges related to the Lexicon acquisition, including the exiting of facilities for office space in the UK, an introducing fee as well as other professional fees incurred by Lexicon in 2011 and e) compensation charges associated with deferred consideration, retention awards and related compensation for Lexicon employees.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57" w:lineRule="exact"/>
        <w:rPr>
          <w:sz w:val="20"/>
          <w:szCs w:val="20"/>
          <w:color w:val="auto"/>
        </w:rPr>
      </w:pPr>
    </w:p>
    <w:p>
      <w:pPr>
        <w:jc w:val="both"/>
        <w:ind w:right="400" w:firstLine="432"/>
        <w:spacing w:after="0" w:line="283" w:lineRule="auto"/>
        <w:rPr>
          <w:sz w:val="20"/>
          <w:szCs w:val="20"/>
          <w:color w:val="auto"/>
        </w:rPr>
      </w:pPr>
      <w:r>
        <w:rPr>
          <w:rFonts w:ascii="Arial" w:cs="Arial" w:eastAsia="Arial" w:hAnsi="Arial"/>
          <w:sz w:val="18"/>
          <w:szCs w:val="18"/>
          <w:color w:val="auto"/>
        </w:rPr>
        <w:t>Our share of the income (loss) from our equity interests in G5 ǀ Evercore, ABS and Pan (consolidated on March 15, 2013 and sold on December 3, 2013) are included within Income from Equity Method Investments, as a component of Income Before Income Taxes, on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the recognition of tax benefits or expenses on temporary differences between the financial reporting and tax basis of our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360" w:firstLine="432"/>
        <w:spacing w:after="0" w:line="334" w:lineRule="auto"/>
        <w:rPr>
          <w:sz w:val="20"/>
          <w:szCs w:val="20"/>
          <w:color w:val="auto"/>
        </w:rPr>
      </w:pPr>
      <w:r>
        <w:rPr>
          <w:rFonts w:ascii="Arial" w:cs="Arial" w:eastAsia="Arial" w:hAnsi="Arial"/>
          <w:sz w:val="16"/>
          <w:szCs w:val="16"/>
          <w:color w:val="auto"/>
        </w:rPr>
        <w:t>We completed the sale of Pan in December 2013 and the wind down of Evercore Asset Management ("EAM") in December 2011. Accordingly, the historical results of Pan and EAM have been included within Discontinued Operations on the 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record noncontrolling interest relating to the ownership interests of our current and former Senior Managing Directors, their estate planning vehicles and Trilantic (through October 2013) in Evercore LP, as well as the portions of our operating subsidiaries not owned by Evercore. As described in Note 15 to our consolidated financial statements herein, Evercore Partners Inc. is the sole general partner of Evercore LP and has a majority economic interest in Evercore LP. As a result, Evercore Partners Inc. consolidates Evercore LP and records a noncontrolling interest for the economic interest in Evercore LP held by the limited partners.</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generally allocate net income or loss to noncontrolling interests held at Evercore LP and at the operating entity level, where required, by multiplying the vested equity ownership percentage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or losses to the controlling and noncontrolling interest holders, then the net income or loss of these entities will be allocated based on these special allocations.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is a discussion of our results from continuing operations for the years ended December 31, 2013, 2012 and 2011. For a more detailed discussion of the factors that affected the revenue and operating expenses of our Investment Banking and Investment Management business segments in these periods, see the discussion in “Business Segments”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2013 v. 2012</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7"/>
              </w:rPr>
              <w:t>2012 v. 2011</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40" w:type="dxa"/>
            <w:vAlign w:val="bottom"/>
            <w:gridSpan w:val="6"/>
          </w:tcPr>
          <w:p>
            <w:pPr>
              <w:jc w:val="right"/>
              <w:ind w:right="1056"/>
              <w:spacing w:after="0"/>
              <w:rPr>
                <w:sz w:val="20"/>
                <w:szCs w:val="20"/>
                <w:color w:val="auto"/>
              </w:rPr>
            </w:pPr>
            <w:r>
              <w:rPr>
                <w:rFonts w:ascii="Arial" w:cs="Arial" w:eastAsia="Arial" w:hAnsi="Arial"/>
                <w:sz w:val="14"/>
                <w:szCs w:val="14"/>
                <w:b w:val="1"/>
                <w:bCs w:val="1"/>
                <w:color w:val="auto"/>
              </w:rPr>
              <w:t>(dollars in thousands,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Investment Banking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666,806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568,238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430,597</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Management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99,161</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16,868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13,897</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75%</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657,674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543,655</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19,391</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765,428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642,373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524,264</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427,155</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53,452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61,297</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(32%)</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635,253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488,452</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5"/>
        </w:trPr>
        <w:tc>
          <w:tcPr>
            <w:tcW w:w="40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Income Before Income from Equity Method</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Investments and Income Taxes</w:t>
            </w: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130,175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65,535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35,812</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99%</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70,387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36,731</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97%</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22,724</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106%</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39,479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14,007</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89%</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21"/>
                <w:szCs w:val="21"/>
                <w:color w:val="auto"/>
              </w:rPr>
            </w:pPr>
          </w:p>
        </w:tc>
        <w:tc>
          <w:tcPr>
            <w:tcW w:w="1840" w:type="dxa"/>
            <w:vAlign w:val="bottom"/>
          </w:tcPr>
          <w:p>
            <w:pPr>
              <w:jc w:val="right"/>
              <w:ind w:right="536"/>
              <w:spacing w:after="0"/>
              <w:rPr>
                <w:sz w:val="20"/>
                <w:szCs w:val="20"/>
                <w:color w:val="auto"/>
              </w:rPr>
            </w:pPr>
            <w:r>
              <w:rPr>
                <w:rFonts w:ascii="Arial" w:cs="Arial" w:eastAsia="Arial" w:hAnsi="Arial"/>
                <w:sz w:val="18"/>
                <w:szCs w:val="18"/>
                <w:color w:val="auto"/>
              </w:rPr>
              <w:t>NM</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rPr>
              <w:t>NM</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w w:val="94"/>
              </w:rPr>
              <w:t>Net Income (Loss) from Discontinued Operations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1840" w:type="dxa"/>
            <w:vAlign w:val="bottom"/>
          </w:tcPr>
          <w:p>
            <w:pPr>
              <w:jc w:val="right"/>
              <w:ind w:right="536"/>
              <w:spacing w:after="0"/>
              <w:rPr>
                <w:sz w:val="20"/>
                <w:szCs w:val="20"/>
                <w:color w:val="auto"/>
              </w:rPr>
            </w:pPr>
            <w:r>
              <w:rPr>
                <w:rFonts w:ascii="Arial" w:cs="Arial" w:eastAsia="Arial" w:hAnsi="Arial"/>
                <w:sz w:val="18"/>
                <w:szCs w:val="18"/>
                <w:color w:val="auto"/>
              </w:rPr>
              <w:t>NM</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10,531</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82%</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3,579</w:t>
            </w:r>
          </w:p>
        </w:tc>
        <w:tc>
          <w:tcPr>
            <w:tcW w:w="1960" w:type="dxa"/>
            <w:vAlign w:val="bottom"/>
            <w:gridSpan w:val="2"/>
          </w:tcPr>
          <w:p>
            <w:pPr>
              <w:jc w:val="right"/>
              <w:ind w:right="396"/>
              <w:spacing w:after="0"/>
              <w:rPr>
                <w:sz w:val="20"/>
                <w:szCs w:val="20"/>
                <w:color w:val="auto"/>
              </w:rPr>
            </w:pPr>
            <w:r>
              <w:rPr>
                <w:rFonts w:ascii="Arial" w:cs="Arial" w:eastAsia="Arial" w:hAnsi="Arial"/>
                <w:sz w:val="18"/>
                <w:szCs w:val="18"/>
                <w:color w:val="auto"/>
              </w:rPr>
              <w:t>77%</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Net Income Attributable to Evercore Partners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6,952</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84%</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4"/>
              </w:rPr>
              <w:t>Diluted Net Income (Loss) Per Share Attributable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w w:val="95"/>
              </w:rPr>
              <w:t>to Evercore Partners Inc. Common Shareholders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From Discontinued Operations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40" w:type="dxa"/>
            <w:vAlign w:val="bottom"/>
          </w:tcPr>
          <w:p>
            <w:pPr>
              <w:jc w:val="right"/>
              <w:ind w:right="536"/>
              <w:spacing w:after="0"/>
              <w:rPr>
                <w:sz w:val="20"/>
                <w:szCs w:val="20"/>
                <w:color w:val="auto"/>
              </w:rPr>
            </w:pPr>
            <w:r>
              <w:rPr>
                <w:rFonts w:ascii="Arial" w:cs="Arial" w:eastAsia="Arial" w:hAnsi="Arial"/>
                <w:sz w:val="18"/>
                <w:szCs w:val="18"/>
                <w:color w:val="auto"/>
              </w:rPr>
              <w:t>NM</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520"/>
              <w:spacing w:after="0" w:line="205" w:lineRule="exact"/>
              <w:rPr>
                <w:sz w:val="20"/>
                <w:szCs w:val="20"/>
                <w:color w:val="auto"/>
              </w:rPr>
            </w:pPr>
            <w:r>
              <w:rPr>
                <w:rFonts w:ascii="Arial" w:cs="Arial" w:eastAsia="Arial" w:hAnsi="Arial"/>
                <w:sz w:val="18"/>
                <w:szCs w:val="18"/>
                <w:b w:val="1"/>
                <w:bCs w:val="1"/>
                <w:color w:val="auto"/>
              </w:rPr>
              <w:t>Net Income Per Share Attributable to</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Evercore Partners Inc. Common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Shareholders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55%</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versus 2012</w:t>
      </w:r>
    </w:p>
    <w:p>
      <w:pPr>
        <w:spacing w:after="0" w:line="17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Net Revenues were $765.4 million in 2013, an increase of $123.0 million, or 19%, versus Net Revenues of $642.4 million in 2012. Investment Banking Revenue increased 17% and Investment Management Revenue increased 20% compared to 2012. See the segment discussion below for further information. Other Revenue in 2013 was higher than in 2012 primarily as a result of changes in state and local tax rates, which resulted in a $6.9 million adjustment in amounts due pursuant to tax receivable agreements during 2013. Net Revenues include interest expense on our Senior Notes.</w:t>
      </w:r>
    </w:p>
    <w:p>
      <w:pPr>
        <w:spacing w:after="0" w:line="15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Total Operating Expenses were $598.8 million in 2013 as compared to $523.4 million in 2012, a 14% increase. Employee Compensation and Benefits Expense, as a component of Operating Expenses, was $449.8 million in 2013, an increase of $68.3 million, or 18%, versus expense of $381.5 million in 2012. The increase was primarily due to higher discretionary incentive compensation, consistent with the overall increase in revenues, the expansion of our existing businesses and our new businesses and increased share-based compensation costs. Non-compensation expenses as a component of Operating Expenses were $149.0 million in 2013, an increase of $7.2 million, or 5%, over non-compensation operating expenses of $141.8 million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2012. Non-compensation operating expenses increased compared to 2012 primarily as a result of the expansion of our existing businesses.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Total Other Expenses of $36.4 million in 2013 related to compensation costs associated with the vesting of LP Units and certain other awards of $20.0 million, acquisition related compensation costs of $15.9 million, Special Charges of $0.2 million and amortization of intangibles of $0.3 million. Total Other Expenses of $53.5 million in 2012 related to compensation costs associated with the vesting of LP Units and certain other awards of $20.9 million, acquisition related compensation costs of $28.2 million, Special Charges of $0.7 million and amortization of intangibles of $3.7 million.</w:t>
      </w:r>
    </w:p>
    <w:p>
      <w:pPr>
        <w:spacing w:after="0" w:line="11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a result of the factors noted above, Employee Compensation and Benefits Expense as a percentage of Net Revenues was 63% for the year ended December 31, 2013, compared to 67% for the year ended December 31, 2012.</w:t>
      </w:r>
    </w:p>
    <w:p>
      <w:pPr>
        <w:spacing w:after="0" w:line="170" w:lineRule="exact"/>
        <w:rPr>
          <w:sz w:val="20"/>
          <w:szCs w:val="20"/>
          <w:color w:val="auto"/>
        </w:rPr>
      </w:pPr>
    </w:p>
    <w:p>
      <w:pPr>
        <w:ind w:right="500" w:firstLine="351"/>
        <w:spacing w:after="0" w:line="300" w:lineRule="auto"/>
        <w:rPr>
          <w:sz w:val="20"/>
          <w:szCs w:val="20"/>
          <w:color w:val="auto"/>
        </w:rPr>
      </w:pPr>
      <w:r>
        <w:rPr>
          <w:rFonts w:ascii="Arial" w:cs="Arial" w:eastAsia="Arial" w:hAnsi="Arial"/>
          <w:sz w:val="18"/>
          <w:szCs w:val="18"/>
          <w:color w:val="auto"/>
        </w:rPr>
        <w:t>Income from Equity Method Investments was $8.3 million in 2013, as compared to $4.9 million in 2012. The increase was primarily a result of an increase in earnings from ABS and G5 ǀ Evercore.</w:t>
      </w:r>
    </w:p>
    <w:p>
      <w:pPr>
        <w:spacing w:after="0" w:line="13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provision for income taxes in 2013 was $63.7 million, which reflected an effective tax rate of 46%. The provision was impacted by the vesting of LP Units, which are not deductible for income tax purposes, as well as the noncontrolling interest associated with LP Units and other adjustments. The provision for income taxes in 2012 was $30.9 million, which reflected an effective tax rate of 44%. The provision was impacted by the vesting of LP Units, as well as the noncontrolling interest associated with LP Units and the release of valuation allowances for certain deferred tax assets. The increase in the effective tax rate of the provision for income taxes in 2013 was also attributable to a write down of the deferred tax assets resulting from a change in the distribution of earnings between foreign and state and local jurisdictions.</w:t>
      </w:r>
    </w:p>
    <w:p>
      <w:pPr>
        <w:spacing w:after="0" w:line="193"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Noncontrolling Interest was $18.8 million in 2013 (which includes noncontrolling interest related to discontinued operations of ($1.2) million) compared to $10.6 million in 2012. See Note 4 to our consolidated financial statements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Net revenues were $642.4 million in 2012, an increase of $118.1 million, or 23%, versus net revenues of $524.3 million in 2011. Investment Banking Revenue increased 32% and Investment Management Revenue decreased 20% compared to 2011. See the segment discussion below for further information. Net revenues include interest expense on our Senior Notes.</w:t>
      </w:r>
    </w:p>
    <w:p>
      <w:pPr>
        <w:spacing w:after="0" w:line="12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Total Operating Expenses were $523.4 million in 2012 as compared to $427.2 million in 2011, a 23% increase. Employee Compensation and Benefits Expense, as a component of Operating Expenses, was $381.5 million in 2012, an increase of $73.5 million, or 24%, versus expense of $308.0 million in 2011. The increase was primarily due to increased compensation costs resulting from the expansion of existing businesses and our new businesses, higher costs associated with employee separation arrangements and higher share-based compensation costs, including costs associated with the revised retirement eligibility criteria, offset, in part, by a reduction in discretionary incentive compensation associated with decreased profitability in our Investment Management business. Non-compensation expenses as a component of Operating Expenses were $141.8 million in 2012, an increase of $22.6 million, or 19%, over non-compensation operating expenses of $119.2 million in 2011. Non-compensation operating expenses increased compared to 2011 primarily as a result of the expansion of our new and existing businesses, including the integration of Lexicon, as well as higher occupancy costs.</w:t>
      </w:r>
    </w:p>
    <w:p>
      <w:pPr>
        <w:spacing w:after="0" w:line="1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Total Other Expenses of $53.5 million in 2012 related to compensation costs associated with the vesting of LP Units and certain other awards of $20.9 million, acquisition related compensation costs of $28.2 million, Special Charges of $0.7 million and amortization of intangibles of $3.7 million. Total Other Expenses of $61.3 million in 2011 related to compensation costs associated with the vesting of LP Units and certain other awards of $24.2 million, charges related to the vesting of Event-based Awards of $11.4 million, acquisition related compensation costs of $14.6 million, Special Charges of $3.9 million and amortization of intangibles of $7.2 million.</w:t>
      </w:r>
    </w:p>
    <w:p>
      <w:pPr>
        <w:spacing w:after="0" w:line="13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a result of the factors noted above, Employee Compensation and Benefits Expense as a percentage of Net Revenues was 67% for the year ended December 31, 2012, compared to 68% for the year ended December 31, 2011.</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Income from Equity Method Investments was $4.9 million for 2012, as compared to $0.9 million for 2011. The increase was primarily a result of income earned from our investment in ABS, which the Company made in the fourth quarter of 2011.</w:t>
      </w:r>
    </w:p>
    <w:p>
      <w:pPr>
        <w:spacing w:after="0" w:line="11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provision for income taxes in 2012 was $30.9 million, which reflected an effective tax rate of 44%. The provision was impacted by the vesting of LP Units and certain other awards, which are not deductible for income tax purposes, as well as the noncontrolling interest associated with LP Units. The provision for income taxes in 2011 was $22.7 million, which reflected an effective tax rate of 62%. The provision was impacted by the vesting of LP Units and certain other awards, as well as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ind w:right="340"/>
        <w:spacing w:after="0" w:line="342" w:lineRule="auto"/>
        <w:rPr>
          <w:sz w:val="20"/>
          <w:szCs w:val="20"/>
          <w:color w:val="auto"/>
        </w:rPr>
      </w:pPr>
      <w:r>
        <w:rPr>
          <w:rFonts w:ascii="Arial" w:cs="Arial" w:eastAsia="Arial" w:hAnsi="Arial"/>
          <w:sz w:val="16"/>
          <w:szCs w:val="16"/>
          <w:color w:val="auto"/>
        </w:rPr>
        <w:t>noncontrolling interest associated with LP Units. The effective tax rate for 2012 was lower than 2011 primarily due to a higher level of foreign sourced income, which lowers the state and local taxes in the U.S., and the release of tax reserves and valuation allowances for certain deferred tax assets in 2012.</w:t>
      </w:r>
    </w:p>
    <w:p>
      <w:pPr>
        <w:spacing w:after="0" w:line="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Noncontrolling Interest was $10.6 million in 2012 compared to $3.6 million for 2011 (which includes noncontrolling interest from discontinued operations of ($2.5)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25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During the third quarter of 2013, we recorded a pretax loss of $2.7 million, within Discontinued Operations, related to the impairment of goodwill in the Pan reporting unit. During the fourth quarter of 2013, we recorded a pretax loss of $0.2 million, within Special Charges, related to the impairment of intangible assets from the acquisition of Morse, Williams and Company, Inc. See Note 4 to our consolidated financial statements for further information.</w:t>
      </w:r>
    </w:p>
    <w:p>
      <w:pPr>
        <w:spacing w:after="0" w:line="16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 xml:space="preserve">At November 30, 2013, 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we performed our annual Goodwill impairment assessment. We concluded that the fair value of our reporting units substantially exceeded their carrying values, with the exception of our Institutional Asset Management reporting unit, which exceeded its carrying value by 24% as of November 30, 2013, in comparison to 11% as of November 30, 2012. The increase in excess fair value from prior year primarily reflects higher valuations attributed to asset managers, as measured by multiples of expected earnings.</w:t>
      </w:r>
    </w:p>
    <w:p>
      <w:pPr>
        <w:spacing w:after="0" w:line="15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amount of Goodwill allocated to the Institutional Asset Management reporting unit was $94.7 million as of November 30, 2013, of which a portion is related to noncontrolling interest. In determining the fair value of this reporting unit, we utilized both a market multiple approach and a discounted cash flow methodology based on the adjusted cash flows from operations. The market multiple approach included applying the average earnings multiples of comparable public companies, multiplied by the forecasted earnings of the reporting unit, to yield an estimate of fair value. The discounted cash flow methodology began with the forecasted cash flows of the reporting unit and applied a discount rate of 15.5%, which reflected the weighted average cost of capital adjusted for the risks inherent in the future cash flows. The forecast inherent in the valuation assumes a stabilization of AUM flows by the end of 2013, with AUM from client flows beginning to increase in the first half of 2014 and, over the longer term, assumes a compound annual growth rate in revenues of 13% from the trailing twelve month period ended November 30, 2013.</w:t>
      </w:r>
    </w:p>
    <w:p>
      <w:pPr>
        <w:spacing w:after="0" w:line="1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used our best judgment and the information available to us at the time to perform this valuation. Because assumptions and estimates are used in projecting future earnings as part of the valuation, actual results could differ. We estimate that an assumed 22% decrease in forecasted AUM and related revenue throughout the entire forecasted period, would result in the fair value of the Institutional Asset Management reporting unit to be below its book value. Deterioration in these assumptions, including a period of sustained decline in the equity markets, would cause the estimated fair value of the reporting unit to decline, which may result in an impairment charge to earnings in a future period related to some portion of the associated goodwill. If a charge for impairment of goodwill in the Institutional Asset Management reporting unit were required in a future period, it would be allocated, in part,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data presents revenue, expenses and contributions included within continuing operations, by business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operating results of the Investment Banking segment.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9"/>
          </w:tcPr>
          <w:p>
            <w:pPr>
              <w:ind w:left="740"/>
              <w:spacing w:after="0"/>
              <w:rPr>
                <w:sz w:val="20"/>
                <w:szCs w:val="20"/>
                <w:color w:val="auto"/>
              </w:rPr>
            </w:pPr>
            <w:r>
              <w:rPr>
                <w:rFonts w:ascii="Arial" w:cs="Arial" w:eastAsia="Arial" w:hAnsi="Arial"/>
                <w:sz w:val="14"/>
                <w:szCs w:val="14"/>
                <w:b w:val="1"/>
                <w:bCs w:val="1"/>
                <w:color w:val="auto"/>
              </w:rPr>
              <w:t>For the Years Ended December 31,</w:t>
            </w:r>
          </w:p>
        </w:tc>
        <w:tc>
          <w:tcPr>
            <w:tcW w:w="1680" w:type="dxa"/>
            <w:vAlign w:val="bottom"/>
          </w:tcPr>
          <w:p>
            <w:pPr>
              <w:jc w:val="right"/>
              <w:ind w:right="13"/>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2013 v. 2012</w:t>
            </w:r>
          </w:p>
        </w:tc>
        <w:tc>
          <w:tcPr>
            <w:tcW w:w="11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7"/>
              </w:rPr>
              <w:t>2012 v. 2011</w:t>
            </w:r>
          </w:p>
        </w:tc>
      </w:tr>
      <w:tr>
        <w:trPr>
          <w:trHeight w:val="196"/>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Investment Banking Revenue: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Advisory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Commission Revenue</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30,741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43%</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Underwriting Revenue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291%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 Banking Revenue (1)</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666,806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568,238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net (2)</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NM</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670,785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565,219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19%</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516,921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444,510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337,886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16%</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550,661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495,284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393,477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11%</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3"/>
              <w:spacing w:after="0"/>
              <w:rPr>
                <w:sz w:val="20"/>
                <w:szCs w:val="20"/>
                <w:color w:val="auto"/>
              </w:rPr>
            </w:pPr>
            <w:r>
              <w:rPr>
                <w:rFonts w:ascii="Arial" w:cs="Arial" w:eastAsia="Arial" w:hAnsi="Arial"/>
                <w:sz w:val="18"/>
                <w:szCs w:val="18"/>
                <w:color w:val="auto"/>
              </w:rPr>
              <w:t>29%</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123,030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70%</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client related expenses of $15.2 million, $15.8 million and $12.0 million for the years ended December 31, 2013, 2012 and 2011, respectively.</w:t>
      </w:r>
    </w:p>
    <w:p>
      <w:pPr>
        <w:spacing w:after="0" w:line="46" w:lineRule="exact"/>
        <w:rPr>
          <w:rFonts w:ascii="Arial" w:cs="Arial" w:eastAsia="Arial" w:hAnsi="Arial"/>
          <w:sz w:val="16"/>
          <w:szCs w:val="16"/>
          <w:color w:val="auto"/>
        </w:rPr>
      </w:pPr>
    </w:p>
    <w:p>
      <w:pPr>
        <w:ind w:left="340" w:right="400" w:hanging="332"/>
        <w:spacing w:after="0" w:line="28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interest expense on the Senior Notes of $4.4 million, $4.3 million and $4.2 million for the years ended December 31, 2013, 2012 and 2011, respectively, and changes in amounts due pursuant to tax receivable agreements of $5.5 million for the year ended December 31, 2013.</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Noncontrolling Interest of $0.1 million, ($1.7) million and ($5.6) million for the years ended December 31, 2013, 2012 and 2011, respectively.</w:t>
      </w:r>
    </w:p>
    <w:p>
      <w:pPr>
        <w:spacing w:after="0" w:line="180"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For 2013, the level of North American announced and completed M&amp;A activity increased (decreased) 5% and (6%), respectively, compared to 2012, while the level of Global announced and completed M&amp;A activity for 2013 decreased (6%) and (4%), respectively, compared to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spacing w:after="0"/>
              <w:rPr>
                <w:sz w:val="16"/>
                <w:szCs w:val="16"/>
                <w:color w:val="auto"/>
              </w:rPr>
            </w:pPr>
          </w:p>
        </w:tc>
      </w:tr>
      <w:tr>
        <w:trPr>
          <w:trHeight w:val="264"/>
        </w:trPr>
        <w:tc>
          <w:tcPr>
            <w:tcW w:w="39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840" w:type="dxa"/>
            <w:vAlign w:val="bottom"/>
            <w:gridSpan w:val="3"/>
          </w:tcPr>
          <w:p>
            <w:pPr>
              <w:ind w:left="340"/>
              <w:spacing w:after="0"/>
              <w:rPr>
                <w:sz w:val="20"/>
                <w:szCs w:val="20"/>
                <w:color w:val="auto"/>
              </w:rPr>
            </w:pPr>
            <w:r>
              <w:rPr>
                <w:rFonts w:ascii="Arial" w:cs="Arial" w:eastAsia="Arial" w:hAnsi="Arial"/>
                <w:sz w:val="14"/>
                <w:szCs w:val="14"/>
                <w:b w:val="1"/>
                <w:bCs w:val="1"/>
                <w:color w:val="auto"/>
              </w:rPr>
              <w:t>2013 v. 2012</w:t>
            </w: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w w:val="97"/>
              </w:rPr>
              <w:t>2012 v. 2011</w:t>
            </w:r>
          </w:p>
        </w:tc>
      </w:tr>
      <w:tr>
        <w:trPr>
          <w:trHeight w:val="250"/>
        </w:trPr>
        <w:tc>
          <w:tcPr>
            <w:tcW w:w="3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Industry Statistics ($ in billions) *</w:t>
            </w: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Value of North American M&amp;A Deals Announced</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1,095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3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 of North American M&amp;A Deals Completed</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Value of Global M&amp;A Deals Announced</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2,342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3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 of Global M&amp;A Deals Completed</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Evercore Statistics **</w:t>
            </w: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Fee Paying Advisory Clients</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29"/>
        </w:trPr>
        <w:tc>
          <w:tcPr>
            <w:tcW w:w="3980" w:type="dxa"/>
            <w:vAlign w:val="bottom"/>
          </w:tcPr>
          <w:p>
            <w:pPr>
              <w:ind w:left="40"/>
              <w:spacing w:after="0"/>
              <w:rPr>
                <w:sz w:val="20"/>
                <w:szCs w:val="20"/>
                <w:color w:val="auto"/>
              </w:rPr>
            </w:pPr>
            <w:r>
              <w:rPr>
                <w:rFonts w:ascii="Arial" w:cs="Arial" w:eastAsia="Arial" w:hAnsi="Arial"/>
                <w:sz w:val="18"/>
                <w:szCs w:val="18"/>
                <w:color w:val="auto"/>
                <w:w w:val="94"/>
              </w:rPr>
              <w:t>Investment Banking Fees of at Least $1 million from</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980" w:type="dxa"/>
            <w:vAlign w:val="bottom"/>
          </w:tcPr>
          <w:p>
            <w:pPr>
              <w:ind w:left="40"/>
              <w:spacing w:after="0"/>
              <w:rPr>
                <w:sz w:val="20"/>
                <w:szCs w:val="20"/>
                <w:color w:val="auto"/>
              </w:rPr>
            </w:pPr>
            <w:r>
              <w:rPr>
                <w:rFonts w:ascii="Arial" w:cs="Arial" w:eastAsia="Arial" w:hAnsi="Arial"/>
                <w:sz w:val="18"/>
                <w:szCs w:val="18"/>
                <w:color w:val="auto"/>
              </w:rPr>
              <w:t>Advisory Clients</w:t>
            </w:r>
          </w:p>
        </w:tc>
        <w:tc>
          <w:tcPr>
            <w:tcW w:w="82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Source: Thomson Reuters January 2, 2014</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Includes revenue generating clients only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Banking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versus 2012</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Net Investment Banking Revenues were $670.8 million in 2013 compared to $565.2 million in 2012, which represented an increase of 19%. We earned advisory fees from 358 clients in 2013 compared to 324 in 2012, representing a 10% increase. We had 132 fees in excess of $1.0 million in 2013, compared to 125 in 2012, representing a 6% increase. The increase in revenues from 2012 reflects the expansion of our existing businesses, including the addition of Senior Managing Directors, and a higher number of fee paying clients and large fees. Underwriting Revenue in 2013 was higher than in 2012 primarily as a result of an increased number of underwriting transactions during 2013, including at-the-market ("ATM") offerings, which were executed for the first time in 2013. Commission Revenue in 2013 was higher than in 2012 primarily as a result of increased volume in our U.S. business. Other Revenue in 2013 was higher than in 2012 primarily as a result of changes in state and local tax rates, which resulted in a $5.5 million adjustment in amounts due pursuant to tax receivable agreements during 2013.</w:t>
      </w:r>
    </w:p>
    <w:p>
      <w:pPr>
        <w:spacing w:after="0" w:line="1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Operating Expenses were $516.9 million in 2013, as compared to $444.5 million in 2012, an increase of $72.4 million, or 16%. Employee Compensation and Benefits Expense, as a component of Operating Expenses, was $396.8 million in 2013, as compared to $331.8 million in 2012, an increase of $65.0 million, or 20%. The increase was primarily due to higher discretionary incentive compensation, consistent with the overall increase in revenues, the expansion of our existing businesses and our new businesses and increased share-based compensation costs. Non-compensation expenses, as a component of Operating Expenses, were $120.1 million in 2013, as compared to $112.7 million in 2012, an increase of $7.4 million, or 7%. Non-compensation operating expenses increased from the prior year primarily driven by growth in the business. The increase in Investment Banking headcount has also led directly and indirectly to cost increases relating to travel, professional and regulatory fees.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Expenses of $33.7 million in 2013 included compensation costs associated with the vesting of LP Units and certain other awards of $17.8 million and acquisition related compensation costs of $15.9 million. Other Expenses of $50.8 million in 2012 included compensation costs associated with the vesting of LP Units and certain other awards of $18.6 million, acquisition related compensation costs of $28.2 million, Special Charges of $0.7 million and amortization of intangibles of $3.3 million.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Investment Banking Revenues were $565.2 million in 2012 compared to $428.1 million in 2011, which represented an increase of 32%. We earned advisory fees from 324 clients in 2012, compared to 245 clients in 2011, representing a 32% increase. We had 125 fees in excess of $1.0 million 2012, compared to 94 fees in 2011, representing a 33% increase. The increase in revenues from 2011 reflects the integration of Lexicon for the full year 2012 following the acquisition in August 2011. Also contributing to the increase in revenues for 2012 was the expansion of our existing businesses, including the addition of Senior Managing Directors.</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Operating Expenses were $444.5 million in 2012, as compared to $337.9 million in 2011, an increase of $106.6 million, or 32%. Employee Compensation and Benefits Expense, as a component of Operating Expenses, was $331.8 million in 2012, as compared to $249.7 million in 2011, an increase of $82.1 million, or 33%. The increase was due to compensation costs resulting primarily from increased headcount in our advisory business, including growth relating to the acquisition of Lexicon,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62" w:right="239" w:bottom="1440" w:gutter="0" w:footer="0" w:header="0"/>
        </w:sectPr>
      </w:pPr>
    </w:p>
    <w:bookmarkStart w:id="36" w:name="page37"/>
    <w:bookmarkEnd w:id="36"/>
    <w:p>
      <w:pPr>
        <w:spacing w:after="0" w:line="276" w:lineRule="auto"/>
        <w:rPr>
          <w:sz w:val="20"/>
          <w:szCs w:val="20"/>
          <w:color w:val="auto"/>
        </w:rPr>
      </w:pPr>
      <w:r>
        <w:rPr>
          <w:rFonts w:ascii="Arial" w:cs="Arial" w:eastAsia="Arial" w:hAnsi="Arial"/>
          <w:sz w:val="17"/>
          <w:szCs w:val="17"/>
          <w:color w:val="auto"/>
        </w:rPr>
        <w:t>higher costs associated with employee separation arrangements and higher share-based compensation costs, including costs associated with the revised retirement eligibility criteria. Non-compensation expenses, as a component of Operating Expenses, were $112.7 million in 2012, as compared to $88.2 million in 2011, an increase of $24.5 million, or 28%. Non-compensation operating expenses increased from the prior year primarily driven by growth in the business, as well as additional costs from our acquisition of Lexicon and higher occupancy costs. The increase in Investment Banking headcount has also led directly and indirectly to cost increases relating to occupancy, travel, professional and regulatory fees.</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Expenses of $50.8 million in 2012 included compensation costs associated with the vesting of LP Units and certain other awards of $18.6 million, acquisition related compensation charges of $28.2 million, Special Charges of $0.7 million and amortization of intangibles of $3.3 million. Other Expenses of $55.6 million in 2011 included compensation costs associated with the vesting of LP Units and certain other awards of $21.3 million, charges related to the vesting of Event-based awards of $8.9 million, acquisition related compensation charges of $14.6 million, Special Charges of $3.9 million and amortization of intangibles of $6.8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9"/>
          </w:tcPr>
          <w:p>
            <w:pPr>
              <w:ind w:left="740"/>
              <w:spacing w:after="0"/>
              <w:rPr>
                <w:sz w:val="20"/>
                <w:szCs w:val="20"/>
                <w:color w:val="auto"/>
              </w:rPr>
            </w:pPr>
            <w:r>
              <w:rPr>
                <w:rFonts w:ascii="Arial" w:cs="Arial" w:eastAsia="Arial" w:hAnsi="Arial"/>
                <w:sz w:val="14"/>
                <w:szCs w:val="14"/>
                <w:b w:val="1"/>
                <w:bCs w:val="1"/>
                <w:color w:val="auto"/>
              </w:rPr>
              <w:t>For the Years Ended December 31,</w:t>
            </w:r>
          </w:p>
        </w:tc>
        <w:tc>
          <w:tcPr>
            <w:tcW w:w="1680" w:type="dxa"/>
            <w:vAlign w:val="bottom"/>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 v. 2012</w:t>
            </w:r>
          </w:p>
        </w:tc>
        <w:tc>
          <w:tcPr>
            <w:tcW w:w="11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7"/>
              </w:rPr>
              <w:t>2012 v. 2011</w:t>
            </w:r>
          </w:p>
        </w:tc>
      </w:tr>
      <w:tr>
        <w:trPr>
          <w:trHeight w:val="196"/>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Investment Advisory and Management Fees: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Wealth Management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37%</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Institutional Asset Management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43,971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32"/>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 Equity</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36%</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w w:val="99"/>
              </w:rPr>
              <w:t>Total Investment Advisory and Management Fees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81,772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Institutional Asset Management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33%</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 Equity</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NM</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Realized and Unrealized Gains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228%</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Management Revenue (1)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Revenue, net (2)</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58%</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Management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
        </w:trPr>
        <w:tc>
          <w:tcPr>
            <w:tcW w:w="4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Operating Income (Loss) (3)</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NM</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NM</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(Loss) from Equity Method Investments (4)</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Pre-Tax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15,471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NM</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NM</w:t>
            </w: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5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transaction-related client reimbursements of $0.1 million, $0.5 million and $0.6 million for the years ended December 31, 2013, 2012 and 2011, respectively.</w:t>
      </w:r>
    </w:p>
    <w:p>
      <w:pPr>
        <w:spacing w:after="0" w:line="1" w:lineRule="exact"/>
        <w:rPr>
          <w:rFonts w:ascii="Arial" w:cs="Arial" w:eastAsia="Arial" w:hAnsi="Arial"/>
          <w:sz w:val="18"/>
          <w:szCs w:val="18"/>
          <w:color w:val="auto"/>
        </w:rPr>
      </w:pPr>
    </w:p>
    <w:p>
      <w:pPr>
        <w:ind w:left="340" w:right="420" w:hanging="332"/>
        <w:spacing w:after="0" w:line="28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interest expense on the Senior Notes of $3.7 million, $3.6 million and $3.6 million for the years ended December 31, 2013, 2012 and 2011, respectively, and changes in amounts due pursuant to tax receivable agreements of $1.4 million for the year ended December 31, 2013.</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Noncontrolling Interest of $1.1 million, $0.4 million and $2.6 million for the years ended December 31, 2013, 2012 and 2011, respectively.</w:t>
      </w:r>
    </w:p>
    <w:p>
      <w:pPr>
        <w:spacing w:after="0" w:line="20" w:lineRule="exact"/>
        <w:rPr>
          <w:rFonts w:ascii="Arial" w:cs="Arial" w:eastAsia="Arial" w:hAnsi="Arial"/>
          <w:sz w:val="17"/>
          <w:szCs w:val="17"/>
          <w:color w:val="auto"/>
        </w:rPr>
      </w:pPr>
    </w:p>
    <w:p>
      <w:pPr>
        <w:ind w:left="340" w:right="36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in G5 ǀ Evercore, ABS and Pan is classified as Income from Equity Method Investments. The Company's investment in Pan was consolidated during the first quarter of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Investment Management Results of Operations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Wealth Management business includes the results of EWM. Our Institutional Asset Management business includes the results of ETC, ECB and Atalanta Sosnoff. Fee-based revenues from EWM, Atalanta Sosnoff and ECB are primarily earned on a percentage of AUM, while ETC primarily earns fees from negotiated trust services and fiduciary consulting arrangements.</w:t>
      </w:r>
    </w:p>
    <w:p>
      <w:pPr>
        <w:spacing w:after="0" w:line="12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June 2013, the Company held a fourth and final closing on EMCP III, a private equity fund focused on middle market investments in Mexico. See Note 9 of our consolidated financial statements for further information.</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ECP II earns management fees of 1% of invested capital through December 21, 2013, the technical termination of the fund. No management fees were earned by the Company in 2013. We earn management fees on EMCP II and EMCP III of 2.0% per annum of committed capital during its investment period, and 2.0% per annum on net funded capital thereafter. In addition, the general partner of the private equity funds earns carried interest of 20% based on the fund’s performance, provided it exceeds preferred return hurdles to its limited partners. We own 8%-9% of the carried interest earned by the general partner of ECP II. A significant portion of any gains recognized related to ECP II, EMCP II and EMCP III, and any carried interest recognized by them, are distributed to certain of our private equity professionals.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event the funds perform below certain thresholds we may be obligated to repay certain carried interest previously distributed. As of December 31, 2013, we had $2.7 million of previously received carried interest that may be subject to repayment.</w:t>
      </w:r>
    </w:p>
    <w:p>
      <w:pPr>
        <w:spacing w:after="0" w:line="84" w:lineRule="exact"/>
        <w:rPr>
          <w:sz w:val="20"/>
          <w:szCs w:val="20"/>
          <w:color w:val="auto"/>
        </w:rPr>
      </w:pPr>
    </w:p>
    <w:p>
      <w:pPr>
        <w:ind w:right="360" w:firstLine="432"/>
        <w:spacing w:after="0" w:line="315" w:lineRule="auto"/>
        <w:rPr>
          <w:sz w:val="20"/>
          <w:szCs w:val="20"/>
          <w:color w:val="auto"/>
        </w:rPr>
      </w:pPr>
      <w:r>
        <w:rPr>
          <w:rFonts w:ascii="Arial" w:cs="Arial" w:eastAsia="Arial" w:hAnsi="Arial"/>
          <w:sz w:val="18"/>
          <w:szCs w:val="18"/>
          <w:color w:val="auto"/>
        </w:rPr>
        <w:t>We made investments accounted for under the equity method of accounting in G5 ǀ Evercore and ABS during the fourth quarters of 2010 and 2011, respectively, the results of which are included within Income from Equity Method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225"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AUM for our Investment Management business of $13.6 billion at December 31, 2013 increased from $12.1 billion at December 31, 2012. The amounts of AUM presented in the table below reflect the assets for which we charge a management fee. These assets reflect the fair value of assets managed on behalf of Institutional Asset Management and Wealth Management clients, and the amount of either the invested or committed capital of the Private Equity funds.</w:t>
      </w:r>
    </w:p>
    <w:p>
      <w:pPr>
        <w:ind w:right="100"/>
        <w:spacing w:after="0" w:line="268" w:lineRule="auto"/>
        <w:rPr>
          <w:sz w:val="20"/>
          <w:szCs w:val="20"/>
          <w:color w:val="auto"/>
        </w:rPr>
      </w:pPr>
      <w:r>
        <w:rPr>
          <w:rFonts w:ascii="Arial" w:cs="Arial" w:eastAsia="Arial" w:hAnsi="Arial"/>
          <w:sz w:val="17"/>
          <w:szCs w:val="17"/>
          <w:color w:val="auto"/>
        </w:rPr>
        <w:t xml:space="preserve">As defined in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valuations performed for Level I investments are based on quoted prices obtained from active markets generated by third parties and Level II investments are valued through the use of models based on either direct or indirect observable inputs in the use of models or other valuation methodologies performed by third parties to determine fair value. For both the Level I and Level II investments, we obtain both active quotes from nationally recognized exchanges and third-party pricing services to determine market or fair value quotes, respectively. Wealth Management maintained 63% and 60% of Level I investments and 37% and 40% of Level II investments as of December 31, 2013 and December 31, 2012, respectively, and Institutional Asset Management maintained 91% and 89% of Level I investments and 9% and 11% of Level II investments as of December 31, 2013 and December 31, 2012, respectively. As noted above, Private Equity AUM is not presented at fair value, but reported at either invested or committed capital in line with fee arrangements.</w:t>
      </w:r>
    </w:p>
    <w:p>
      <w:pPr>
        <w:spacing w:after="0" w:line="18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fees that we receive for providing investment advisory and management services are primarily driven by the level and composition of AUM. Accordingly, client flows, market movements, foreign currency fluctuations and changes in our product mix will impact the level of management fees we receive from our investment management businesses. Fees vary with the type of assets managed and the channel in which they are managed, with higher fees earned on equity assets, alternative investment funds, such as hedge funds and private equity funds, and lower fees earned on fixed income and cash management products. Clients will increase or reduce the aggregate amount of AUM that we manage for a number of reasons, including changes in the level of assets that they have available for investment purposes, their overall asset allocation strategy, our relative performance versus competitors offering similar investment products and the quality of our service. The fees we earn are also impacted by our investment performance, as the appreciation or depreciation in the value of the assets that we manage directly impacts our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color w:val="auto"/>
        </w:rPr>
        <w:t>The following table summarizes AUM activity for the years ended December 31, 2013 and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Wealth</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Institutional</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Private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Asset</w:t>
            </w: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Management</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Management</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Equity</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Inflows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Outflows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Inflows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Outflows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 Balance at December 31, 2013: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G5 ǀ Evercore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Note: Amounts above exclude AUM associated with Pan. Results for Pan were reclassified to Discontinued Operations during the third quarter of 2013.</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represents the composition of our AUM for Wealth Management and Institutional Asset Management as of December 31, 2013:</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4"/>
              </w:rPr>
              <w:t>Wealth Management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7"/>
              </w:rPr>
              <w:t>Institutional Asset Management</w:t>
            </w: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0" w:type="dxa"/>
            <w:vAlign w:val="bottom"/>
          </w:tcPr>
          <w:p>
            <w:pPr>
              <w:spacing w:after="0"/>
              <w:rPr>
                <w:sz w:val="21"/>
                <w:szCs w:val="21"/>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Liquidity (1)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Alternatives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(1) Includes cash and cash equivalents and U.S. treasury securities.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Wealth Management business serves individuals, families and related institutions delivering customized investment management, financial planning, and trust and custody services. Investment portfolios are tailored to meet the investment objectives of individual clients and reflect a blend of equity, fixed income and other products. Fees charged to clients reflect the composition of the assets managed and the services provided. Investment performance in the Wealth Management businesses is measured against appropriate indices based on the AUM, most frequently the S&amp;P 500 and a composite fixed income index principally reflecting BarCap and MSCI indices.</w:t>
      </w:r>
    </w:p>
    <w:p>
      <w:pPr>
        <w:spacing w:after="0" w:line="188"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In 2013, AUM for Wealth Management increased 7%, reflecting a 10% increase due to market appreciation partially offset by a 3% decrease due to flows. Wealth Management outperformed the S&amp;P 500 on a 1 and 3 year basis by 8% and 1%, respectively, during the period and tracked the fixed income composite. For the period, the S&amp;P 500 was up 32%, while the fixed income composite declined by 1%.</w:t>
      </w:r>
    </w:p>
    <w:p>
      <w:pPr>
        <w:spacing w:after="0" w:line="18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In 2012, AUM for Wealth Management increased 40%, reflecting a 33% increase due to flows and 7% for market appreciation. Positive flows of $1.1 billion were made up of $0.6 billion of AUM associated with the acquisition of Mt. Eden during the fourth quarter of 2012 and $0.5 billion reflecting net client inflows. Wealth Management had positive performance in 2012, but it lagged the S&amp;P 500 on a 1 and 3 year basis by 5% and 2%, respectively, and outperformed the fixed income composite. For the year, the S&amp;P 500 was up 16%, while the fixed income composite was up 3%.</w:t>
      </w:r>
    </w:p>
    <w:p>
      <w:pPr>
        <w:spacing w:after="0" w:line="17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Institutional Asset Management business reflects assets managed by Atalanta Sosnoff and ECB. Atalanta Sosnoff manages large-capitalization U.S. equity and balanced products, while, ECB primarily manages Mexican Government and Corporate fixed income securities. ECB also began to manage equity products in 2009.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ind w:right="20" w:firstLine="486"/>
        <w:spacing w:after="0" w:line="264" w:lineRule="auto"/>
        <w:rPr>
          <w:sz w:val="20"/>
          <w:szCs w:val="20"/>
          <w:color w:val="auto"/>
        </w:rPr>
      </w:pPr>
      <w:r>
        <w:rPr>
          <w:rFonts w:ascii="Arial" w:cs="Arial" w:eastAsia="Arial" w:hAnsi="Arial"/>
          <w:sz w:val="18"/>
          <w:szCs w:val="18"/>
          <w:color w:val="auto"/>
        </w:rPr>
        <w:t>Atalanta Sosnoff principally utilizes the S&amp;P 500 Index as a benchmark in reviewing their performance and managing their investment decisions, while ECB utilizes the IPC Index, which is a capitalization weighted index of leading equities traded on the Mexican Stock Exchange and the Cetes 28 Index, which is an index of Treasury Bills issued by the Mexican Government.</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2013, AUM for Institutional Asset Management increased 18%, reflecting a 19% increase for market appreciation partially offset by a 1% decrease due to flows. The increase in AUM driven by market appreciation principally reflects the significant increase in the S&amp;P 500 for the period and Atalanta Sosnoff’s outperformance versus the index by 3%. Market appreciation for the period also reflects ECB outperforming the indices in all strategies. Negative flows of $0.1 billion primarily relate to equity products. While AUM for Atalanta Sosnoff decreased, as their three year performance continued to lag the benchmark and equity, AUM for ECB increased, reflecting strong investment performance and the continued marketing efforts to expand the market share of the business.</w:t>
      </w:r>
    </w:p>
    <w:p>
      <w:pPr>
        <w:spacing w:after="0" w:line="19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2012, AUM for Institutional Asset Management declined 23%, reflecting a 34% decrease due to flows partially offset by an 11% increase for market appreciation. Negative flows of $3.1 billion were principally related to Atalanta Sosnoff, which had annualized performance that lagged the S&amp;P 500 by 9% for the two year period ending December 31, 2011. The market appreciation in 2012 reflects ECB outperforming the indices in all strategies, as well as the impact of foreign exchange, and Atalanta Sosnoff returning 16% for the year, matching the S&amp;P 500.</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Private Equity business includes the assets of funds which our Private Equity professionals manage. These funds include ECP II, Discovery Americas I, L.P., EMCP II and EMCP III. AUM for Private Equity reflects net outflows in 2013 and 2012 primarily related to increased capital commitments associated with the launch of EMCP III, offset by returns of invested capital at ECP II.</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AUM from our unconsolidated affiliates increased from 2012 primarily related to positive performance in ABS.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versus 2012</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Net Investment Management Revenues were $94.6 million in 2013, compared to $77.2 million in 2012. Fee-based revenues earned from the management of client portfolios and other investment advisory services increased 8% from 2012, primarily reflecting an increase in AUM in Wealth Management, which includes our acquisition of Mt. Eden in December 2012 and higher fees from Private Equity. Fee-based revenues included $0.5 million of revenues from performance fees during 2013 compared to $0.5 million in 2012. Realized and Unrealized Gains increased from the prior year primarily resulting from gains in our private equity funds, which were principally driven by realized and unrealized gains on portfolio companies in Mexico, as well as additional carried interest earned from Trilantic Fund IV, and increased gains in Institutional Asset Management. Income (Loss) from Equity Method Investments increased from 2012 primarily as a result of an increase in earnings from our investment in ABS. Other Revenue in 2013 was higher than in 2012 primarily as a result of changes in state and local tax rates, which resulted in a $1.4 million adjustment in amounts due pursuant to tax receivable agreements during 2013.</w:t>
      </w:r>
    </w:p>
    <w:p>
      <w:pPr>
        <w:spacing w:after="0" w:line="14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Operating Expenses were $81.9 million in 2013, as compared to $78.9 million in 2012, an increase of $3.0 million, or 4%. Employee Compensation and Benefits Expense, as a component of Operating Expenses, was $53.1 million in 2013, as compared to $49.7 million in 2012, an increase of $3.4 million, or 7%. The increase was due primarily to higher discretionary incentive compensation, consistent with the overall increase in revenues and our acquisition of Mt. Eden in December 2012. Non-compensation expenses, as a component of Operating Expenses, were $28.8 million in 2013, as compared to $29.2 million in 2012, a decrease of $0.4 million, or 1%.</w:t>
      </w:r>
    </w:p>
    <w:p>
      <w:pPr>
        <w:spacing w:after="0" w:line="134"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Other Expenses of $2.7 million in 2013 included compensation costs associated with the vesting of LP Units and certain other awards of $2.2 million, Special Charges of $0.2 million and amortization of intangibles of $0.3 million. Other Expenses of $2.7 million in 2012 included compensation costs associated with the vesting of LP Units and certain other awards of $2.4 million and amortization of intangibles of $0.3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Investment Management Revenues were $77.2 million in 2012, compared to $96.1 million in 2011. Fee-based revenues earned from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 of client portfolios and other investment advisory services decreased 15% from 2011 reflecting a decline in AUM starting in the second 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primarily in Institutional Asset Management. Fee-based revenues included $0.5 million of revenues from performance fees during 2012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in 2011. Realized and Unrealized Gains (Losses) decreased from the prior year primarily resulting from losses in our private equity funds,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principally driven by unrealized losses on portfolio companies in the U.S., as well as the effect of carried interest from Trilantic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41" w:right="259" w:bottom="1440" w:gutter="0" w:footer="0" w:header="0"/>
        </w:sectPr>
      </w:pPr>
    </w:p>
    <w:bookmarkStart w:id="40" w:name="page41"/>
    <w:bookmarkEnd w:id="40"/>
    <w:p>
      <w:pPr>
        <w:ind w:right="520"/>
        <w:spacing w:after="0" w:line="277" w:lineRule="auto"/>
        <w:rPr>
          <w:sz w:val="20"/>
          <w:szCs w:val="20"/>
          <w:color w:val="auto"/>
        </w:rPr>
      </w:pPr>
      <w:r>
        <w:rPr>
          <w:rFonts w:ascii="Arial" w:cs="Arial" w:eastAsia="Arial" w:hAnsi="Arial"/>
          <w:sz w:val="18"/>
          <w:szCs w:val="18"/>
          <w:color w:val="auto"/>
        </w:rPr>
        <w:t>earned during the second quarter of 2011. Income (Loss) from Equity Method Investments increased from the prior year as a result of income from our investment in ABS.</w:t>
      </w:r>
    </w:p>
    <w:p>
      <w:pPr>
        <w:spacing w:after="0" w:line="11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Operating Expenses were $78.9 million in 2012, as compared to $89.3 million in 2011, a decrease of $10.4 million, or 12%. Employee Compensation and Benefits Expense, as a component of Operating Expenses, was $49.7 million in 2012, as compared to $58.2 million in 2011, a decrease of $8.5 million, or 15%. The decrease was due primarily to lower discretionary incentive compensation consistent with the overall decrease in profitability. Non-compensation expenses, as a component of Operating Expenses, were $29.2 million in 2012, as compared to $31.0 million in 2011, a decrease of $1.8 million, or 6%.</w:t>
      </w:r>
    </w:p>
    <w:p>
      <w:pPr>
        <w:spacing w:after="0" w:line="100"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Other Expenses of $2.7 million in 2012 included compensation costs associated with the vesting of LP Units and certain other awards of $2.4 million and amortization of intangibles of $0.3 million. Other Expenses of $5.7 million in 2011 included compensation costs associated with the vesting of LP Units and certain other awards of $2.9 million, charges related to the vesting of Event-based awards of $2.5 million and amortization of intangibles of $0.3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operating cash flows are primarily influenced by the timing and receipt of investment banking and investment management fees, and the payment of operating expenses, including bonuses to our employees and interest expense on our Senior Notes. Investment Banking advisory fees are generally collected within 90 days of billing. However, placement fees may be collected within 180 days of billing, with certain fees being collected in a period exceeding one year. Management fees from our private equity investment management activities are generally billed in advance but collected at the end of a half year period from billing. Fees from our Wealth Management and Institutional Asset Management businesses are generally billed and collected within 90 days. We traditionally pay a substantial portion of incentive compensation to personnel in the Investment Banking business and to executive officers during the first three months of each calendar year with respect to the prior year’s results. Our investing and financing cash flows are primarily influenced by activities to deploy capital to fund investments and acquisitions, raise capital through the issuance of stock or debt, repurchase of outstanding Class A shares, and/or noncontrolling interest in Evercore LP, as well as our other subsidiaries, payment of dividends and other periodic distributions to our stakeholders. We generally make dividend payments and other distributions on a quarterly basis. A summary of our operating, investing and financing cash flows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2"/>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196"/>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Provided By (Used In)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149,933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126,336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122,250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198,714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160,158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147,836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(77,344)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(149,796)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(25,081)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76,526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41,568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259,431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182,905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141,337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298,453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259,431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2013. </w:t>
      </w:r>
      <w:r>
        <w:rPr>
          <w:rFonts w:ascii="Arial" w:cs="Arial" w:eastAsia="Arial" w:hAnsi="Arial"/>
          <w:sz w:val="18"/>
          <w:szCs w:val="18"/>
          <w:color w:val="auto"/>
        </w:rPr>
        <w:t>Cash and Cash Equivalents were $298.5 million at December 31, 2013, an increase of $39.0 million versus Cash and Cash Equivalents of $259.4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at December 31, 2012. Operating activities resulted in a net inflow of $198.7 million, primarily related to earnings. Cash of $8.9 million was used in investing activities primarily related to net purchases of marketable securities and investments and purchases of furniture, equipment and leasehold improvements. Financing activities during the period used cash of $149.8 million, primarily for the payment of dividends and distributions to noncontrolling interest holders, as well as treasury stock and noncontrolling interest purchases.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06" w:right="259" w:bottom="1440" w:gutter="0" w:footer="0" w:header="0"/>
        </w:sectPr>
      </w:pPr>
    </w:p>
    <w:bookmarkStart w:id="41" w:name="page42"/>
    <w:bookmarkEnd w:id="41"/>
    <w:p>
      <w:pPr>
        <w:ind w:right="80" w:firstLine="432"/>
        <w:spacing w:after="0" w:line="276" w:lineRule="auto"/>
        <w:rPr>
          <w:sz w:val="20"/>
          <w:szCs w:val="20"/>
          <w:color w:val="auto"/>
        </w:rPr>
      </w:pPr>
      <w:r>
        <w:rPr>
          <w:rFonts w:ascii="Arial" w:cs="Arial" w:eastAsia="Arial" w:hAnsi="Arial"/>
          <w:sz w:val="17"/>
          <w:szCs w:val="17"/>
          <w:b w:val="1"/>
          <w:bCs w:val="1"/>
          <w:i w:val="1"/>
          <w:iCs w:val="1"/>
          <w:color w:val="auto"/>
        </w:rPr>
        <w:t xml:space="preserve">2012. </w:t>
      </w:r>
      <w:r>
        <w:rPr>
          <w:rFonts w:ascii="Arial" w:cs="Arial" w:eastAsia="Arial" w:hAnsi="Arial"/>
          <w:sz w:val="17"/>
          <w:szCs w:val="17"/>
          <w:color w:val="auto"/>
        </w:rPr>
        <w:t>Cash and Cash Equivalents were $259.4 million at December 31, 2012, an increase of $76.5 million versus Cash and Cash Equivalents of $182.9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at December 31, 2011. Operating activities resulted in a net inflow of $160.2 million, primarily related to earnings. Cash of $24.9 million was provided by investing activities primarily related to net proceeds from maturities and sales of our marketable securities, offset by fixed assets purchased, primarily related to new office space in the UK, and cash paid for acquisitions. Financing activities during the period used cash of $110.0 million, primarily for the payment of dividends, distributions to noncontrolling interest holders and treasury stock purchases.</w:t>
      </w:r>
    </w:p>
    <w:p>
      <w:pPr>
        <w:spacing w:after="0" w:line="11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b w:val="1"/>
          <w:bCs w:val="1"/>
          <w:i w:val="1"/>
          <w:iCs w:val="1"/>
          <w:color w:val="auto"/>
        </w:rPr>
        <w:t xml:space="preserve">2011. </w:t>
      </w:r>
      <w:r>
        <w:rPr>
          <w:rFonts w:ascii="Arial" w:cs="Arial" w:eastAsia="Arial" w:hAnsi="Arial"/>
          <w:sz w:val="17"/>
          <w:szCs w:val="17"/>
          <w:color w:val="auto"/>
        </w:rPr>
        <w:t>Cash and Cash Equivalents were $182.9 million at December 31, 2011, an increase of $41.6 million versus Cash and Cash Equivalents of $141.3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at December 31, 2010. Operating activities resulted in a net inflow of $147.8 million, primarily related to earnings excluding non-cash charges, which reflect share-based compensation and other deferred compensation. Cash of $77.3 million was used in investing activities primarily due to cash paid for acquisitions and the Company’s investment in ABS, made during the fourth quarter of 2011, offset by net proceeds from sales and maturities of Marketable Securities. Financing activities during the period used cash of $25.1 million, primarily for the purchase of LP Units, payment of dividends, distributions to Members of Evercore LP and treasury stock purchases offset by the issuance and sale of Class A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current assets include Cash and Cash Equivalents, Marketable Securities and Accounts Receivable relating to Investment Banking and Investment Management revenues. Our current liabilities include accrued expenses and accrued employee compensation. We traditionally have made payments for employee bonus awards and year-end distributions to partners in the first quarter of the year with respect to the prior year’s results. Cash distributions related to partnership tax allocations are made to the partners of Evercore LP in accordance with our corporate estimated payment calendar; these payments are made prior to the end of each calendar quarter. In addition, dividends on Class A Shares are paid when and if declared by the Board of Directors, which is generally quarterly.</w:t>
      </w:r>
    </w:p>
    <w:p>
      <w:pPr>
        <w:spacing w:after="0" w:line="13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regularly monitor our liquidity position, including cash, other significant working capital, current assets and liabilities, long-term liabilities, lease commitments and related fixed assets, principal investment commitments related to our Investment Management business, dividends on Class A Shares, partnership distributions and other capital transactions, as well as other matters relating to liquidity and compliance with regulatory requirements. Our liquidity is highly dependent on our revenue stream from our operations, principally from our Investment Banking business, which is a function of closing transactions and earning success fees, the timing and realization of which is irregular and dependent upon factors that are not subject to our control. Our revenue stream funds the payment of our expenses, including annual bonus payments, a portion of which are guaranteed, interest expense on our Senior Notes and income taxes. Payments made for income taxes may be reduced by deductions taken for the increase in tax basis of our investment in Evercore LP.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requirements and commitments. The result of this review contributes to management’s recommendation to the Board of Directors as to the level of quarterly dividend payments, if any.</w:t>
      </w:r>
    </w:p>
    <w:p>
      <w:pPr>
        <w:spacing w:after="0" w:line="11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Revenue generated by our advisory activities is related to the number and value of the transactions in which we are involved. During periods of unfavorable market or economic conditions, the number and value of M&amp;A transactions generally decrease, and they generally increase during periods of favorable market or economic conditions. Restructuring activity generally is counter-cyclical to M&amp;A activity. In addition, during periods of unfavorable market conditions our Investment Management business may be impacted by reduced equity valuations and generate relatively lower revenue because fees we receive typically are in part based on the market value of underlying publicly-traded securities. Our profitability may also be adversely affected by our fixed costs and the possibility that we would be unable to scale back other costs within a time frame and in an amount sufficient to match any decreases in revenue relating to changes in market and economic conditions. Reduced equity valuations resulting from future adverse economic events and/or market conditions may impact our performance and may result in future net redemptions of AUM from our clients, which would generally result in lower revenues and cash flows. For a further discussion of risks related to our business, refer to “Risk Factors” elsewhere in this Form 10-K.</w:t>
      </w:r>
    </w:p>
    <w:p>
      <w:pPr>
        <w:spacing w:after="0" w:line="11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periodically repurchase Class A Shares and/or LP Units into Treasury in order to reduce the dilutive effect of equity awards granted. In addition, we may from time to time, purchase noncontrolling interests in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October 2013 our Board of Directors authorized the repurchase of additional Class A Shares and/or LP Units so that going forward Evercore will be able to repurchase an aggregate of 5 million Class A Shares and/or LP Units for up to $250.0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13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October 2012, our Board of Directors authorized the repurchase of up to an additional 5 million Class A Shares and/or LP Units for up to $125.0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2013, we repurchased 1,490,473 shares and LP Units for $55.3 million pursuant to our repurchase program.</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addition, periodically, we buy shares into treasury from our employees in order to allow them to satisfy their minimum tax requirements for share deliveries under our share equity plan. During 2013, we repurchased 983,108 shares for $38.5 million primarily related to minimum tax withholding requirements of share deliveries.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2013, we purchased, at fair value, all of the noncontrolling interest in ETC for $7.9 million. This purchase was settled on July 19, 2013.</w:t>
      </w:r>
    </w:p>
    <w:p>
      <w:pPr>
        <w:spacing w:after="0" w:line="18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On August 21, 2008, we entered into a Purchase Agreement with Mizuho pursuant to which Mizuho purchased from us $120.0 million principal amount of Senior Notes and Warrants to purchase 5,454,545 Class A Shares at $22.00 per share expiring in 2020. The holder of the Senior Notes may require us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our option at any time within 90 days following the date on which Mizuho notifies us that it is terminating their Strategic Alliance Agreement. Senior Notes held by any holder other than Mizuho will be redeemable at the Accreted Amount (plus accrued and unpaid interest) at our option at any time. In the event of a default under the indenture, the trustee or holders of 33 1/3% of the Senior Notes may declare that the Accreted Amount is immediately due and payable.</w:t>
      </w:r>
    </w:p>
    <w:p>
      <w:pPr>
        <w:spacing w:after="0" w:line="13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Pursuant to the agreement, Mizuho may transfer (A) the Senior Notes (i) with the Company’s consent, (ii) to a permitted transferee, or (iii) to the extent that such transfer does not result in any holder or group of affiliated holders directly or indirectly owning more than 15% of the aggregate principal amount of the Senior Notes, and (B) the Warrants (i) with the Company’s consent, (ii) to a permitted transferee, (iii) pursuant to a tender or exchange offer, or a merger or sale transaction involving the Company that has been recommended by the Company’s Board of Directors, or (iv) to the extent that such transfer is made pursuant to a widely distributed public offering or does not result in any holder or group of affiliated holders directly or indirectly owning more than 2% of the Company’s voting securities and the total shares of Class A common stock transferred, together with any shares of shares of Class A common stock (on an as-converted basis) transferred during the preceding 12 months, is less than 25% of the Company’s outstanding Class A common stock. The Company has a right of first offer on any proposed transfer by Mizuho of the Warrants, Common Stock purchased in the open market or acquired by exercise of the Warrants and associated Common Stock issued as dividends.</w:t>
      </w:r>
    </w:p>
    <w:p>
      <w:pPr>
        <w:spacing w:after="0" w:line="12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16"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Purchase Agreement with Mizuho, Evercore is subject to certain nonfinancial covenants. As of December 31, 2013, we were in compliance with all of these covenants.</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have made certain capital commitments, with respect to our investment activities, as well as commitments related to redeemable noncontrolling interest and contingent consideration from our acquisitions, which are included in the Contractual Obligations section below.</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2013, we established a $25.0 million line of credit with First Republic Bank for funding working capital and other corporate activities. This facility is secured with certain of our Accounts Receivable outstanding from the date of the agreement and/or restricted cash included in Other Assets on the Consolidated Statements of Financial Condition. The interest rate on this facility is the U.S. prime rate. There were no monies drawn on this facility as of December 31, 2013. On February 5, 2014 $25.0 million was drawn on this facility.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ECB maintains a line of credit with BBVA Bancomer to fund its trading activities on an intra-day and overnight basis. The intra-day facility is approximately $11.5 million and is secured with trading securities when used on an overnight basis. No interest is charged on the intra-day facility. The overnight facility is charged the Inter-Bank Balance Interest Rate plus 10 basis points and is secured with trading securities. There have been no significant monies drawn on ECB’s line of credit since August 10, 2006. The line of credit is renewable annually.</w:t>
      </w:r>
    </w:p>
    <w:p>
      <w:pPr>
        <w:spacing w:after="0" w:line="11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Pursuant to deferred compensation and deferred consideration arrangements, we are obligated to make cash payments in future periods. For further information see Note 17 to our consolidated financial statements.</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Certain of our subsidiaries are regulated entities and are subject to capital requirements. For further information see Note 19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Financing Activity at ECB</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ECB enters into repurchase agreements with clients seeking overnight money market returns whereby ECB transfers to the clients Mexican government securities in exchange for cash and concurrently agrees to repurchase the securities at a future date for an amount equal to the cash exchanged plus a stipulated premium or interest factor. ECB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Statements of Financial Condition in relation to repurchase transactions executed with clients as Securities Sold Under Agreements to Repurchase. We record as assets on our Consolidated Statements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repurchase agreements by entering into reverse repurchase agreements with unrelated third parties). These Mexican government securities included in Financial Instruments Owned and Pledged as Collateral at Fair Value on the Consolidated Statements of Financial Condition have an estimated average time to maturity of approximately 1.8 years, as of December 31, 2013,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ECB, generally mature within one business day and permit the counterparty to pledge the securities. Increases and decreases in asset and liability levels related to these transactions are a function of growth in ECB’s AUM, as well as clients’ investment allocations requiring positioning in repurchase transactions.</w:t>
      </w:r>
    </w:p>
    <w:p>
      <w:pPr>
        <w:spacing w:after="0" w:line="11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ECB has procedures in place to monitor the daily risk limits for positions taken, as well as the credit risk based on the collateral pledged under these agreements against their contract value from inception to maturity date. The daily risk measure is Value at Risk (“VaR”), which is a statistical measure, at a 98% confidence level, of the potential daily losses from adverse market movements in an ordinary market environment based on a historical simulation using the prior year’s historical data. ECB’s Risk Management Committee (the “Committee”) has established a policy to maintain VaR at levels below 0.1% of the value of the portfolio. If at any point in time the threshold is exceeded, ECB personnel are alerted by an automated interface with ECB’s trading systems and begin to make adjustments in the portfolio in order to mitigate the risk and bring the portfolio in compliance. Concurrently, ECB personnel must notify the Committee of the variance and the actions taken to reduce the exposure to loss.</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addition to monitoring VaR, ECB periodically performs discrete stress tests (“Stress Tests”) to assure that the level of potential losses that would arise from extreme market movements that may not be anticipated by VaR measures are within acceptable levels. The table below includes a key stress test monitored by the Committee, noted as the sensitivity to a 100 basis point change in interest rates. This analysis assists ECB in understanding the impact of an extreme move in rates, assuring the Collateralized Financing portfolio is structured to maintain risk at an acceptable level, even in extreme circumstances.</w:t>
      </w:r>
    </w:p>
    <w:p>
      <w:pPr>
        <w:spacing w:after="0" w:line="10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Committee meets monthly to analyze the overall market risk exposure based on positions taken, as well as the credit risk, based on the collateral pledged under these agreements against the contract value from inception to maturity date. In these meetings the Committee evaluates risk from an operating perspective, VaR, and an exceptional perspective, Stress Tests, to determine the appropriate level of risk limits in the current environment.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periodically assess the collectability or credit quality related to securities purchased under agreements to resell.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As of December 31, 2013 and 2012, a summary of ECB’s assets, liabilities and risk measures related to its collateralized financing activities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Market Value of</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119"/>
              <w:spacing w:after="0" w:line="153"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Amount</w:t>
            </w: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Collateral Received or</w:t>
            </w:r>
          </w:p>
        </w:tc>
        <w:tc>
          <w:tcPr>
            <w:tcW w:w="320" w:type="dxa"/>
            <w:vAlign w:val="bottom"/>
          </w:tcPr>
          <w:p>
            <w:pPr>
              <w:spacing w:after="0"/>
              <w:rPr>
                <w:sz w:val="12"/>
                <w:szCs w:val="12"/>
                <w:color w:val="auto"/>
              </w:rPr>
            </w:pP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Collateral Received or</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(Pledged)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(Pledged)</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2"/>
              </w:rPr>
              <w:t>Financial Instruments Owned and Pledged as Collateral at Fair</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56,311</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120,594</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Purchased Under Agreements to Resell</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19,112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75,445</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120,594</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(75,563)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(120,787)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(121,029)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Risk Measures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Stress Test: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Portfolio sensitivity to a 100 basis point increase in the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380"/>
              <w:spacing w:after="0"/>
              <w:rPr>
                <w:sz w:val="20"/>
                <w:szCs w:val="20"/>
                <w:color w:val="auto"/>
              </w:rPr>
            </w:pPr>
            <w:r>
              <w:rPr>
                <w:rFonts w:ascii="Arial" w:cs="Arial" w:eastAsia="Arial" w:hAnsi="Arial"/>
                <w:sz w:val="18"/>
                <w:szCs w:val="18"/>
                <w:color w:val="auto"/>
                <w:w w:val="97"/>
              </w:rPr>
              <w:t>Portfolio sensitivity to a 100 basis point decrease in the</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vMerge w:val="continue"/>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4"/>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34"/>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80" w:type="dxa"/>
            <w:vAlign w:val="bottom"/>
          </w:tcPr>
          <w:p>
            <w:pPr>
              <w:ind w:left="380"/>
              <w:spacing w:after="0"/>
              <w:rPr>
                <w:sz w:val="20"/>
                <w:szCs w:val="20"/>
                <w:color w:val="auto"/>
              </w:rPr>
            </w:pPr>
            <w:r>
              <w:rPr>
                <w:rFonts w:ascii="Arial" w:cs="Arial" w:eastAsia="Arial" w:hAnsi="Arial"/>
                <w:sz w:val="18"/>
                <w:szCs w:val="18"/>
                <w:color w:val="auto"/>
              </w:rPr>
              <w:t>interest rate</w:t>
            </w:r>
          </w:p>
        </w:tc>
        <w:tc>
          <w:tcPr>
            <w:tcW w:w="3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2013: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12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20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169,536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20,489</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Tax Receivable Agreements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184,643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112,513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Including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163,680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132,480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Investment Banking Commitments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27,163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Management Commitments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554,966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71,077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84,337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82,827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316,725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December 31, 2013, we were unable to make reasonably reliable estimates of the period of cash settlement with the respective taxing authority per ASC 740, hence, unrecognized tax benefits have been excluded from the above commitments and contractual obligations.</w:t>
      </w:r>
    </w:p>
    <w:p>
      <w:pPr>
        <w:spacing w:after="0" w:line="9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had total commitments (not reflected on our Consolidated Statements of Financial Condition) relating to future capital contributions to the private equity funds of $9.9 million ($4.3 million of which relates to a capital commitment to Trilantic that the Company agreed to in April 2013) and $7.1 million as of December 31, 2013 and 2012, respectively. We expect to fund these commitments with cash flows from operations. We may be required to fund these commitments at any time through June 2022, depending on the timing and level of investments by our private equity funds.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also have commitments related to our redeemable noncontrolling interests. The value of our redeemable noncontrolling interests, which principally includes noncontrolling interests held by the principals of EWM and Atalanta Sosnoff, decreased from $49.7 million as of December 31, 2012 to $36.8 million as of December 31, 2013, as recorded on our Consolidated Statements of Financial Condition. The decrease resulted primarily from the exchange of Trilantic's LP Units into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Class A Shares in October 2013, which resulted in a $16.4 million decrease in Redeemable Noncontrolling Interest on the Consolidated Statement of Financial Condition as of December 31, 2013, partially offset by a $3.0 million increase related to noncontrolling interests held by the principals of EWM. The value of the redeemable noncontrolling interests held by the principals of EWM (“EWM Units”) increased from 2012 primarily as a result of higher valuations attributed to asset managers in 2013, as measured by multiples of expected earnings, as well as higher AUM and earnings in EWM. During 2012, several factors resulted in a $28.7 million increase in the EWM Units. These factors included: (1) $2.7 million from the issuance of 1,486 EWM Units in connection with the Mt. Eden acquisition by EWM in December of 2012, at the fair value of $1,812 per unit, (2) $19.8 million from the expiration of key-man life insurance policies held by EWM on the holders of 10,950 EWM Units, valued at $1,812 per unit, causing the units to be reclassified from noncontrolling interest included in permanent equity to Redeemable Noncontrolling Interest included in mezzanine equity and (3) $6.2 million from the increase in the fair value of the EWM Units outstanding at the beginning of the year. This increase in value arose from increases in anticipated levels of profitability resulting from the acquisition of Mt. Eden, resulting in a broader and more viable wealth management platform, from expected cost synergies from the Mt Eden acquisition and from organic growth in AUM held by the Company prior to the Mt. Eden acquisition during 2012. Accordingly, the Company reflected the $28.7 million increase in Redeemable Noncontrolling Interest as a reduction of Noncontrolling Interest of $3.6 million, representing the historical value of the related EWM Units, and as a reduction of Additional Paid-in-Capital of $25.1 million, on the Consolidated Statement of Financial Condition as of December 31, 2012. See Note 15 to our consolidated financial statements for further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94" w:lineRule="exact"/>
        <w:rPr>
          <w:sz w:val="20"/>
          <w:szCs w:val="20"/>
          <w:color w:val="auto"/>
        </w:rPr>
      </w:pPr>
    </w:p>
    <w:p>
      <w:pPr>
        <w:ind w:right="160" w:firstLine="432"/>
        <w:spacing w:after="0" w:line="334" w:lineRule="auto"/>
        <w:rPr>
          <w:sz w:val="20"/>
          <w:szCs w:val="20"/>
          <w:color w:val="auto"/>
        </w:rPr>
      </w:pPr>
      <w:r>
        <w:rPr>
          <w:rFonts w:ascii="Arial" w:cs="Arial" w:eastAsia="Arial" w:hAnsi="Arial"/>
          <w:sz w:val="16"/>
          <w:szCs w:val="16"/>
          <w:color w:val="auto"/>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Investment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Institutional Asset Management</w:t>
      </w:r>
    </w:p>
    <w:p>
      <w:pPr>
        <w:spacing w:after="0" w:line="57" w:lineRule="exact"/>
        <w:rPr>
          <w:sz w:val="20"/>
          <w:szCs w:val="20"/>
          <w:color w:val="auto"/>
        </w:rPr>
      </w:pPr>
    </w:p>
    <w:p>
      <w:pPr>
        <w:ind w:right="160" w:firstLine="432"/>
        <w:spacing w:after="0" w:line="315" w:lineRule="auto"/>
        <w:rPr>
          <w:sz w:val="20"/>
          <w:szCs w:val="20"/>
          <w:color w:val="auto"/>
        </w:rPr>
      </w:pPr>
      <w:r>
        <w:rPr>
          <w:rFonts w:ascii="Arial" w:cs="Arial" w:eastAsia="Arial" w:hAnsi="Arial"/>
          <w:sz w:val="18"/>
          <w:szCs w:val="18"/>
          <w:color w:val="auto"/>
        </w:rPr>
        <w:t>We invest in funds managed by EWM and G5 ǀ Evercore. These funds principally hold readily-marketable investment securities. As of December 31, 2013, the fair value of our investments with these products, based on closing prices, was $11.4 million.</w:t>
      </w:r>
    </w:p>
    <w:p>
      <w:pPr>
        <w:spacing w:after="0" w:line="8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estimate that a hypothetical 10% adverse change in the market value of the investments would have resulted in a decrease in pre-tax income of approximately $1.1 million for the year ended December 31,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“-Liquidity and Capital Resources” above for a discussion of collateralized financing transactions at ECB.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Funds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Through our principal investments in our private equity funds and our ability to earn carried interest from these funds, we face exposure to changes in the estimated fair value of the companies in which these funds invest. Our professionals devote considerable time and resources to work closely with the portfolio company’s management to assist in designing a business strategy, allocating capital and other resources and evaluating expansion or acquisition opportunities. On a quarterly basis, we perform a comprehensive analysis and valuation of all of the portfolio companies. Our analysis includes reviewing the current market conditions and valuations of each portfolio company. Valuations and analysis regarding our investments in CSI Capital and Trilantic are performed by their respective professionals, and thus we are not involved in determining the fair value for the portfolio companies of such funds.</w:t>
      </w:r>
    </w:p>
    <w:p>
      <w:pPr>
        <w:spacing w:after="0" w:line="11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estimate that a hypothetical 10% adverse change in the value of the private equity funds would have resulted in a decrease in pre-tax income of approximately $2.4 million for the year ended December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foreign operations, through our subsidiaries and affiliates, primarily in Mexico and the United Kingdom, as well as provide services to clients in other jurisdictions, which creates foreign exchange rate risk. We have not entered into any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transactions to hedge our exposure to these foreign exchange fluctuations through the use of derivative instruments or otherwise. An appreciation or depreciation of any of these currencies relative to the U.S. dollar would result in an adverse or beneficial impact to our financial results. A significant portion of our Latin American revenues have been, and will continue to be, derived from contracts denominated in Mexican pesos and Evercore Partners Limited's ("Evercore Europe") revenue and expenses are denominated primarily in British pounds sterling and euro. Historically, the value of these foreign currencies has fluctuated relative to the U.S. dollar. For the year ended December 31, 2013, the net impact of the fluctuation of foreign currencies recorded in Other Comprehensive Income within the Consolidated Statement of Comprehensive Income was ($0.7) million. It is currently not our intention to hedge our foreign currency exposure, and we will reevaluate this policy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maintain cash and cash equivalents with financial institutions with high credit ratings. At times, we may maintain deposits in federally insured financial institutions in excess of federally insured (“FDIC”) limits. However, we believe that we are not exposed to significant credit risk due to the financial position of the depository institution in which those deposits are held.</w:t>
      </w:r>
    </w:p>
    <w:p>
      <w:pPr>
        <w:spacing w:after="0" w:line="127"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Accounts Receivable consists primarily of advisory fees and expense reimbursements billed to our clients. Receivables are reported net of any allowance for doubtful accounts. We maintain an allowance for bad debts to provide coverage for probable losses from our customer receivables and derive the estimate through specific identification for the allowance for doubtful accounts and an assessment of the client’s creditworthiness. As of December 31, 2013 and 2012, total receivables amounted to $83.3 million and $89.1 million, respectively, net of an allowance. The Investment Banking and Investment Management receivables collection periods generally are within 90 days of invoice, with the exception of placement fees, which are generally collected within 180 days of invoice. The collection period for restructuring transactions and private equity fee receivables may exceed 90 days. We recorded minimal bad debt expense for each of the years ended December 31, 2013 and 2012.</w:t>
      </w:r>
    </w:p>
    <w:p>
      <w:pPr>
        <w:spacing w:after="0" w:line="12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With respect to our Marketable Securities portfolio, which is comprised primarily of highly rated corporate and municipal bonds, mutual funds and Securities Investments, we manage our credit risk exposure by limiting concentration risk and maintaining investment grade credit quality. As of December 31, 2013, we had Marketable Securities of $43.4 million, of which 52% were corporate and municipal securities, primarily with S&amp;P ratings ranging from AAA to BB+.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consolidated financial statements included in this report are prepared in conformity with accounting principles generally accepted in the United States of America ("U.S. GAAP"), which requires management to make estimates and assumptions regarding future events that affect the amounts reported in our consolidated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Banking Revenue</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earn investment banking fees from our clients for providing advisory services on mergers, acquisitions, divestitures, leveraged buyouts, restructurings and similar corporate finance matters. It is our accounting policy to recognize revenue when (i) there is persuasive evidence of an arrangement with a client, (ii) fees are fixed or determinable, (iii) the agreed-upon services have been completed and delivered to the client or the transaction or events contemplated in the engagement letter are determined to be substantially completed and (iv) collection is reasonably assured. We record Investment Banking Revenue on the Consolidated Statements of Operations for the following:</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general, advisory fees are paid at the time we sign an engagement letter, during the course of the engagement or when an engagement is completed. In some circumstances, and as a function of the terms of an engagement letter, we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which is recorded within Other Current Liabilities on the Consolidated Statements of</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Financial Condition, and subsequently recognized as revenue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M&amp;A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12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Placement fee revenues are attributable to capital raising on both a primary and secondary basis. We recognize placement advisory fees at the time of the client’s acceptance of capital or capital commitments in accordance with the terms of the engagement letter.</w:t>
      </w:r>
    </w:p>
    <w:p>
      <w:pPr>
        <w:spacing w:after="0" w:line="116"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Underwriting revenues are attributable to public and private offerings of equity and debt securities and are recognized when the offering has been deemed to be completed by the lead manager of the underwriting group, pursuant to applicable regulatory rules. When the offering is completed, we recognize the applicable management fee, selling concession and underwriting fee, the latter net of estimated offering expenses.</w:t>
      </w:r>
    </w:p>
    <w:p>
      <w:pPr>
        <w:spacing w:after="0" w:line="1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Commissions received from customers on agency-based brokerage transactions in listed and over-the-counter equities are recorded on a trade-date basis or, in the case of payments under commission sharing arrangements, when earned.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Management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Management business generates revenues from the management of client assets and the private equity funds.</w:t>
      </w:r>
    </w:p>
    <w:p>
      <w:pPr>
        <w:spacing w:after="0" w:line="17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Investment management fees generated for third-party clients are generally based on the value of the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is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We also record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0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Fees for serving as an independent fiduciary and/or trustee are either based on a flat fee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w:t>
      </w:r>
    </w:p>
    <w:p>
      <w:pPr>
        <w:spacing w:after="0" w:line="117"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Net Interest revenue is derived from investing customer funds in financing transactions. These transactions are primarily repurchases and resales of Mexican government securities. Revenue and expenses associated with these transactions are recognized over the term of the repurchase or resale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valuation of our investments in securities and of our financial investments in the funds we manage impacts both the carrying value of direct investments and the determination of management and performance fees, including carried interest. Effective January 1, 2008, we adopted ASC 820, which among other things requires enhanced disclosures about financial instruments carried at fair value. See Note 10 to the consolidated financial statements for further information. Level 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investments include financial instruments owned and pledged as collateral and readily-marketable equity securities. Level II investments include our investments in corporate and municipal bonds and other debt securities. We did not have any Level III investments as of December 31, 2013.</w:t>
      </w:r>
    </w:p>
    <w:p>
      <w:pPr>
        <w:spacing w:after="0" w:line="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We adopted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permits entities the option to measure most financial instruments and certain other items at fair value at specified election dates and to report related unrealized gains and losses in earnings. We have not elected to apply the fair value option to any specific financial assets or liabilities.</w:t>
      </w:r>
    </w:p>
    <w:p>
      <w:pPr>
        <w:spacing w:after="0" w:line="12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Certain of our commitments related to our redeemable noncontrolling interests, included within Redeemable Noncontrolling Interest on the Consolidated Statements of Financial Condition, are initially recorded at fair value and may be subject to periodic adjustment to reflect changes in the estimate of the amount due.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 xml:space="preserve">Investments in corporate and municipal bonds and other debt securities are accounted for as available-for-sale under ASC 320-10,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Investments in Debt and Equity Securities”</w:t>
      </w:r>
      <w:r>
        <w:rPr>
          <w:rFonts w:ascii="Arial" w:cs="Arial" w:eastAsia="Arial" w:hAnsi="Arial"/>
          <w:sz w:val="16"/>
          <w:szCs w:val="16"/>
          <w:color w:val="auto"/>
        </w:rPr>
        <w:t>. These securities are carried at fair value on the Consolidated Statements of Financial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are reported as net increases or decreases to Accumulated Other Comprehensive Income (Loss), net of tax, while realized gains and losses on these securities are determined using the specific identification method and are included in Other Revenue on the Consolidated Statements of Operations. We invest in readily-marketable debt and equity securities which are managed by EWM and G5 ǀ Evercore. These securities are valued using quoted market prices on applicable exchanges or markets. The realized and unrealized gains and losses on these securities are included in the Consolidated Statements of Operations in Investment Management Revenue. Marketable Securities also include investments in municipal bonds and mutual funds, which are carried at fair value, with changes in fair value recorded in Other Revenue on the Consolidated Statements of Operations.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 Owned and Pledged as Collateral at Fair Value</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Financial Instruments Owned and Pledged as Collateral at Fair Value consist principally of foreign government obligations, which are recorded on a trade-date basis and are stated at quoted market values. Related gains and losses are reflected in Other Revenue on the Consolidated Statements of Operations. We pledge our Financial Instruments Owned and Pledged as Collateral at Fair Value to collateralize certain financing arrangements which permits the counterparty to pledge the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 We account for share-based payments in accordance with Financial Accounting Standards Board (“FASB”) issued ASC 718,</w:t>
      </w:r>
      <w:r>
        <w:rPr>
          <w:rFonts w:ascii="Arial" w:cs="Arial" w:eastAsia="Arial" w:hAnsi="Arial"/>
          <w:sz w:val="18"/>
          <w:szCs w:val="18"/>
          <w:i w:val="1"/>
          <w:iCs w:val="1"/>
          <w:color w:val="auto"/>
        </w:rPr>
        <w:t xml:space="preserve"> “Compensation – Stock Compensation” </w:t>
      </w:r>
      <w:r>
        <w:rPr>
          <w:rFonts w:ascii="Arial" w:cs="Arial" w:eastAsia="Arial" w:hAnsi="Arial"/>
          <w:sz w:val="18"/>
          <w:szCs w:val="18"/>
          <w:color w:val="auto"/>
        </w:rPr>
        <w:t>("ASC 718"). We grant employees event-based awards and performance-based awards that vest upon the occurrence</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events or performance criteria being achieved. Compensation cost is accrued if it is probable that the event or performance condition will be achieved and is not accrued if it is not probable that the event or performance condition will be achieved. Significant judgment is required in determining the probability an event’s occurrence or that the performance criteria will be achieved. The fair value of awards that vest from one to five years are amortized over the vesting period or requisite substantive service period, as required by ASC 718. See Note 17 to the consolidated financial statements herein for further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and losses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more-likely-than-not,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9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This standard also requires the recognition of liabilities created by differences between tax positions taken in a tax return and amounts recognized in the financial statements. See Note 20 to our consolidated financial statements herein in regard to the impact of the adoption of this standard on the consolidated financial statements.</w:t>
      </w:r>
    </w:p>
    <w:p>
      <w:pPr>
        <w:spacing w:after="0" w:line="13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majority of the deferred tax assets relate to the U.S. operations of the Company. The realization of the deferred tax assets is primarily dependent on the amount of the Company’s historic and projected future taxable income for its U.S. and foreign operations. In 2013 and 2012, we performed an assessment of the ultimate realization of our deferred tax assets and determined that the Company should have sufficient future taxable income in the normal course of business to fully realize the portion of the deferred tax assets associated with its U.S. operations and management has concluded that it is more-likely-than-not the deferred tax assets will be realized. Prior to 2012 the Company concluded that the net deferred tax assets of certain foreign subsidiaries required a full valuation allowance as it was not more-likely-than-not to be recoverable. During 2012, sufficient positive evidence existed to support the reversal of the entire valuation allowance on those foreign subsidiaries. See Note 20 to the consolidated financial statements herein for further information.</w:t>
      </w:r>
    </w:p>
    <w:p>
      <w:pPr>
        <w:spacing w:after="0" w:line="11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estimates that Evercore Partners Inc. must generate approximately $674.5 million of future taxable income to realize the U.S. deferred tax asset balance of approximately $262.9 million. The deferred tax balance is expected to reverse over a period ranging of 5 to 15 taxable years. The Company evaluated Evercore Partners Inc.’s historical U.S. taxable income, which has averaged approximately $28.4 million per year, as well as the current anticipated profitability of approximately $80.3 million and taxable income in the future, which indicates sufficient taxable income to support the realization of these deferred tax assets. To the extent enough taxable income is not generated in the 15 year estimated reversal period, the Company will have an additional 20 years to utilize any net operating loss carry forwards created, as well as the relevant net operating loss carry back period in effect at the time of a taxable loss.</w:t>
      </w:r>
    </w:p>
    <w:p>
      <w:pPr>
        <w:spacing w:after="0" w:line="5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2012, the Company experienced significant favorable developments in its foreign subsidiaries, including sustained profitability and projections of sufficient future taxable income. These, together with the projected emergence from cumulative losses and the anticipated utilization of net operating losses in the impacted foreign subsidiaries during 2013, represent significant positive evidence. As of December 31, 2012, the cumulative positive evidence outweighed the historical negative evidence regarding the likelihood that the deferred tax asset for the Company’s impacted foreign subsidiaries will be realized. This assessment was evidenced by the Company meeting all of the criteria in its framework, resulting in its conclusion that the valuation allowance against the deferred tax assets for certain foreign subsidiaries should be released in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90" w:lineRule="exact"/>
        <w:rPr>
          <w:sz w:val="20"/>
          <w:szCs w:val="20"/>
          <w:color w:val="auto"/>
        </w:rPr>
      </w:pPr>
    </w:p>
    <w:p>
      <w:pPr>
        <w:ind w:right="80" w:firstLine="432"/>
        <w:spacing w:after="0" w:line="253" w:lineRule="auto"/>
        <w:rPr>
          <w:sz w:val="20"/>
          <w:szCs w:val="20"/>
          <w:color w:val="auto"/>
        </w:rPr>
      </w:pPr>
      <w:r>
        <w:rPr>
          <w:rFonts w:ascii="Arial" w:cs="Arial" w:eastAsia="Arial" w:hAnsi="Arial"/>
          <w:sz w:val="17"/>
          <w:szCs w:val="17"/>
          <w:color w:val="auto"/>
        </w:rPr>
        <w:t>In accordance with ASC 350, we test Goodwill for impairment annually, as of November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or more frequently if circumstances indicate impairment may have occurred. In this process, we make estimates and assumptions in order to determine the fair value of our reporting units and to project future earnings using valuation techniques. We use our best judgment and information available to us at the time to perform this review. Because our assumptions and estimates are used in projecting future earnings as part of the valuation, actual results could differ. Intangible assets with finite lives are amortized over their estimated useful lives which are reviewed for impairment whenever events or changes in circumstances indicate the carrying amount of such assets may not be recoverable as prescribed by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w:t>
      </w:r>
    </w:p>
    <w:p>
      <w:pPr>
        <w:spacing w:after="0" w:line="137"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test goodwill for impairment at the reporting unit level. In determining the fair value for each reporting unit, we utilize either a market multiple approach or a discounted cash flow methodology based on the adjusted cash flows from operations. The market multiple approach includes applying the average earnings multiples of comparable public companies for their respective reporting segment multiplied by the forecasted earnings of the respective reporting unit to yield an estimate of fair value. The discounted cash flow methodology begins with the adjusted cash flows from each of the reporting units and uses a discount rate that reflects the weighted average cost of capital adjusted for the risks inherent in the future cash flows.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November 30, 2013 and 2012, we concluded that the fair value of our Institutional Asset Management reporting unit exceeded its carrying value by 24% and 11%, respectively, and the fair values of our other reporting units substantially exceeded their carrying values. For further information see “Impairment of Assets” in “Results of Operations”.</w:t>
      </w:r>
    </w:p>
    <w:p>
      <w:pPr>
        <w:spacing w:after="0" w:line="12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addition to Goodwill and Intangible Assets, we annually assess our Equity Method Investments for impairment (or more frequently if circumstances indicate impairment may have occurred) per ASC 323-10-35 “</w:t>
      </w:r>
      <w:r>
        <w:rPr>
          <w:rFonts w:ascii="Arial" w:cs="Arial" w:eastAsia="Arial" w:hAnsi="Arial"/>
          <w:sz w:val="17"/>
          <w:szCs w:val="17"/>
          <w:i w:val="1"/>
          <w:iCs w:val="1"/>
          <w:color w:val="auto"/>
        </w:rPr>
        <w:t>Subsequent Measurement</w:t>
      </w:r>
      <w:r>
        <w:rPr>
          <w:rFonts w:ascii="Arial" w:cs="Arial" w:eastAsia="Arial" w:hAnsi="Arial"/>
          <w:sz w:val="17"/>
          <w:szCs w:val="17"/>
          <w:color w:val="auto"/>
        </w:rPr>
        <w:t>”. We recorded impairment charges of $2.9 million for Goodwill and Intangible Assets during 2013. See Note 4 to our consolidated financial statements for further information. We concluded there was no other impairment of Goodwill, Intangible Assets and Equity Method Investments during the year ended December 31,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i w:val="1"/>
          <w:iCs w:val="1"/>
          <w:color w:val="auto"/>
        </w:rPr>
        <w:t xml:space="preserve">ASU 2011-11 </w:t>
      </w:r>
      <w:r>
        <w:rPr>
          <w:rFonts w:ascii="Arial" w:cs="Arial" w:eastAsia="Arial" w:hAnsi="Arial"/>
          <w:sz w:val="17"/>
          <w:szCs w:val="17"/>
          <w:color w:val="auto"/>
        </w:rPr>
        <w:t>– In December 2011, the FASB issued Accounting Standards Update ("ASU") No. 2011-11,</w:t>
      </w:r>
      <w:r>
        <w:rPr>
          <w:rFonts w:ascii="Arial" w:cs="Arial" w:eastAsia="Arial" w:hAnsi="Arial"/>
          <w:sz w:val="17"/>
          <w:szCs w:val="17"/>
          <w:i w:val="1"/>
          <w:iCs w:val="1"/>
          <w:color w:val="auto"/>
        </w:rPr>
        <w:t xml:space="preserve"> “Disclosures about Offsetting Assets and Liabilities” </w:t>
      </w:r>
      <w:r>
        <w:rPr>
          <w:rFonts w:ascii="Arial" w:cs="Arial" w:eastAsia="Arial" w:hAnsi="Arial"/>
          <w:sz w:val="17"/>
          <w:szCs w:val="17"/>
          <w:color w:val="auto"/>
        </w:rPr>
        <w:t>(“ASU 2011-11”). ASU 2011-11 provides amendments to ASC No. 210,</w:t>
      </w:r>
      <w:r>
        <w:rPr>
          <w:rFonts w:ascii="Arial" w:cs="Arial" w:eastAsia="Arial" w:hAnsi="Arial"/>
          <w:sz w:val="17"/>
          <w:szCs w:val="17"/>
          <w:i w:val="1"/>
          <w:iCs w:val="1"/>
          <w:color w:val="auto"/>
        </w:rPr>
        <w:t xml:space="preserve"> “Balance Sheet”</w:t>
      </w:r>
      <w:r>
        <w:rPr>
          <w:rFonts w:ascii="Arial" w:cs="Arial" w:eastAsia="Arial" w:hAnsi="Arial"/>
          <w:sz w:val="17"/>
          <w:szCs w:val="17"/>
          <w:color w:val="auto"/>
        </w:rPr>
        <w:t>, which are intended to enhance disclosures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GAAP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This information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in the scope of this update. In January 2013, the FASB issued ASU No. 2013-01, </w:t>
      </w:r>
      <w:r>
        <w:rPr>
          <w:rFonts w:ascii="Arial" w:cs="Arial" w:eastAsia="Arial" w:hAnsi="Arial"/>
          <w:sz w:val="17"/>
          <w:szCs w:val="17"/>
          <w:i w:val="1"/>
          <w:iCs w:val="1"/>
          <w:color w:val="auto"/>
        </w:rPr>
        <w:t>“Clarifying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Scope of Disclosures about Offsetting Assets and Liabilities” </w:t>
      </w:r>
      <w:r>
        <w:rPr>
          <w:rFonts w:ascii="Arial" w:cs="Arial" w:eastAsia="Arial" w:hAnsi="Arial"/>
          <w:sz w:val="17"/>
          <w:szCs w:val="17"/>
          <w:color w:val="auto"/>
        </w:rPr>
        <w:t>(“ASU 2013-01”), which provides amendments that clarify that the scope of ASU 2011-11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applies to derivatives accounted for in accordance with ASC No.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including bifurcated embedded derivatives, repurchase and reverse repurchase agreements, and securities borrowing and securities lending transactions. The amendments in these updates are effective retrospectively for interim and annual periods beginning after January 1, 2013. The adoption of ASU 2011-11 and ASU 2013-01 did not have a material impact on the Company’s financial condition, results of operations and cash flows, or disclosures thereto.</w:t>
      </w:r>
    </w:p>
    <w:p>
      <w:pPr>
        <w:spacing w:after="0" w:line="12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ASU 2013-02 </w:t>
      </w:r>
      <w:r>
        <w:rPr>
          <w:rFonts w:ascii="Arial" w:cs="Arial" w:eastAsia="Arial" w:hAnsi="Arial"/>
          <w:sz w:val="18"/>
          <w:szCs w:val="18"/>
          <w:color w:val="auto"/>
        </w:rPr>
        <w:t>– In February 2013, the FASB issued ASU No. 2013-02,</w:t>
      </w:r>
      <w:r>
        <w:rPr>
          <w:rFonts w:ascii="Arial" w:cs="Arial" w:eastAsia="Arial" w:hAnsi="Arial"/>
          <w:sz w:val="18"/>
          <w:szCs w:val="18"/>
          <w:i w:val="1"/>
          <w:iCs w:val="1"/>
          <w:color w:val="auto"/>
        </w:rPr>
        <w:t xml:space="preserve"> “Reporting of Amounts Reclassified Out of Accumulated Other Comprehensive Income” </w:t>
      </w:r>
      <w:r>
        <w:rPr>
          <w:rFonts w:ascii="Arial" w:cs="Arial" w:eastAsia="Arial" w:hAnsi="Arial"/>
          <w:sz w:val="18"/>
          <w:szCs w:val="18"/>
          <w:color w:val="auto"/>
        </w:rPr>
        <w:t>(“ASU 2013-02”). ASU 2013-02 provides amendments to ASC No. 220,</w:t>
      </w:r>
      <w:r>
        <w:rPr>
          <w:rFonts w:ascii="Arial" w:cs="Arial" w:eastAsia="Arial" w:hAnsi="Arial"/>
          <w:sz w:val="18"/>
          <w:szCs w:val="18"/>
          <w:i w:val="1"/>
          <w:iCs w:val="1"/>
          <w:color w:val="auto"/>
        </w:rPr>
        <w:t xml:space="preserve"> “Comprehensive Income”</w:t>
      </w:r>
      <w:r>
        <w:rPr>
          <w:rFonts w:ascii="Arial" w:cs="Arial" w:eastAsia="Arial" w:hAnsi="Arial"/>
          <w:sz w:val="18"/>
          <w:szCs w:val="18"/>
          <w:color w:val="auto"/>
        </w:rPr>
        <w:t>, which are intended to enhance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U.S. GAAP by requiring improved information about the amounts reclassified out of accumulated other comprehensive income by component, and to present, either on the face of the statement where net income is presented or in the notes, significant amounts reclassified out of accumulated other comprehensive income and their corresponding effect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this update are effective prospectively during interim and annual periods beginning after December 15, 2012, with early adoption permitted. The adoption of ASU 2013-02 did not have a material impact on the Company’s financial condition, results of operations and cash flows, or disclosures thereto.</w:t>
      </w:r>
    </w:p>
    <w:p>
      <w:pPr>
        <w:spacing w:after="0" w:line="14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ASU 2013-05 </w:t>
      </w:r>
      <w:r>
        <w:rPr>
          <w:rFonts w:ascii="Arial" w:cs="Arial" w:eastAsia="Arial" w:hAnsi="Arial"/>
          <w:sz w:val="18"/>
          <w:szCs w:val="18"/>
          <w:color w:val="auto"/>
        </w:rPr>
        <w:t>– In March 2013, the FASB issued ASU No. 2013-05,</w:t>
      </w:r>
      <w:r>
        <w:rPr>
          <w:rFonts w:ascii="Arial" w:cs="Arial" w:eastAsia="Arial" w:hAnsi="Arial"/>
          <w:sz w:val="18"/>
          <w:szCs w:val="18"/>
          <w:i w:val="1"/>
          <w:iCs w:val="1"/>
          <w:color w:val="auto"/>
        </w:rPr>
        <w:t xml:space="preserve"> “Parent’s Accounting for the Cumulative Translation Adjustment upon Derecognition of Certain Subsidiaries or Groups of Assets within a Foreign Entity or of an Investment in a Foreign Entity” </w:t>
      </w:r>
      <w:r>
        <w:rPr>
          <w:rFonts w:ascii="Arial" w:cs="Arial" w:eastAsia="Arial" w:hAnsi="Arial"/>
          <w:sz w:val="18"/>
          <w:szCs w:val="18"/>
          <w:color w:val="auto"/>
        </w:rPr>
        <w:t>(“ASU 2013-05”). ASU 2013-05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provides amendments to ASC No.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which are intended to resolve diversity in practice by clarifying the guidance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The amendments also clarify the guidance for the release of the cumulative translation adjustment into net income for business combinations achieved in stages involving a foreign entity. The amendments in this update are effective prospectively during interim and annual periods beginning after December 15, 2013, with early adoption permitted. The adoption of ASU 2013-05 did not have a material impact on the Company’s financial condition, results of operations and cash flows, or disclosures thereto.</w:t>
      </w:r>
    </w:p>
    <w:p>
      <w:pPr>
        <w:spacing w:after="0" w:line="14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ASU 2013-08 </w:t>
      </w:r>
      <w:r>
        <w:rPr>
          <w:rFonts w:ascii="Arial" w:cs="Arial" w:eastAsia="Arial" w:hAnsi="Arial"/>
          <w:sz w:val="18"/>
          <w:szCs w:val="18"/>
          <w:color w:val="auto"/>
        </w:rPr>
        <w:t>– In June 2013, the FASB issued ASU No. 2013-08,</w:t>
      </w:r>
      <w:r>
        <w:rPr>
          <w:rFonts w:ascii="Arial" w:cs="Arial" w:eastAsia="Arial" w:hAnsi="Arial"/>
          <w:sz w:val="18"/>
          <w:szCs w:val="18"/>
          <w:i w:val="1"/>
          <w:iCs w:val="1"/>
          <w:color w:val="auto"/>
        </w:rPr>
        <w:t xml:space="preserve"> “Amendments to the Scope, Measurement, and Disclosure Requirements”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2013-08”). ASU 2013-08 provides amendments to ASC No. 946,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which modify the guidance for the assessment of whether an entity is an investment company and provide additional implementation guidance for the assessment. The amendments also require fair value measurement rather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than equity method accounting for noncontrolling ownership interests in other investment companies, and require additional disclosures about an entity's status as an investment company and financial support provided or contractually required to be provided by an investment company to its investees. The amendments in this update are effective prospectively during interim and annual periods beginning after December 15, 2013, with early adoption prohibited. The adoption of ASU 2013-08 did not have a material impact on the Company’s financial condition, results of operations and cash flows, or disclosures thereto.</w:t>
      </w:r>
    </w:p>
    <w:p>
      <w:pPr>
        <w:spacing w:after="0" w:line="13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i w:val="1"/>
          <w:iCs w:val="1"/>
          <w:color w:val="auto"/>
        </w:rPr>
        <w:t xml:space="preserve">ASU 2013-11 </w:t>
      </w:r>
      <w:r>
        <w:rPr>
          <w:rFonts w:ascii="Arial" w:cs="Arial" w:eastAsia="Arial" w:hAnsi="Arial"/>
          <w:sz w:val="16"/>
          <w:szCs w:val="16"/>
          <w:color w:val="auto"/>
        </w:rPr>
        <w:t>– In July 2013, the FASB issued ASU No. 2013-11,</w:t>
      </w:r>
      <w:r>
        <w:rPr>
          <w:rFonts w:ascii="Arial" w:cs="Arial" w:eastAsia="Arial" w:hAnsi="Arial"/>
          <w:sz w:val="16"/>
          <w:szCs w:val="16"/>
          <w:i w:val="1"/>
          <w:iCs w:val="1"/>
          <w:color w:val="auto"/>
        </w:rPr>
        <w:t xml:space="preserve"> “Presentation of an Unrecognized Tax Benefit When a Net Operating Loss Carryforward, a Similar Tax Loss, or a Tax Credit Carryforward Exists” </w:t>
      </w:r>
      <w:r>
        <w:rPr>
          <w:rFonts w:ascii="Arial" w:cs="Arial" w:eastAsia="Arial" w:hAnsi="Arial"/>
          <w:sz w:val="16"/>
          <w:szCs w:val="16"/>
          <w:color w:val="auto"/>
        </w:rPr>
        <w:t>(“ASU 2013-11”). ASU 2013-11 provides amendments to ASC No. 740,</w:t>
      </w:r>
      <w:r>
        <w:rPr>
          <w:rFonts w:ascii="Arial" w:cs="Arial" w:eastAsia="Arial" w:hAnsi="Arial"/>
          <w:sz w:val="16"/>
          <w:szCs w:val="16"/>
          <w:i w:val="1"/>
          <w:iCs w:val="1"/>
          <w:color w:val="auto"/>
        </w:rPr>
        <w:t xml:space="preserve"> “Income Taxes”</w:t>
      </w:r>
      <w:r>
        <w:rPr>
          <w:rFonts w:ascii="Arial" w:cs="Arial" w:eastAsia="Arial" w:hAnsi="Arial"/>
          <w:sz w:val="16"/>
          <w:szCs w:val="16"/>
          <w:color w:val="auto"/>
        </w:rPr>
        <w:t>, which clarify the guidance for the financial statement presentation of an unrecognized tax benefit when a net operating loss carryforward, a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tax loss, or a tax credit carryforward exists. The amendments require that an unrecognized tax benefit, or a portion of an unrecognized tax benefit, be presented in the financial statements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update are effective prospectively during interim and annual periods beginning after December 15, 2013, with early adoption permitted. The adoption of ASU 2013-11 did not have a material impact on the Company’s financial condition, results of operations and cash flows, or disclosures thereto.</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7 “ – Market Risk and Credit Risk” above.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4260" w:type="dxa"/>
            <w:vAlign w:val="bottom"/>
            <w:gridSpan w:val="9"/>
          </w:tcPr>
          <w:p>
            <w:pPr>
              <w:ind w:left="360"/>
              <w:spacing w:after="0"/>
              <w:rPr>
                <w:sz w:val="20"/>
                <w:szCs w:val="20"/>
                <w:color w:val="auto"/>
              </w:rPr>
            </w:pPr>
            <w:r>
              <w:rPr>
                <w:rFonts w:ascii="Arial" w:cs="Arial" w:eastAsia="Arial" w:hAnsi="Arial"/>
                <w:sz w:val="18"/>
                <w:szCs w:val="18"/>
                <w:b w:val="1"/>
                <w:bCs w:val="1"/>
                <w:color w:val="auto"/>
              </w:rPr>
              <w:t>Financial Statements and Supplemental Data</w:t>
            </w:r>
          </w:p>
        </w:tc>
        <w:tc>
          <w:tcPr>
            <w:tcW w:w="5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51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5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gridSpan w:val="11"/>
            <w:vMerge w:val="continue"/>
          </w:tcPr>
          <w:p>
            <w:pPr>
              <w:spacing w:after="0"/>
              <w:rPr>
                <w:sz w:val="20"/>
                <w:szCs w:val="20"/>
                <w:color w:val="auto"/>
              </w:rPr>
            </w:pPr>
          </w:p>
        </w:tc>
        <w:tc>
          <w:tcPr>
            <w:tcW w:w="5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220" w:type="dxa"/>
            <w:vAlign w:val="bottom"/>
            <w:gridSpan w:val="9"/>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Report of Independent Registered Public Accounting Firm</w:t>
              </w:r>
            </w:hyperlink>
          </w:p>
        </w:tc>
        <w:tc>
          <w:tcPr>
            <w:tcW w:w="600" w:type="dxa"/>
            <w:vAlign w:val="bottom"/>
          </w:tcPr>
          <w:p>
            <w:pPr>
              <w:spacing w:after="0"/>
              <w:rPr>
                <w:sz w:val="19"/>
                <w:szCs w:val="19"/>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60" w:type="dxa"/>
            <w:vAlign w:val="bottom"/>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Statements of Financial Condition</w:t>
              </w:r>
            </w:hyperlink>
          </w:p>
        </w:tc>
        <w:tc>
          <w:tcPr>
            <w:tcW w:w="7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Operations</w:t>
              </w:r>
            </w:hyperlink>
          </w:p>
        </w:tc>
        <w:tc>
          <w:tcPr>
            <w:tcW w:w="1360" w:type="dxa"/>
            <w:vAlign w:val="bottom"/>
            <w:gridSpan w:val="3"/>
          </w:tcPr>
          <w:p>
            <w:pPr>
              <w:spacing w:after="0"/>
              <w:rPr>
                <w:sz w:val="21"/>
                <w:szCs w:val="21"/>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40" w:type="dxa"/>
            <w:vAlign w:val="bottom"/>
            <w:gridSpan w:val="8"/>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Comprehensive Income</w:t>
              </w:r>
            </w:hyperlink>
          </w:p>
        </w:tc>
        <w:tc>
          <w:tcPr>
            <w:tcW w:w="1080" w:type="dxa"/>
            <w:vAlign w:val="bottom"/>
            <w:gridSpan w:val="2"/>
          </w:tcPr>
          <w:p>
            <w:pPr>
              <w:spacing w:after="0"/>
              <w:rPr>
                <w:sz w:val="21"/>
                <w:szCs w:val="21"/>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40" w:type="dxa"/>
            <w:vAlign w:val="bottom"/>
            <w:gridSpan w:val="8"/>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Consolidated Statements of Changes in Equity</w:t>
              </w:r>
            </w:hyperlink>
          </w:p>
        </w:tc>
        <w:tc>
          <w:tcPr>
            <w:tcW w:w="1080" w:type="dxa"/>
            <w:vAlign w:val="bottom"/>
            <w:gridSpan w:val="2"/>
          </w:tcPr>
          <w:p>
            <w:pPr>
              <w:spacing w:after="0"/>
              <w:rPr>
                <w:sz w:val="21"/>
                <w:szCs w:val="21"/>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340" w:type="dxa"/>
            <w:vAlign w:val="bottom"/>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w:t>
              </w:r>
            </w:hyperlink>
          </w:p>
        </w:tc>
        <w:tc>
          <w:tcPr>
            <w:tcW w:w="1480" w:type="dxa"/>
            <w:vAlign w:val="bottom"/>
            <w:gridSpan w:val="4"/>
          </w:tcPr>
          <w:p>
            <w:pPr>
              <w:spacing w:after="0"/>
              <w:rPr>
                <w:sz w:val="21"/>
                <w:szCs w:val="21"/>
                <w:color w:val="auto"/>
              </w:rPr>
            </w:pPr>
          </w:p>
        </w:tc>
        <w:tc>
          <w:tcPr>
            <w:tcW w:w="618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2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618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97">
              <w:r>
                <w:rPr>
                  <w:rFonts w:ascii="Arial" w:cs="Arial" w:eastAsia="Arial" w:hAnsi="Arial"/>
                  <w:sz w:val="18"/>
                  <w:szCs w:val="18"/>
                  <w:b w:val="1"/>
                  <w:bCs w:val="1"/>
                  <w:color w:val="0000EE"/>
                  <w:w w:val="91"/>
                </w:rPr>
                <w:t>Supplemental Financial Information</w:t>
              </w:r>
            </w:hyperlink>
          </w:p>
        </w:tc>
        <w:tc>
          <w:tcPr>
            <w:tcW w:w="2340" w:type="dxa"/>
            <w:vAlign w:val="bottom"/>
            <w:gridSpan w:val="8"/>
          </w:tcPr>
          <w:p>
            <w:pPr>
              <w:spacing w:after="0"/>
              <w:rPr>
                <w:sz w:val="21"/>
                <w:szCs w:val="21"/>
                <w:color w:val="auto"/>
              </w:rPr>
            </w:pPr>
          </w:p>
        </w:tc>
        <w:tc>
          <w:tcPr>
            <w:tcW w:w="5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820" w:type="dxa"/>
            <w:vAlign w:val="bottom"/>
            <w:gridSpan w:val="1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Consolidated Quarterly Results of Operations (unaudited)</w:t>
              </w:r>
            </w:hyperlink>
          </w:p>
        </w:tc>
        <w:tc>
          <w:tcPr>
            <w:tcW w:w="6180" w:type="dxa"/>
            <w:vAlign w:val="bottom"/>
            <w:gridSpan w:val="3"/>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3"/>
        </w:trPr>
        <w:tc>
          <w:tcPr>
            <w:tcW w:w="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jc w:val="right"/>
              <w:ind w:right="4610"/>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have audited the accompanying consolidated statements of financial condition of Evercore Partners Inc. and subsidiaries (the "Company") as of December 31, 2013 and 2012, and the related consolidated statements of operations, comprehensive income, changes in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620" w:firstLine="405"/>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Evercore Partners Inc. and subsidiaries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6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February 28, 2014 expressed an unqualified opinion on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ind w:left="3140"/>
        <w:spacing w:after="0"/>
        <w:rPr>
          <w:sz w:val="20"/>
          <w:szCs w:val="20"/>
          <w:color w:val="auto"/>
        </w:rPr>
      </w:pPr>
      <w:r>
        <w:rPr>
          <w:rFonts w:ascii="Arial" w:cs="Arial" w:eastAsia="Arial" w:hAnsi="Arial"/>
          <w:sz w:val="18"/>
          <w:szCs w:val="18"/>
          <w:color w:val="auto"/>
        </w:rPr>
        <w:t>(dollars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Assets</w:t>
      </w:r>
    </w:p>
    <w:p>
      <w:pPr>
        <w:spacing w:after="0" w:line="138"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740" w:type="dxa"/>
            <w:vAlign w:val="bottom"/>
          </w:tcPr>
          <w:p>
            <w:pPr>
              <w:spacing w:after="0"/>
              <w:rPr>
                <w:sz w:val="20"/>
                <w:szCs w:val="20"/>
                <w:color w:val="auto"/>
              </w:rPr>
            </w:pPr>
            <w:r>
              <w:rPr>
                <w:rFonts w:ascii="Arial" w:cs="Arial" w:eastAsia="Arial" w:hAnsi="Arial"/>
                <w:sz w:val="13"/>
                <w:szCs w:val="13"/>
                <w:color w:val="auto"/>
              </w:rPr>
              <w:t>Current Assets</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340"/>
              <w:spacing w:after="0"/>
              <w:rPr>
                <w:sz w:val="20"/>
                <w:szCs w:val="20"/>
                <w:color w:val="auto"/>
              </w:rPr>
            </w:pPr>
            <w:r>
              <w:rPr>
                <w:rFonts w:ascii="Arial" w:cs="Arial" w:eastAsia="Arial" w:hAnsi="Arial"/>
                <w:sz w:val="13"/>
                <w:szCs w:val="13"/>
                <w:color w:val="auto"/>
              </w:rPr>
              <w:t>Cash and Cash Equivalents</w:t>
            </w:r>
          </w:p>
        </w:tc>
        <w:tc>
          <w:tcPr>
            <w:tcW w:w="3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340"/>
              <w:spacing w:after="0"/>
              <w:rPr>
                <w:sz w:val="20"/>
                <w:szCs w:val="20"/>
                <w:color w:val="auto"/>
              </w:rPr>
            </w:pPr>
            <w:r>
              <w:rPr>
                <w:rFonts w:ascii="Arial" w:cs="Arial" w:eastAsia="Arial" w:hAnsi="Arial"/>
                <w:sz w:val="13"/>
                <w:szCs w:val="13"/>
                <w:color w:val="auto"/>
              </w:rPr>
              <w:t>Marketable Securities</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Financial Instruments Owned and Pledged as Collateral at Fair Value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Accounts Receivable (net of allowances of $2,436 and $3,886 at December 31, 2013 and 2012, respectively)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Receivable from Employees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Deferred Tax Assets - Current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Current Assets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Deferred Tax Assets - Non-Current</w:t>
      </w:r>
    </w:p>
    <w:p>
      <w:pPr>
        <w:spacing w:after="0" w:line="121" w:lineRule="exact"/>
        <w:rPr>
          <w:sz w:val="20"/>
          <w:szCs w:val="20"/>
          <w:color w:val="auto"/>
        </w:rPr>
      </w:pPr>
    </w:p>
    <w:p>
      <w:pPr>
        <w:ind w:left="380" w:right="360"/>
        <w:spacing w:after="0" w:line="237" w:lineRule="auto"/>
        <w:rPr>
          <w:sz w:val="20"/>
          <w:szCs w:val="20"/>
          <w:color w:val="auto"/>
        </w:rPr>
      </w:pPr>
      <w:r>
        <w:rPr>
          <w:rFonts w:ascii="Arial" w:cs="Arial" w:eastAsia="Arial" w:hAnsi="Arial"/>
          <w:sz w:val="13"/>
          <w:szCs w:val="13"/>
          <w:color w:val="auto"/>
        </w:rPr>
        <w:t>Furniture, Equipment and Leasehold Improvements (net of accumulated depreciation and amortization of $25,992 and $19,880 at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Intangible Assets (net of accumulated amortization of $27,538 and $20,002 at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Assets Segregated for Bank Regulatory Requirements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420" w:type="dxa"/>
            <w:vAlign w:val="bottom"/>
          </w:tcPr>
          <w:p>
            <w:pPr>
              <w:spacing w:after="0"/>
              <w:rPr>
                <w:sz w:val="20"/>
                <w:szCs w:val="20"/>
                <w:color w:val="auto"/>
              </w:rPr>
            </w:pPr>
            <w:r>
              <w:rPr>
                <w:rFonts w:ascii="Arial" w:cs="Arial" w:eastAsia="Arial" w:hAnsi="Arial"/>
                <w:sz w:val="13"/>
                <w:szCs w:val="13"/>
                <w:color w:val="auto"/>
              </w:rPr>
              <w:t>Total Assets</w:t>
            </w:r>
          </w:p>
        </w:tc>
        <w:tc>
          <w:tcPr>
            <w:tcW w:w="2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54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Arial" w:cs="Arial" w:eastAsia="Arial" w:hAnsi="Arial"/>
                <w:sz w:val="13"/>
                <w:szCs w:val="13"/>
                <w:b w:val="1"/>
                <w:bCs w:val="1"/>
                <w:color w:val="auto"/>
              </w:rPr>
              <w:t>Liabilities and Equity</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420" w:type="dxa"/>
            <w:vAlign w:val="bottom"/>
          </w:tcPr>
          <w:p>
            <w:pPr>
              <w:ind w:left="340"/>
              <w:spacing w:after="0"/>
              <w:rPr>
                <w:sz w:val="20"/>
                <w:szCs w:val="20"/>
                <w:color w:val="auto"/>
              </w:rPr>
            </w:pPr>
            <w:r>
              <w:rPr>
                <w:rFonts w:ascii="Arial" w:cs="Arial" w:eastAsia="Arial" w:hAnsi="Arial"/>
                <w:sz w:val="13"/>
                <w:szCs w:val="13"/>
                <w:color w:val="auto"/>
              </w:rPr>
              <w:t>Current Liabilities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680"/>
              <w:spacing w:after="0"/>
              <w:rPr>
                <w:sz w:val="20"/>
                <w:szCs w:val="20"/>
                <w:color w:val="auto"/>
              </w:rPr>
            </w:pPr>
            <w:r>
              <w:rPr>
                <w:rFonts w:ascii="Arial" w:cs="Arial" w:eastAsia="Arial" w:hAnsi="Arial"/>
                <w:sz w:val="13"/>
                <w:szCs w:val="13"/>
                <w:color w:val="auto"/>
              </w:rPr>
              <w:t>Accrued Compensation and Benefits</w:t>
            </w:r>
          </w:p>
        </w:tc>
        <w:tc>
          <w:tcPr>
            <w:tcW w:w="2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542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680"/>
              <w:spacing w:after="0"/>
              <w:rPr>
                <w:sz w:val="20"/>
                <w:szCs w:val="20"/>
                <w:color w:val="auto"/>
              </w:rPr>
            </w:pPr>
            <w:r>
              <w:rPr>
                <w:rFonts w:ascii="Arial" w:cs="Arial" w:eastAsia="Arial" w:hAnsi="Arial"/>
                <w:sz w:val="13"/>
                <w:szCs w:val="13"/>
                <w:color w:val="auto"/>
              </w:rPr>
              <w:t>Accounts Payable and Accrued Expenses</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Securities Sold Under Agreements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Payable to Employees and Related Parties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Other 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Notes Payable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Amounts Due Pursuant to 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Other Long-term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Commitments and Contingencies (Note 18)</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Equity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Evercore Partners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Common Stock</w:t>
      </w:r>
    </w:p>
    <w:p>
      <w:pPr>
        <w:spacing w:after="0" w:line="121" w:lineRule="exact"/>
        <w:rPr>
          <w:sz w:val="20"/>
          <w:szCs w:val="20"/>
          <w:color w:val="auto"/>
        </w:rPr>
      </w:pPr>
    </w:p>
    <w:p>
      <w:pPr>
        <w:ind w:left="1140" w:right="260"/>
        <w:spacing w:after="0" w:line="273" w:lineRule="auto"/>
        <w:rPr>
          <w:sz w:val="20"/>
          <w:szCs w:val="20"/>
          <w:color w:val="auto"/>
        </w:rPr>
      </w:pPr>
      <w:r>
        <w:rPr>
          <w:rFonts w:ascii="Arial" w:cs="Arial" w:eastAsia="Arial" w:hAnsi="Arial"/>
          <w:sz w:val="12"/>
          <w:szCs w:val="12"/>
          <w:color w:val="auto"/>
        </w:rPr>
        <w:t>Class A, par value $0.01 per share (1,000,000,000 shares authorized, 40,772,434 and 35,040,501 issued at December 31, 2013 and 2012, respectively, and 33,069,534 and 29,576,986 outstanding at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ind w:left="1140" w:right="540"/>
        <w:spacing w:after="0" w:line="237" w:lineRule="auto"/>
        <w:rPr>
          <w:sz w:val="20"/>
          <w:szCs w:val="20"/>
          <w:color w:val="auto"/>
        </w:rPr>
      </w:pPr>
      <w:r>
        <w:rPr>
          <w:rFonts w:ascii="Arial" w:cs="Arial" w:eastAsia="Arial" w:hAnsi="Arial"/>
          <w:sz w:val="13"/>
          <w:szCs w:val="13"/>
          <w:color w:val="auto"/>
        </w:rPr>
        <w:t>Class B, par value $0.01 per share (1,000,000 shares authorized, 42 and 43 issued and outstanding at December 31, 2013 and 2012, respectively)</w:t>
      </w:r>
    </w:p>
    <w:p>
      <w:pPr>
        <w:spacing w:after="0" w:line="2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980" w:type="dxa"/>
            <w:vAlign w:val="bottom"/>
          </w:tcPr>
          <w:p>
            <w:pPr>
              <w:ind w:left="680"/>
              <w:spacing w:after="0"/>
              <w:rPr>
                <w:sz w:val="20"/>
                <w:szCs w:val="20"/>
                <w:color w:val="auto"/>
              </w:rPr>
            </w:pPr>
            <w:r>
              <w:rPr>
                <w:rFonts w:ascii="Arial" w:cs="Arial" w:eastAsia="Arial" w:hAnsi="Arial"/>
                <w:sz w:val="13"/>
                <w:szCs w:val="13"/>
                <w:color w:val="auto"/>
              </w:rPr>
              <w:t>Accumulated Other Comprehensive Income (Loss)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680"/>
              <w:spacing w:after="0"/>
              <w:rPr>
                <w:sz w:val="20"/>
                <w:szCs w:val="20"/>
                <w:color w:val="auto"/>
              </w:rPr>
            </w:pPr>
            <w:r>
              <w:rPr>
                <w:rFonts w:ascii="Arial" w:cs="Arial" w:eastAsia="Arial" w:hAnsi="Arial"/>
                <w:sz w:val="13"/>
                <w:szCs w:val="13"/>
                <w:color w:val="auto"/>
              </w:rPr>
              <w:t>Retained Earnings (Deficit)</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680"/>
              <w:spacing w:after="0"/>
              <w:rPr>
                <w:sz w:val="20"/>
                <w:szCs w:val="20"/>
                <w:color w:val="auto"/>
              </w:rPr>
            </w:pPr>
            <w:r>
              <w:rPr>
                <w:rFonts w:ascii="Arial" w:cs="Arial" w:eastAsia="Arial" w:hAnsi="Arial"/>
                <w:sz w:val="13"/>
                <w:szCs w:val="13"/>
                <w:color w:val="auto"/>
              </w:rPr>
              <w:t>Treasury Stock at Cost (7,702,900 and 5,463,515 shares at December 31, 2013 and 2012, respectively)</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340"/>
              <w:spacing w:after="0"/>
              <w:rPr>
                <w:sz w:val="20"/>
                <w:szCs w:val="20"/>
                <w:color w:val="auto"/>
              </w:rPr>
            </w:pPr>
            <w:r>
              <w:rPr>
                <w:rFonts w:ascii="Arial" w:cs="Arial" w:eastAsia="Arial" w:hAnsi="Arial"/>
                <w:sz w:val="13"/>
                <w:szCs w:val="13"/>
                <w:color w:val="auto"/>
              </w:rPr>
              <w:t>Total Evercore Partners Inc. Stockholders' Equity</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340"/>
              <w:spacing w:after="0"/>
              <w:rPr>
                <w:sz w:val="20"/>
                <w:szCs w:val="20"/>
                <w:color w:val="auto"/>
              </w:rPr>
            </w:pPr>
            <w:r>
              <w:rPr>
                <w:rFonts w:ascii="Arial" w:cs="Arial" w:eastAsia="Arial" w:hAnsi="Arial"/>
                <w:sz w:val="13"/>
                <w:szCs w:val="13"/>
                <w:color w:val="auto"/>
              </w:rPr>
              <w:t>Total Equity</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3"/>
                <w:szCs w:val="13"/>
                <w:color w:val="auto"/>
              </w:rPr>
              <w:t>Total Liabilities and Equity</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69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6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19685</wp:posOffset>
            </wp:positionV>
            <wp:extent cx="2101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b w:val="1"/>
          <w:bCs w:val="1"/>
          <w:color w:val="auto"/>
        </w:rPr>
        <w:t>2013</w:t>
      </w:r>
      <w:r>
        <w:rPr>
          <w:sz w:val="20"/>
          <w:szCs w:val="20"/>
          <w:color w:val="auto"/>
        </w:rPr>
        <w:tab/>
      </w:r>
      <w:r>
        <w:rPr>
          <w:rFonts w:ascii="Arial" w:cs="Arial" w:eastAsia="Arial" w:hAnsi="Arial"/>
          <w:sz w:val="13"/>
          <w:szCs w:val="13"/>
          <w:b w:val="1"/>
          <w:bCs w:val="1"/>
          <w:color w:val="auto"/>
        </w:rPr>
        <w:t>2012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16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298,453</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259,431</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43,407</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36,545</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56,311</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120,594</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19,134</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83,347</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89,098</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9,233</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5,166</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11,271</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9,214</w:t>
            </w:r>
          </w:p>
        </w:tc>
      </w:tr>
      <w:tr>
        <w:trPr>
          <w:trHeight w:val="28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16,703</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6,699</w:t>
            </w:r>
          </w:p>
        </w:tc>
      </w:tr>
      <w:tr>
        <w:trPr>
          <w:trHeight w:val="25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537,859</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526,747</w:t>
            </w:r>
          </w:p>
        </w:tc>
      </w:tr>
      <w:tr>
        <w:trPr>
          <w:trHeight w:val="241"/>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114,084</w:t>
            </w:r>
          </w:p>
        </w:tc>
        <w:tc>
          <w:tcPr>
            <w:tcW w:w="52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110,897</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251,613</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229,449</w:t>
            </w:r>
          </w:p>
        </w:tc>
      </w:tr>
      <w:tr>
        <w:trPr>
          <w:trHeight w:val="324"/>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27,832</w:t>
            </w:r>
          </w:p>
        </w:tc>
        <w:tc>
          <w:tcPr>
            <w:tcW w:w="52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29,777</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189,274</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188,684</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26,731</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35,397</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10,200</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10,200</w:t>
            </w:r>
          </w:p>
        </w:tc>
      </w:tr>
      <w:tr>
        <w:trPr>
          <w:trHeight w:val="28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23,190</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14,067</w:t>
            </w:r>
          </w:p>
        </w:tc>
      </w:tr>
      <w:tr>
        <w:trPr>
          <w:trHeight w:val="237"/>
        </w:trPr>
        <w:tc>
          <w:tcPr>
            <w:tcW w:w="740" w:type="dxa"/>
            <w:vAlign w:val="bottom"/>
          </w:tcPr>
          <w:p>
            <w:pPr>
              <w:jc w:val="right"/>
              <w:ind w:right="157"/>
              <w:spacing w:after="0"/>
              <w:rPr>
                <w:sz w:val="20"/>
                <w:szCs w:val="20"/>
                <w:color w:val="auto"/>
              </w:rPr>
            </w:pPr>
            <w:r>
              <w:rPr>
                <w:rFonts w:ascii="Arial" w:cs="Arial" w:eastAsia="Arial" w:hAnsi="Arial"/>
                <w:sz w:val="13"/>
                <w:szCs w:val="13"/>
                <w:color w:val="auto"/>
                <w:w w:val="86"/>
              </w:rPr>
              <w:t>1,180,783</w:t>
            </w: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1,145,218</w:t>
            </w:r>
          </w:p>
        </w:tc>
      </w:tr>
      <w:tr>
        <w:trPr>
          <w:trHeight w:val="20"/>
        </w:trPr>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81"/>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157,856</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138,187</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18,365</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17,909</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75,563</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120,787</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19,524</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12,964</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4,713</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20,304</w:t>
            </w:r>
          </w:p>
        </w:tc>
      </w:tr>
      <w:tr>
        <w:trPr>
          <w:trHeight w:val="28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8,138</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10,755</w:t>
            </w:r>
          </w:p>
        </w:tc>
      </w:tr>
      <w:tr>
        <w:trPr>
          <w:trHeight w:val="25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284,159</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320,906</w:t>
            </w:r>
          </w:p>
        </w:tc>
      </w:tr>
      <w:tr>
        <w:trPr>
          <w:trHeight w:val="241"/>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103,226</w:t>
            </w:r>
          </w:p>
        </w:tc>
        <w:tc>
          <w:tcPr>
            <w:tcW w:w="52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101,375</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175,771</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165,350</w:t>
            </w:r>
          </w:p>
        </w:tc>
      </w:tr>
      <w:tr>
        <w:trPr>
          <w:trHeight w:val="28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17,664</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17,111</w:t>
            </w:r>
          </w:p>
        </w:tc>
      </w:tr>
      <w:tr>
        <w:trPr>
          <w:trHeight w:val="25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580,820</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604,742</w:t>
            </w:r>
          </w:p>
        </w:tc>
      </w:tr>
      <w:tr>
        <w:trPr>
          <w:trHeight w:val="511"/>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36,805</w:t>
            </w:r>
          </w:p>
        </w:tc>
        <w:tc>
          <w:tcPr>
            <w:tcW w:w="52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49,727</w:t>
            </w:r>
          </w:p>
        </w:tc>
      </w:tr>
      <w:tr>
        <w:trPr>
          <w:trHeight w:val="1134"/>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408</w:t>
            </w:r>
          </w:p>
        </w:tc>
        <w:tc>
          <w:tcPr>
            <w:tcW w:w="52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350</w:t>
            </w:r>
          </w:p>
        </w:tc>
      </w:tr>
      <w:tr>
        <w:trPr>
          <w:trHeight w:val="324"/>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799,233</w:t>
            </w:r>
          </w:p>
        </w:tc>
        <w:tc>
          <w:tcPr>
            <w:tcW w:w="52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654,275</w:t>
            </w:r>
          </w:p>
        </w:tc>
      </w:tr>
      <w:tr>
        <w:trPr>
          <w:trHeight w:val="270"/>
        </w:trPr>
        <w:tc>
          <w:tcPr>
            <w:tcW w:w="740" w:type="dxa"/>
            <w:vAlign w:val="bottom"/>
          </w:tcPr>
          <w:p>
            <w:pPr>
              <w:jc w:val="right"/>
              <w:ind w:right="117"/>
              <w:spacing w:after="0"/>
              <w:rPr>
                <w:sz w:val="20"/>
                <w:szCs w:val="20"/>
                <w:color w:val="auto"/>
              </w:rPr>
            </w:pPr>
            <w:r>
              <w:rPr>
                <w:rFonts w:ascii="Arial" w:cs="Arial" w:eastAsia="Arial" w:hAnsi="Arial"/>
                <w:sz w:val="13"/>
                <w:szCs w:val="13"/>
                <w:color w:val="auto"/>
              </w:rPr>
              <w:t>(10,784)</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(9,086)</w:t>
            </w:r>
          </w:p>
        </w:tc>
      </w:tr>
      <w:tr>
        <w:trPr>
          <w:trHeight w:val="270"/>
        </w:trPr>
        <w:tc>
          <w:tcPr>
            <w:tcW w:w="740" w:type="dxa"/>
            <w:vAlign w:val="bottom"/>
          </w:tcPr>
          <w:p>
            <w:pPr>
              <w:jc w:val="right"/>
              <w:ind w:right="117"/>
              <w:spacing w:after="0"/>
              <w:rPr>
                <w:sz w:val="20"/>
                <w:szCs w:val="20"/>
                <w:color w:val="auto"/>
              </w:rPr>
            </w:pPr>
            <w:r>
              <w:rPr>
                <w:rFonts w:ascii="Arial" w:cs="Arial" w:eastAsia="Arial" w:hAnsi="Arial"/>
                <w:sz w:val="13"/>
                <w:szCs w:val="13"/>
                <w:color w:val="auto"/>
              </w:rPr>
              <w:t>(59,896)</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(77,079)</w:t>
            </w:r>
          </w:p>
        </w:tc>
      </w:tr>
      <w:tr>
        <w:trPr>
          <w:trHeight w:val="280"/>
        </w:trPr>
        <w:tc>
          <w:tcPr>
            <w:tcW w:w="740" w:type="dxa"/>
            <w:vAlign w:val="bottom"/>
          </w:tcPr>
          <w:p>
            <w:pPr>
              <w:jc w:val="right"/>
              <w:ind w:right="117"/>
              <w:spacing w:after="0"/>
              <w:rPr>
                <w:sz w:val="20"/>
                <w:szCs w:val="20"/>
                <w:color w:val="auto"/>
              </w:rPr>
            </w:pPr>
            <w:r>
              <w:rPr>
                <w:rFonts w:ascii="Arial" w:cs="Arial" w:eastAsia="Arial" w:hAnsi="Arial"/>
                <w:sz w:val="13"/>
                <w:szCs w:val="13"/>
                <w:color w:val="auto"/>
                <w:w w:val="96"/>
              </w:rPr>
              <w:t>(226,380)</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(139,954)</w:t>
            </w:r>
          </w:p>
        </w:tc>
      </w:tr>
      <w:tr>
        <w:trPr>
          <w:trHeight w:val="241"/>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502,581</w:t>
            </w:r>
          </w:p>
        </w:tc>
        <w:tc>
          <w:tcPr>
            <w:tcW w:w="52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428,506</w:t>
            </w:r>
          </w:p>
        </w:tc>
      </w:tr>
      <w:tr>
        <w:trPr>
          <w:trHeight w:val="28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60,577</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62,243</w:t>
            </w:r>
          </w:p>
        </w:tc>
      </w:tr>
      <w:tr>
        <w:trPr>
          <w:trHeight w:val="250"/>
        </w:trPr>
        <w:tc>
          <w:tcPr>
            <w:tcW w:w="740" w:type="dxa"/>
            <w:vAlign w:val="bottom"/>
          </w:tcPr>
          <w:p>
            <w:pPr>
              <w:jc w:val="right"/>
              <w:ind w:right="157"/>
              <w:spacing w:after="0"/>
              <w:rPr>
                <w:sz w:val="20"/>
                <w:szCs w:val="20"/>
                <w:color w:val="auto"/>
              </w:rPr>
            </w:pPr>
            <w:r>
              <w:rPr>
                <w:rFonts w:ascii="Arial" w:cs="Arial" w:eastAsia="Arial" w:hAnsi="Arial"/>
                <w:sz w:val="13"/>
                <w:szCs w:val="13"/>
                <w:color w:val="auto"/>
              </w:rPr>
              <w:t>563,158</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490,749</w:t>
            </w:r>
          </w:p>
        </w:tc>
      </w:tr>
      <w:tr>
        <w:trPr>
          <w:trHeight w:val="237"/>
        </w:trPr>
        <w:tc>
          <w:tcPr>
            <w:tcW w:w="740" w:type="dxa"/>
            <w:vAlign w:val="bottom"/>
          </w:tcPr>
          <w:p>
            <w:pPr>
              <w:jc w:val="right"/>
              <w:ind w:right="157"/>
              <w:spacing w:after="0"/>
              <w:rPr>
                <w:sz w:val="20"/>
                <w:szCs w:val="20"/>
                <w:color w:val="auto"/>
              </w:rPr>
            </w:pPr>
            <w:r>
              <w:rPr>
                <w:rFonts w:ascii="Arial" w:cs="Arial" w:eastAsia="Arial" w:hAnsi="Arial"/>
                <w:sz w:val="13"/>
                <w:szCs w:val="13"/>
                <w:color w:val="auto"/>
                <w:w w:val="86"/>
              </w:rPr>
              <w:t>1,180,783</w:t>
            </w: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1,145,218</w:t>
            </w:r>
          </w:p>
        </w:tc>
      </w:tr>
      <w:tr>
        <w:trPr>
          <w:trHeight w:val="20"/>
        </w:trPr>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-8255</wp:posOffset>
            </wp:positionV>
            <wp:extent cx="1029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-359410</wp:posOffset>
            </wp:positionV>
            <wp:extent cx="1029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-702310</wp:posOffset>
            </wp:positionV>
            <wp:extent cx="1029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-2829560</wp:posOffset>
            </wp:positionV>
            <wp:extent cx="10293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-3515360</wp:posOffset>
            </wp:positionV>
            <wp:extent cx="1029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-4895850</wp:posOffset>
            </wp:positionV>
            <wp:extent cx="1029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-6311265</wp:posOffset>
            </wp:positionV>
            <wp:extent cx="1029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8300" w:space="500"/>
            <w:col w:w="2620"/>
          </w:cols>
          <w:pgMar w:left="240" w:top="122" w:right="239" w:bottom="298"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298"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(dollars and share amounts in thousands, except per share data)</w:t>
      </w:r>
    </w:p>
    <w:p>
      <w:pPr>
        <w:sectPr>
          <w:pgSz w:w="11900" w:h="16838" w:orient="portrait"/>
          <w:cols w:equalWidth="0" w:num="1">
            <w:col w:w="11400"/>
          </w:cols>
          <w:pgMar w:left="240" w:top="122" w:right="25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 Banking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 Management Revenue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Revenue, Including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Revenues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Revenues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3"/>
          <w:szCs w:val="13"/>
          <w:color w:val="auto"/>
        </w:rPr>
        <w:t>Employee Compensation and Benefits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Occupancy and Equipment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Professional Fees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Travel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Communications and Information Services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Special Charges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Acquisition and Transition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Operating Expenses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Income Before Income from Equity Method Investments and Income Taxes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Income Before Income Taxes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from Continuing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(Loss) from Discontinued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 from Discontinued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Attributable to Noncontrolling Interest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Attributable to Evercore Partners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2947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 Attributable to Evercore Partners Inc. Common Shareholders: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Discontinued Operations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Income Attributable to Evercore Partners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Weighted Average Shares of Class A Common Stock Outstanding</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Diluted</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Basic Net Income (Loss) Per Share Attributable to Evercore Partners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Continuing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Net Income Per Share Attributable to Evercore Partners Inc. Common Shareholders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Diluted Net Income (Loss) Per Share Attributable to Evercore Partners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Continuing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Net Income Per Share Attributable to Evercore Partners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per Share of Class A Common Stock</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2011</w:t>
            </w:r>
          </w:p>
        </w:tc>
      </w:tr>
      <w:tr>
        <w:trPr>
          <w:trHeight w:val="524"/>
        </w:trPr>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666,806</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568,238</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430,597</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95,759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79,790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99,161</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16,868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9,646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13,897</w:t>
            </w:r>
          </w:p>
        </w:tc>
      </w:tr>
      <w:tr>
        <w:trPr>
          <w:trHeight w:val="241"/>
        </w:trPr>
        <w:tc>
          <w:tcPr>
            <w:tcW w:w="42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779,433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657,674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543,655</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14,005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15,301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19,391</w:t>
            </w:r>
          </w:p>
        </w:tc>
      </w:tr>
      <w:tr>
        <w:trPr>
          <w:trHeight w:val="250"/>
        </w:trPr>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765,428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642,373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524,264</w:t>
            </w:r>
          </w:p>
        </w:tc>
      </w:tr>
      <w:tr>
        <w:trPr>
          <w:trHeight w:val="524"/>
        </w:trPr>
        <w:tc>
          <w:tcPr>
            <w:tcW w:w="420" w:type="dxa"/>
            <w:vAlign w:val="bottom"/>
          </w:tcPr>
          <w:p>
            <w:pPr>
              <w:spacing w:after="0"/>
              <w:rPr>
                <w:sz w:val="24"/>
                <w:szCs w:val="24"/>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485,794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430,415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357,680</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34,708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34,673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23,497</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36,450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35,506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33,516</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31,937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28,473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23,172</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13,373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11,445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8,303</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14,537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16,834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17,746</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3,894</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3,465</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18,226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17,990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17,179</w:t>
            </w:r>
          </w:p>
        </w:tc>
      </w:tr>
      <w:tr>
        <w:trPr>
          <w:trHeight w:val="250"/>
        </w:trPr>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635,253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576,838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488,452</w:t>
            </w:r>
          </w:p>
        </w:tc>
      </w:tr>
      <w:tr>
        <w:trPr>
          <w:trHeight w:val="241"/>
        </w:trPr>
        <w:tc>
          <w:tcPr>
            <w:tcW w:w="42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130,175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65,535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35,812</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8,326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4,852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919</w:t>
            </w:r>
          </w:p>
        </w:tc>
      </w:tr>
      <w:tr>
        <w:trPr>
          <w:trHeight w:val="241"/>
        </w:trPr>
        <w:tc>
          <w:tcPr>
            <w:tcW w:w="42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138,501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70,387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36,731</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63,689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30,908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22,724</w:t>
            </w:r>
          </w:p>
        </w:tc>
      </w:tr>
      <w:tr>
        <w:trPr>
          <w:trHeight w:val="250"/>
        </w:trPr>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74,812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39,479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14,007</w:t>
            </w:r>
          </w:p>
        </w:tc>
      </w:tr>
      <w:tr>
        <w:trPr>
          <w:trHeight w:val="524"/>
        </w:trPr>
        <w:tc>
          <w:tcPr>
            <w:tcW w:w="42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(4,260)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(4,198)</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(1,470)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(722)</w:t>
            </w:r>
          </w:p>
        </w:tc>
      </w:tr>
      <w:tr>
        <w:trPr>
          <w:trHeight w:val="250"/>
        </w:trPr>
        <w:tc>
          <w:tcPr>
            <w:tcW w:w="4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(2,790)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(3,476)</w:t>
            </w:r>
          </w:p>
        </w:tc>
      </w:tr>
      <w:tr>
        <w:trPr>
          <w:trHeight w:val="241"/>
        </w:trPr>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72,022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39,479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10,531</w:t>
            </w:r>
          </w:p>
        </w:tc>
      </w:tr>
      <w:tr>
        <w:trPr>
          <w:trHeight w:val="280"/>
        </w:trPr>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18,760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10,590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3,579</w:t>
            </w:r>
          </w:p>
        </w:tc>
      </w:tr>
      <w:tr>
        <w:trPr>
          <w:trHeight w:val="237"/>
        </w:trPr>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53,262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28,889</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6,952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1"/>
        </w:trPr>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54,799</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28,805</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7,834</w:t>
            </w:r>
          </w:p>
        </w:tc>
      </w:tr>
      <w:tr>
        <w:trPr>
          <w:trHeight w:val="280"/>
        </w:trPr>
        <w:tc>
          <w:tcPr>
            <w:tcW w:w="42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(1,605)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(966)</w:t>
            </w:r>
          </w:p>
        </w:tc>
      </w:tr>
      <w:tr>
        <w:trPr>
          <w:trHeight w:val="237"/>
        </w:trPr>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53,194</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28,805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6,868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1"/>
        </w:trPr>
        <w:tc>
          <w:tcPr>
            <w:tcW w:w="420" w:type="dxa"/>
            <w:vAlign w:val="bottom"/>
          </w:tcPr>
          <w:p>
            <w:pPr>
              <w:spacing w:after="0"/>
              <w:rPr>
                <w:sz w:val="24"/>
                <w:szCs w:val="24"/>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32,208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29,275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26,019</w:t>
            </w:r>
          </w:p>
        </w:tc>
      </w:tr>
      <w:tr>
        <w:trPr>
          <w:trHeight w:val="270"/>
        </w:trPr>
        <w:tc>
          <w:tcPr>
            <w:tcW w:w="42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38,481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32,548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29,397</w:t>
            </w:r>
          </w:p>
        </w:tc>
      </w:tr>
      <w:tr>
        <w:trPr>
          <w:trHeight w:val="540"/>
        </w:trPr>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0.98</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0.30</w:t>
            </w:r>
          </w:p>
        </w:tc>
      </w:tr>
      <w:tr>
        <w:trPr>
          <w:trHeight w:val="280"/>
        </w:trPr>
        <w:tc>
          <w:tcPr>
            <w:tcW w:w="42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(0.04)</w:t>
            </w:r>
          </w:p>
        </w:tc>
      </w:tr>
      <w:tr>
        <w:trPr>
          <w:trHeight w:val="237"/>
        </w:trPr>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0.98</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0.26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1"/>
        </w:trPr>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0.89</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0.27</w:t>
            </w:r>
          </w:p>
        </w:tc>
      </w:tr>
      <w:tr>
        <w:trPr>
          <w:trHeight w:val="280"/>
        </w:trPr>
        <w:tc>
          <w:tcPr>
            <w:tcW w:w="42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(0.04)</w:t>
            </w:r>
          </w:p>
        </w:tc>
      </w:tr>
      <w:tr>
        <w:trPr>
          <w:trHeight w:val="237"/>
        </w:trPr>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0.89</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0.23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1"/>
        </w:trPr>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0.91</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0.82</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0.74</w:t>
            </w:r>
          </w:p>
        </w:tc>
      </w:tr>
    </w:tbl>
    <w:p>
      <w:pPr>
        <w:spacing w:after="0" w:line="200" w:lineRule="exact"/>
        <w:rPr>
          <w:sz w:val="20"/>
          <w:szCs w:val="20"/>
          <w:color w:val="auto"/>
        </w:rPr>
      </w:pPr>
    </w:p>
    <w:p>
      <w:pPr>
        <w:sectPr>
          <w:pgSz w:w="11900" w:h="16838" w:orient="portrait"/>
          <w:cols w:equalWidth="0" w:num="2">
            <w:col w:w="5420" w:space="620"/>
            <w:col w:w="5360"/>
          </w:cols>
          <w:pgMar w:left="240" w:top="122" w:right="259" w:bottom="46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00"/>
          </w:cols>
          <w:pgMar w:left="240" w:top="122" w:right="259" w:bottom="46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122" w:right="259" w:bottom="46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10,531</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Marketable Securities,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Gain (Loss),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(8,119)</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Evercore Partners Inc.</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31,861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(dollars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70"/>
        </w:trPr>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80"/>
        </w:trPr>
        <w:tc>
          <w:tcPr>
            <w:tcW w:w="1900" w:type="dxa"/>
            <w:vAlign w:val="bottom"/>
          </w:tcPr>
          <w:p>
            <w:pPr>
              <w:spacing w:after="0"/>
              <w:rPr>
                <w:sz w:val="24"/>
                <w:szCs w:val="24"/>
                <w:color w:val="auto"/>
              </w:rPr>
            </w:pPr>
          </w:p>
        </w:tc>
        <w:tc>
          <w:tcPr>
            <w:tcW w:w="19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Class A 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Earnings</w:t>
            </w:r>
          </w:p>
        </w:tc>
        <w:tc>
          <w:tcPr>
            <w:tcW w:w="18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24"/>
                <w:szCs w:val="24"/>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64"/>
        </w:trPr>
        <w:tc>
          <w:tcPr>
            <w:tcW w:w="1900" w:type="dxa"/>
            <w:vAlign w:val="bottom"/>
          </w:tcPr>
          <w:p>
            <w:pPr>
              <w:spacing w:after="0"/>
              <w:rPr>
                <w:sz w:val="22"/>
                <w:szCs w:val="22"/>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Dollars</w:t>
            </w:r>
          </w:p>
        </w:tc>
        <w:tc>
          <w:tcPr>
            <w:tcW w:w="140" w:type="dxa"/>
            <w:vAlign w:val="bottom"/>
          </w:tcPr>
          <w:p>
            <w:pPr>
              <w:spacing w:after="0"/>
              <w:rPr>
                <w:sz w:val="22"/>
                <w:szCs w:val="2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22"/>
                <w:szCs w:val="2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Dollars</w:t>
            </w:r>
          </w:p>
        </w:tc>
        <w:tc>
          <w:tcPr>
            <w:tcW w:w="8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22"/>
                <w:szCs w:val="22"/>
                <w:color w:val="auto"/>
              </w:rPr>
            </w:pP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r>
      <w:tr>
        <w:trPr>
          <w:trHeight w:val="257"/>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2010</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21,497,691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400,719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(4,193)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(61,504)</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(1,514,045)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(34,538)</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66,542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367,241</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6,952</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10,531</w:t>
            </w: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(10,083)</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rPr>
              <w:t>Treasury Stock Purchases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(1,586,780)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(45,105)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(45,105)</w:t>
            </w: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Proceeds from Equity Offering, Net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Direct Expenses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5,364,991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167,880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167,934</w:t>
            </w: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Evercore LP Units Purchased 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1900" w:type="dxa"/>
            <w:vAlign w:val="bottom"/>
          </w:tcPr>
          <w:p>
            <w:pPr>
              <w:ind w:left="20"/>
              <w:spacing w:after="0" w:line="135" w:lineRule="exact"/>
              <w:rPr>
                <w:sz w:val="20"/>
                <w:szCs w:val="20"/>
                <w:color w:val="auto"/>
              </w:rPr>
            </w:pPr>
            <w:r>
              <w:rPr>
                <w:rFonts w:ascii="Arial" w:cs="Arial" w:eastAsia="Arial" w:hAnsi="Arial"/>
                <w:sz w:val="13"/>
                <w:szCs w:val="13"/>
                <w:color w:val="auto"/>
                <w:w w:val="98"/>
              </w:rPr>
              <w:t>Converted into Class A Common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422,843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(67,264)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(12,268)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(79,528)</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Equity-based Compensation Awards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3,728,740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67,395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88,489</w:t>
            </w: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w w:val="91"/>
              </w:rPr>
              <w:t>Shares Issued as Consideration for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Acquisitions and Investments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27,867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636</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Equivalents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(19,346)</w:t>
            </w:r>
          </w:p>
        </w:tc>
      </w:tr>
      <w:tr>
        <w:trPr>
          <w:trHeight w:val="264"/>
        </w:trPr>
        <w:tc>
          <w:tcPr>
            <w:tcW w:w="1900" w:type="dxa"/>
            <w:vAlign w:val="bottom"/>
          </w:tcPr>
          <w:p>
            <w:pPr>
              <w:ind w:left="20"/>
              <w:spacing w:after="0"/>
              <w:rPr>
                <w:sz w:val="20"/>
                <w:szCs w:val="20"/>
                <w:color w:val="auto"/>
              </w:rPr>
            </w:pPr>
            <w:r>
              <w:rPr>
                <w:rFonts w:ascii="Arial" w:cs="Arial" w:eastAsia="Arial" w:hAnsi="Arial"/>
                <w:sz w:val="13"/>
                <w:szCs w:val="13"/>
                <w:color w:val="auto"/>
                <w:w w:val="98"/>
              </w:rPr>
              <w:t>Noncontrolling Interest (Note 15)</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(18,530)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(14,943)</w:t>
            </w:r>
          </w:p>
        </w:tc>
      </w:tr>
      <w:tr>
        <w:trPr>
          <w:trHeight w:val="257"/>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2011</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31,014,265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575,122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(12,058)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(76,703)</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(3,072,958)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(79,007)</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58,162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465,826</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28,889</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10,590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39,479</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4,241</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rPr>
              <w:t>Treasury Stock Purchases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(2,610,505)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(66,588)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(66,588)</w:t>
            </w: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Evercore LP Units Purchased 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8"/>
              </w:rPr>
              <w:t>Converted into Class A Common</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2,107,753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6,653</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w w:val="88"/>
              </w:rPr>
              <w:t>Equity-based Compensation Awards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1,918,483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78,923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21,697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100,639</w:t>
            </w: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Shares Issued as Consideration for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and Investments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219,948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8,259</w:t>
            </w:r>
          </w:p>
        </w:tc>
      </w:tr>
      <w:tr>
        <w:trPr>
          <w:trHeight w:val="262"/>
        </w:trPr>
        <w:tc>
          <w:tcPr>
            <w:tcW w:w="1900" w:type="dxa"/>
            <w:vAlign w:val="bottom"/>
          </w:tcPr>
          <w:p>
            <w:pPr>
              <w:ind w:left="20"/>
              <w:spacing w:after="0"/>
              <w:rPr>
                <w:sz w:val="20"/>
                <w:szCs w:val="20"/>
                <w:color w:val="auto"/>
              </w:rPr>
            </w:pPr>
            <w:r>
              <w:rPr>
                <w:rFonts w:ascii="Arial" w:cs="Arial" w:eastAsia="Arial" w:hAnsi="Arial"/>
                <w:sz w:val="13"/>
                <w:szCs w:val="13"/>
                <w:color w:val="auto"/>
              </w:rPr>
              <w:t>Dividends and Equivalents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4,969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(29,265)</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(24,296)</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Noncontrolling Interest (Note 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(23,856)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(43,464)</w:t>
            </w:r>
          </w:p>
        </w:tc>
      </w:tr>
      <w:tr>
        <w:trPr>
          <w:trHeight w:val="242"/>
        </w:trPr>
        <w:tc>
          <w:tcPr>
            <w:tcW w:w="19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2012</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35,040,501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654,275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(9,086)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(77,079)</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(5,463,515)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(139,954)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62,243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490,749</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53,262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72,022</w:t>
            </w: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Other Comprehensive Income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(Loss)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(1,926)</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Purchases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(2,281,326)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(87,620)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(87,620)</w:t>
            </w: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Evercore LP Units Purchased 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1900" w:type="dxa"/>
            <w:vAlign w:val="bottom"/>
          </w:tcPr>
          <w:p>
            <w:pPr>
              <w:ind w:left="20"/>
              <w:spacing w:after="0" w:line="135" w:lineRule="exact"/>
              <w:rPr>
                <w:sz w:val="20"/>
                <w:szCs w:val="20"/>
                <w:color w:val="auto"/>
              </w:rPr>
            </w:pPr>
            <w:r>
              <w:rPr>
                <w:rFonts w:ascii="Arial" w:cs="Arial" w:eastAsia="Arial" w:hAnsi="Arial"/>
                <w:sz w:val="13"/>
                <w:szCs w:val="13"/>
                <w:color w:val="auto"/>
                <w:w w:val="98"/>
              </w:rPr>
              <w:t>Converted into Class A Common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2,913,266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28,986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(21,414)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7,601</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Equity-based Compensation Awards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2,818,667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120,517</w:t>
            </w: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w w:val="91"/>
              </w:rPr>
              <w:t>Shares Issued as Consideration for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Acquisitions and Investments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39,341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1,494</w:t>
            </w:r>
          </w:p>
        </w:tc>
      </w:tr>
      <w:tr>
        <w:trPr>
          <w:trHeight w:val="278"/>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Equivalents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(30,090)</w:t>
            </w:r>
          </w:p>
        </w:tc>
      </w:tr>
      <w:tr>
        <w:trPr>
          <w:trHeight w:val="264"/>
        </w:trPr>
        <w:tc>
          <w:tcPr>
            <w:tcW w:w="1900" w:type="dxa"/>
            <w:vAlign w:val="bottom"/>
          </w:tcPr>
          <w:p>
            <w:pPr>
              <w:ind w:left="20"/>
              <w:spacing w:after="0"/>
              <w:rPr>
                <w:sz w:val="20"/>
                <w:szCs w:val="20"/>
                <w:color w:val="auto"/>
              </w:rPr>
            </w:pPr>
            <w:r>
              <w:rPr>
                <w:rFonts w:ascii="Arial" w:cs="Arial" w:eastAsia="Arial" w:hAnsi="Arial"/>
                <w:sz w:val="13"/>
                <w:szCs w:val="13"/>
                <w:color w:val="auto"/>
                <w:w w:val="98"/>
              </w:rPr>
              <w:t>Noncontrolling Interest (Note 15)</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9,560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(9,589)</w:t>
            </w:r>
          </w:p>
        </w:tc>
      </w:tr>
      <w:tr>
        <w:trPr>
          <w:trHeight w:val="242"/>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2013</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40,772,434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799,233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(7,702,900)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60,577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563,158</w:t>
            </w:r>
          </w:p>
        </w:tc>
      </w:tr>
      <w:tr>
        <w:trPr>
          <w:trHeight w:val="20"/>
        </w:trPr>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line="36"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(dollars in thousands)</w:t>
      </w:r>
    </w:p>
    <w:p>
      <w:pPr>
        <w:spacing w:after="0" w:line="15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17145</wp:posOffset>
            </wp:positionV>
            <wp:extent cx="3173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p>
      <w:pPr>
        <w:jc w:val="both"/>
        <w:ind w:left="7080"/>
        <w:spacing w:after="0"/>
        <w:tabs>
          <w:tab w:leader="none" w:pos="8760" w:val="left"/>
          <w:tab w:leader="none" w:pos="104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ectPr>
          <w:pgSz w:w="11900" w:h="16874" w:orient="portrait"/>
          <w:cols w:equalWidth="0" w:num="1">
            <w:col w:w="11400"/>
          </w:cols>
          <w:pgMar w:left="240" w:top="122" w:right="259" w:bottom="0" w:gutter="0" w:footer="0" w:header="0"/>
        </w:sectPr>
      </w:pP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2"/>
          <w:szCs w:val="12"/>
          <w:color w:val="auto"/>
        </w:rPr>
        <w:t>Adjustments to Reconcile Net Income to Net Cash Provided by Operating Activities: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Net (Gains) Losses on Investments, Marketable Securities and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Method Investments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Equity-Based and Other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Amortization and Accretion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 to Tax Receivable Agreements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(Increase) in Operating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Financial Instruments Owned and Pledged as Collateral at Fair Value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Receivable from Employees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Increase in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Accrued Compensation and Benefits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Securities Sold Under Agreements to Repurchase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Payables to Employees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Taxes Payable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Operating Activities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 Purchased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of Private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Sales and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Furniture, Equipment and Leasehold Improvements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for Settlement of Debt and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Under Tax Receivable Agreement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Deferred and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Equity Offering, Net of Direct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Stock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Associated with Equity-Based Awards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 Class 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Equivalents-End of Period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72,022</w:t>
            </w:r>
          </w:p>
        </w:tc>
        <w:tc>
          <w:tcPr>
            <w:tcW w:w="100" w:type="dxa"/>
            <w:vAlign w:val="bottom"/>
          </w:tcPr>
          <w:p>
            <w:pPr>
              <w:spacing w:after="0"/>
              <w:rPr>
                <w:sz w:val="14"/>
                <w:szCs w:val="14"/>
                <w:color w:val="auto"/>
              </w:rPr>
            </w:pPr>
          </w:p>
        </w:tc>
        <w:tc>
          <w:tcPr>
            <w:tcW w:w="5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39,479</w:t>
            </w:r>
          </w:p>
        </w:tc>
        <w:tc>
          <w:tcPr>
            <w:tcW w:w="120" w:type="dxa"/>
            <w:vAlign w:val="bottom"/>
          </w:tcPr>
          <w:p>
            <w:pPr>
              <w:spacing w:after="0"/>
              <w:rPr>
                <w:sz w:val="14"/>
                <w:szCs w:val="14"/>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10,531</w:t>
            </w:r>
          </w:p>
        </w:tc>
      </w:tr>
      <w:tr>
        <w:trPr>
          <w:trHeight w:val="540"/>
        </w:trPr>
        <w:tc>
          <w:tcPr>
            <w:tcW w:w="5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(4,069)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(919)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121,608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115,632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94,253</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16,699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18,784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20,401</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1,803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1,558</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(6,905)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20,058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(7,967)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11,026</w:t>
            </w:r>
          </w:p>
        </w:tc>
      </w:tr>
      <w:tr>
        <w:trPr>
          <w:trHeight w:val="540"/>
        </w:trPr>
        <w:tc>
          <w:tcPr>
            <w:tcW w:w="56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461</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65,045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16,056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(91,056)</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(19,578)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2,278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123,559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(37,111)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2,749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(4,542)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2,627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(4,275)</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(19,945)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15,485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(144)</w:t>
            </w:r>
          </w:p>
        </w:tc>
      </w:tr>
      <w:tr>
        <w:trPr>
          <w:trHeight w:val="540"/>
        </w:trPr>
        <w:tc>
          <w:tcPr>
            <w:tcW w:w="56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12,435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2,967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32,128</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1,499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(45,543)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(18,413)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(32,283)</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4,451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(7,067)</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(15,591)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13,694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(1,777)</w:t>
            </w:r>
          </w:p>
        </w:tc>
      </w:tr>
      <w:tr>
        <w:trPr>
          <w:trHeight w:val="278"/>
        </w:trPr>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(1,925)</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(8,739)</w:t>
            </w:r>
          </w:p>
        </w:tc>
      </w:tr>
      <w:tr>
        <w:trPr>
          <w:trHeight w:val="250"/>
        </w:trPr>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198,714</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160,158</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147,836</w:t>
            </w:r>
          </w:p>
        </w:tc>
      </w:tr>
      <w:tr>
        <w:trPr>
          <w:trHeight w:val="526"/>
        </w:trPr>
        <w:tc>
          <w:tcPr>
            <w:tcW w:w="5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(48,575)</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1,211</w:t>
            </w:r>
          </w:p>
        </w:tc>
      </w:tr>
      <w:tr>
        <w:trPr>
          <w:trHeight w:val="540"/>
        </w:trPr>
        <w:tc>
          <w:tcPr>
            <w:tcW w:w="56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31,106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67,958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80,678</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(35,187)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(23,499)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(71,599)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(6,743)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(30,397)</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8"/>
        </w:trPr>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(4,487)</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(13,941)</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(8,662)</w:t>
            </w:r>
          </w:p>
        </w:tc>
      </w:tr>
      <w:tr>
        <w:trPr>
          <w:trHeight w:val="250"/>
        </w:trPr>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(8,864)</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24,917</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(77,344)</w:t>
            </w:r>
          </w:p>
        </w:tc>
      </w:tr>
      <w:tr>
        <w:trPr>
          <w:trHeight w:val="526"/>
        </w:trPr>
        <w:tc>
          <w:tcPr>
            <w:tcW w:w="5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(8,335)</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1,009</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(18,950)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(16,528)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(19,087)</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(7,651)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(13,486)</w:t>
            </w:r>
          </w:p>
        </w:tc>
      </w:tr>
      <w:tr>
        <w:trPr>
          <w:trHeight w:val="270"/>
        </w:trPr>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168,140</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(102,277)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(66,983)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(140,242)</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8,979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6,266</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(30,090)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(24,296)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(19,346)</w:t>
            </w:r>
          </w:p>
        </w:tc>
      </w:tr>
      <w:tr>
        <w:trPr>
          <w:trHeight w:val="278"/>
        </w:trPr>
        <w:tc>
          <w:tcPr>
            <w:tcW w:w="5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5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(149,796)</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(110,012)</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(25,081)</w:t>
            </w:r>
          </w:p>
        </w:tc>
      </w:tr>
      <w:tr>
        <w:trPr>
          <w:trHeight w:val="250"/>
        </w:trPr>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1,463</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(3,843)</w:t>
            </w:r>
          </w:p>
        </w:tc>
      </w:tr>
      <w:tr>
        <w:trPr>
          <w:trHeight w:val="243"/>
        </w:trPr>
        <w:tc>
          <w:tcPr>
            <w:tcW w:w="5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39,022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76,526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41,568</w:t>
            </w:r>
          </w:p>
        </w:tc>
      </w:tr>
      <w:tr>
        <w:trPr>
          <w:trHeight w:val="278"/>
        </w:trPr>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259,431</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182,905</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141,337</w:t>
            </w:r>
          </w:p>
        </w:tc>
      </w:tr>
      <w:tr>
        <w:trPr>
          <w:trHeight w:val="237"/>
        </w:trPr>
        <w:tc>
          <w:tcPr>
            <w:tcW w:w="5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298,453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259,431</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182,905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74" w:orient="portrait"/>
          <w:cols w:equalWidth="0" w:num="2">
            <w:col w:w="5680" w:space="720"/>
            <w:col w:w="5000"/>
          </w:cols>
          <w:pgMar w:left="240" w:top="122" w:right="259" w:bottom="0" w:gutter="0" w:footer="0" w:header="0"/>
          <w:type w:val="continuous"/>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SUPPLEMENTAL CASH FLOW DISCLOSURE</w:t>
      </w:r>
    </w:p>
    <w:p>
      <w:pPr>
        <w:sectPr>
          <w:pgSz w:w="11900" w:h="16874" w:orient="portrait"/>
          <w:cols w:equalWidth="0" w:num="1">
            <w:col w:w="11400"/>
          </w:cols>
          <w:pgMar w:left="240" w:top="122" w:right="25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2"/>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Interest</w:t>
            </w:r>
          </w:p>
        </w:tc>
        <w:tc>
          <w:tcPr>
            <w:tcW w:w="58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12,807</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13,962</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17,914</w:t>
            </w:r>
          </w:p>
        </w:tc>
        <w:tc>
          <w:tcPr>
            <w:tcW w:w="0" w:type="dxa"/>
            <w:vAlign w:val="bottom"/>
          </w:tcPr>
          <w:p>
            <w:pPr>
              <w:spacing w:after="0"/>
              <w:rPr>
                <w:sz w:val="1"/>
                <w:szCs w:val="1"/>
                <w:color w:val="auto"/>
              </w:rPr>
            </w:pPr>
          </w:p>
        </w:tc>
      </w:tr>
      <w:tr>
        <w:trPr>
          <w:trHeight w:val="58"/>
        </w:trPr>
        <w:tc>
          <w:tcPr>
            <w:tcW w:w="64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4"/>
                <w:szCs w:val="14"/>
                <w:color w:val="auto"/>
              </w:rPr>
              <w:t>Payments for Income Taxes</w:t>
            </w: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580" w:type="dxa"/>
            <w:vAlign w:val="bottom"/>
            <w:vMerge w:val="restart"/>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52"/>
              <w:spacing w:after="0"/>
              <w:rPr>
                <w:sz w:val="20"/>
                <w:szCs w:val="20"/>
                <w:color w:val="auto"/>
              </w:rPr>
            </w:pPr>
            <w:r>
              <w:rPr>
                <w:rFonts w:ascii="Arial" w:cs="Arial" w:eastAsia="Arial" w:hAnsi="Arial"/>
                <w:sz w:val="14"/>
                <w:szCs w:val="14"/>
                <w:color w:val="auto"/>
              </w:rPr>
              <w:t>57,178</w:t>
            </w:r>
          </w:p>
        </w:tc>
        <w:tc>
          <w:tcPr>
            <w:tcW w:w="100" w:type="dxa"/>
            <w:vAlign w:val="bottom"/>
          </w:tcPr>
          <w:p>
            <w:pPr>
              <w:spacing w:after="0"/>
              <w:rPr>
                <w:sz w:val="12"/>
                <w:szCs w:val="12"/>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9,569</w:t>
            </w:r>
          </w:p>
        </w:tc>
        <w:tc>
          <w:tcPr>
            <w:tcW w:w="120" w:type="dxa"/>
            <w:vAlign w:val="bottom"/>
          </w:tcPr>
          <w:p>
            <w:pPr>
              <w:spacing w:after="0"/>
              <w:rPr>
                <w:sz w:val="12"/>
                <w:szCs w:val="12"/>
                <w:color w:val="auto"/>
              </w:rPr>
            </w:pPr>
          </w:p>
        </w:tc>
        <w:tc>
          <w:tcPr>
            <w:tcW w:w="600" w:type="dxa"/>
            <w:vAlign w:val="bottom"/>
            <w:vMerge w:val="restart"/>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13,957</w:t>
            </w:r>
          </w:p>
        </w:tc>
        <w:tc>
          <w:tcPr>
            <w:tcW w:w="0" w:type="dxa"/>
            <w:vAlign w:val="bottom"/>
          </w:tcPr>
          <w:p>
            <w:pPr>
              <w:spacing w:after="0"/>
              <w:rPr>
                <w:sz w:val="1"/>
                <w:szCs w:val="1"/>
                <w:color w:val="auto"/>
              </w:rPr>
            </w:pPr>
          </w:p>
        </w:tc>
      </w:tr>
      <w:tr>
        <w:trPr>
          <w:trHeight w:val="102"/>
        </w:trPr>
        <w:tc>
          <w:tcPr>
            <w:tcW w:w="64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Furniture, Equipment and Leasehold Improvements Accrued</w:t>
            </w:r>
          </w:p>
        </w:tc>
        <w:tc>
          <w:tcPr>
            <w:tcW w:w="58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62"/>
        </w:trPr>
        <w:tc>
          <w:tcPr>
            <w:tcW w:w="64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4"/>
                <w:szCs w:val="14"/>
                <w:color w:val="auto"/>
              </w:rPr>
              <w:t>Increase (Decrease) in Fair Value of Redeemable Noncontrolling Interest</w:t>
            </w: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580" w:type="dxa"/>
            <w:vAlign w:val="bottom"/>
            <w:vMerge w:val="restart"/>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2"/>
              <w:spacing w:after="0"/>
              <w:rPr>
                <w:sz w:val="20"/>
                <w:szCs w:val="20"/>
                <w:color w:val="auto"/>
              </w:rPr>
            </w:pPr>
            <w:r>
              <w:rPr>
                <w:rFonts w:ascii="Arial" w:cs="Arial" w:eastAsia="Arial" w:hAnsi="Arial"/>
                <w:sz w:val="14"/>
                <w:szCs w:val="14"/>
                <w:color w:val="auto"/>
              </w:rPr>
              <w:t>(12,985)</w:t>
            </w:r>
          </w:p>
        </w:tc>
        <w:tc>
          <w:tcPr>
            <w:tcW w:w="100" w:type="dxa"/>
            <w:vAlign w:val="bottom"/>
          </w:tcPr>
          <w:p>
            <w:pPr>
              <w:spacing w:after="0"/>
              <w:rPr>
                <w:sz w:val="12"/>
                <w:szCs w:val="12"/>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27,376</w:t>
            </w:r>
          </w:p>
        </w:tc>
        <w:tc>
          <w:tcPr>
            <w:tcW w:w="120" w:type="dxa"/>
            <w:vAlign w:val="bottom"/>
          </w:tcPr>
          <w:p>
            <w:pPr>
              <w:spacing w:after="0"/>
              <w:rPr>
                <w:sz w:val="12"/>
                <w:szCs w:val="12"/>
                <w:color w:val="auto"/>
              </w:rPr>
            </w:pPr>
          </w:p>
        </w:tc>
        <w:tc>
          <w:tcPr>
            <w:tcW w:w="600" w:type="dxa"/>
            <w:vAlign w:val="bottom"/>
            <w:vMerge w:val="restart"/>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02"/>
        </w:trPr>
        <w:tc>
          <w:tcPr>
            <w:tcW w:w="64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Dividend Equivalents Issued</w:t>
            </w:r>
          </w:p>
        </w:tc>
        <w:tc>
          <w:tcPr>
            <w:tcW w:w="58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5,989</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4,969</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62"/>
        </w:trPr>
        <w:tc>
          <w:tcPr>
            <w:tcW w:w="64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4"/>
                <w:szCs w:val="14"/>
                <w:color w:val="auto"/>
              </w:rPr>
              <w:t>Notes Exchanged for Equity in Subsidiary</w:t>
            </w: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580" w:type="dxa"/>
            <w:vAlign w:val="bottom"/>
            <w:vMerge w:val="restart"/>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52"/>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2"/>
                <w:szCs w:val="12"/>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600" w:type="dxa"/>
            <w:vAlign w:val="bottom"/>
            <w:vMerge w:val="restart"/>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2"/>
        </w:trPr>
        <w:tc>
          <w:tcPr>
            <w:tcW w:w="64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Settlement of Contingent Consideration</w:t>
            </w:r>
          </w:p>
        </w:tc>
        <w:tc>
          <w:tcPr>
            <w:tcW w:w="58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2,494</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640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Receipt of Marketable Securities in Settlement of Accounts Receivable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vMerge w:val="continue"/>
          </w:tcPr>
          <w:p>
            <w:pPr>
              <w:spacing w:after="0"/>
              <w:rPr>
                <w:sz w:val="12"/>
                <w:szCs w:val="12"/>
                <w:color w:val="auto"/>
              </w:rPr>
            </w:pPr>
          </w:p>
        </w:tc>
        <w:tc>
          <w:tcPr>
            <w:tcW w:w="580" w:type="dxa"/>
            <w:vAlign w:val="bottom"/>
            <w:vMerge w:val="restart"/>
          </w:tcPr>
          <w:p>
            <w:pPr>
              <w:jc w:val="right"/>
              <w:ind w:right="412"/>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52"/>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12"/>
                <w:szCs w:val="12"/>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64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83"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Evercore Partners Inc. and subsidiaries (the “Company”) is an investment banking and investment management firm, incorporated in Delaware on July 21, 2005 and headquartered in New York, New York. The Company is a holding company which owns a controlling interest in Evercore LP, a Delaware limited partnership (“Evercore LP”). Subsequent to the Company’s initial public offering (“IPO”), the Company became the sole general partner of Evercore LP. The Company operates from its offices in the United States, the United Kingdom, Mexico, Hong Kong, Canada, Singapore and, through its affiliate G5 Holdings S.A. (“G5 ǀ Evercore”), in Brazil.</w:t>
      </w:r>
    </w:p>
    <w:p>
      <w:pPr>
        <w:spacing w:after="0" w:line="10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Investment Banking business includes the advisory business through which the Company provides advice to clients on significant mergers, acquisitions, divestitures and other strategic corporate transactions, with a particular focus on advising prominent multinational corporations and substantial private equity firms on large, complex transactions. The Company also provides restructuring advice to companies in financial transition, as well as to creditors, shareholders and potential acquirers. In addition, the Company provides its clients with capital markets advice, underwrites securities offerings and raises funds for financial sponsors and provides advisory services focused on secondary transactions for private funds interests. The Investment Banking business also includes the Institutional Equities business through which the Company offers equity research and agency-based equity securities trading for institutional investors.</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Investment Management business includes the institutional asset management business through which the Company, directly and through affiliates, manages financial assets for sophisticated institutional investors and provides independent fiduciary services to corporate employee benefit plans and high net-worth individuals, the wealth management business through which the Company provides investment advisory and wealth management services for high net-worth individuals and associated entities, and the private equity business through which the Company, directly and through affiliates, manages private equity funds.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are prepared in conformity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(“U.S. GAAP”).</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consolidated financial statements of the Company are comprised of the consolidation of Evercore LP and Evercore LP’s wholly-owned and majority-owned direct and indirect subsidiaries, including Evercore Group L.L.C. (“EGL”), a registered broker-dealer in the U.S.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except for certain VIEs that qualify for accounting purposes as investment companies. The Company reviews factors, including the rights of the equity holders and obligations of 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spacing w:after="0" w:line="12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February 2010, Accounting Standards Update (“ASU”) No. 2010-10, “</w:t>
      </w:r>
      <w:r>
        <w:rPr>
          <w:rFonts w:ascii="Arial" w:cs="Arial" w:eastAsia="Arial" w:hAnsi="Arial"/>
          <w:sz w:val="16"/>
          <w:szCs w:val="16"/>
          <w:i w:val="1"/>
          <w:iCs w:val="1"/>
          <w:color w:val="auto"/>
        </w:rPr>
        <w:t>Amendments for Certain Investment Funds</w:t>
      </w:r>
      <w:r>
        <w:rPr>
          <w:rFonts w:ascii="Arial" w:cs="Arial" w:eastAsia="Arial" w:hAnsi="Arial"/>
          <w:sz w:val="16"/>
          <w:szCs w:val="16"/>
          <w:color w:val="auto"/>
        </w:rPr>
        <w:t>”, was issued. This ASU defers the application of the revised consolidation rules for a reporting entity’s interest in an entity if certain conditions are met, including if the entity has the attributes of an investment company and is not a securitization or asset-backed financing entity. An entity that qualifies for the deferral will continue to be assessed for consolidation under the overall guidance on VIEs, before its amendment, and other applicable consolidation guidance. Generally, the Company would consolidate those entities when it absorbs a majority of the expected losses or a majority of the expected residual returns, or both, of the entities.</w:t>
      </w:r>
    </w:p>
    <w:p>
      <w:pPr>
        <w:spacing w:after="0" w:line="104" w:lineRule="exact"/>
        <w:rPr>
          <w:sz w:val="20"/>
          <w:szCs w:val="20"/>
          <w:color w:val="auto"/>
        </w:rPr>
      </w:pPr>
    </w:p>
    <w:p>
      <w:pPr>
        <w:jc w:val="both"/>
        <w:ind w:right="60" w:firstLine="432"/>
        <w:spacing w:after="0" w:line="293" w:lineRule="auto"/>
        <w:rPr>
          <w:sz w:val="20"/>
          <w:szCs w:val="20"/>
          <w:color w:val="auto"/>
        </w:rPr>
      </w:pPr>
      <w:r>
        <w:rPr>
          <w:rFonts w:ascii="Arial" w:cs="Arial" w:eastAsia="Arial" w:hAnsi="Arial"/>
          <w:sz w:val="16"/>
          <w:szCs w:val="16"/>
          <w:color w:val="auto"/>
        </w:rPr>
        <w:t>For entities (principally funds) that the Company has concluded are not VIEs, the Company then evaluates whether the fund is a partnership or similar entity. If the fund is a partnership or similar entity, the Company evaluates the fund under the partnership consolidation guidance. Pursuant to that guidance, the Company consolidates funds in which it is the general partner and/or manages through a contract, unless presumption of control by the Company can be overcome. This presumption is overcome only when unrelated investors in the fund have the substantive ability to liquidate the fund or otherwise remove the Company as the general partner without cause, based on a simple majority vote of unaffiliated investors, or have other substantive participating rights. If the presumption of control can be overcome, the Company accounts for its interest in the fund pursuant to the equity method of accounting.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balances and transactions with the Company’s subsidiaries have been eliminated upon consolidation.</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At the time of the formation transaction, the members of Evercore LP (the “Members”) received Evercore LP partnership units (“LP Units”) in consideration for their contribution of the various entities included in the historical combined financial statements of the Company. The LP Units are subject to vesting requirements and transfer restrictions and are exchangeable on a one-for-one basis for shares of Class A common stock (“Class A Shares”). The Company accounts for exchanges of LP Units for Class A Shares based on the carrying amounts of the Members’ LP Units immediately before the exchange.</w:t>
      </w:r>
    </w:p>
    <w:p>
      <w:pPr>
        <w:spacing w:after="0" w:line="10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Company’s interest in Evercore LP is within the scope of Accounting Standards Codification (“ASC”) 810-20, “</w:t>
      </w:r>
      <w:r>
        <w:rPr>
          <w:rFonts w:ascii="Arial" w:cs="Arial" w:eastAsia="Arial" w:hAnsi="Arial"/>
          <w:sz w:val="18"/>
          <w:szCs w:val="18"/>
          <w:i w:val="1"/>
          <w:iCs w:val="1"/>
          <w:color w:val="auto"/>
        </w:rPr>
        <w:t>Determining Whether a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Partner, or the General Partners as a Group, Controls a Limited Partnership or Similar Entity When the Limited Partners Have Certain Rights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consolidates Evercore LP and records noncontrolling interest for the economic interest in Evercore LP held directly by others, which includes the Members.</w:t>
      </w:r>
    </w:p>
    <w:p>
      <w:pPr>
        <w:spacing w:after="0" w:line="13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 Accounts Receivable consists primarily of investment banking fees and expense reimbursements charged to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 The Company records Accounts Receivable net of any allowance for doubtful accounts. The Company maintains an allowance for bad debts to provide coverage for estimated losses from its client receivables. The Company determines the adequacy of the allowance by estimating the probability of loss based on the Company’s analysis of the client’s creditworthiness and specifically reserves against exposure where the Company determines the receivables are impaired, which may include situations where a fee is in dispute or litigation has commenced.</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29" w:lineRule="exact"/>
        <w:rPr>
          <w:sz w:val="20"/>
          <w:szCs w:val="20"/>
          <w:color w:val="auto"/>
        </w:rPr>
      </w:pPr>
    </w:p>
    <w:p>
      <w:pPr>
        <w:ind w:right="180" w:firstLine="432"/>
        <w:spacing w:after="0" w:line="287" w:lineRule="auto"/>
        <w:rPr>
          <w:sz w:val="20"/>
          <w:szCs w:val="20"/>
          <w:color w:val="auto"/>
        </w:rPr>
      </w:pPr>
      <w:r>
        <w:rPr>
          <w:rFonts w:ascii="Arial" w:cs="Arial" w:eastAsia="Arial" w:hAnsi="Arial"/>
          <w:sz w:val="16"/>
          <w:szCs w:val="16"/>
          <w:b w:val="1"/>
          <w:bCs w:val="1"/>
          <w:i w:val="1"/>
          <w:iCs w:val="1"/>
          <w:color w:val="auto"/>
        </w:rPr>
        <w:t xml:space="preserve">Investment Banking Revenue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earns investment banking fees from clients for providing advisory services on mergers, acquisitions,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divestitures, leveraged buyouts, restructurings and similar corporate finance matters. The Company’s Investment Banking services also include services related to securities underwriting, private fund placement services and commissions for agency-based equity trading services and equity research. It is the Company’s accounting policy to recognize revenue when (i) there is persuasive evidence of an arrangement with a client, (ii) fees are fixed or determinable,</w:t>
      </w:r>
    </w:p>
    <w:p>
      <w:pPr>
        <w:spacing w:after="0" w:line="3" w:lineRule="exact"/>
        <w:rPr>
          <w:sz w:val="20"/>
          <w:szCs w:val="20"/>
          <w:color w:val="auto"/>
        </w:rPr>
      </w:pPr>
    </w:p>
    <w:p>
      <w:pPr>
        <w:ind w:right="160" w:firstLine="8"/>
        <w:spacing w:after="0" w:line="255"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agreed-upon services have been completed and delivered to the client or the transaction or events contemplated in the engagement letter are determined to be substantially completed and (iv) collection is reasonably assured. The Company records Investment Banking Revenue on the Consolidated Statements of Operations for the following:</w:t>
      </w:r>
    </w:p>
    <w:p>
      <w:pPr>
        <w:spacing w:after="0" w:line="55"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b w:val="1"/>
          <w:bCs w:val="1"/>
          <w:i w:val="1"/>
          <w:iCs w:val="1"/>
          <w:color w:val="auto"/>
        </w:rPr>
        <w:t xml:space="preserve">Advisory Fees – </w:t>
      </w:r>
      <w:r>
        <w:rPr>
          <w:rFonts w:ascii="Arial" w:cs="Arial" w:eastAsia="Arial" w:hAnsi="Arial"/>
          <w:sz w:val="17"/>
          <w:szCs w:val="17"/>
          <w:color w:val="auto"/>
        </w:rPr>
        <w:t>In general, advisory fees are paid at the time the Company signs an engagement letter, during the course of the engagement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an engagement is completed. In some circumstances, and as a function of the terms of an engagement letter, the Company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which is recorded in Other Current Liabilities on the Consolidated Statements of Financial Condition, and subsequently recognized as revenue on the Consolidated Statements of Operations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merger and acquisition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48" w:lineRule="exact"/>
        <w:rPr>
          <w:sz w:val="20"/>
          <w:szCs w:val="20"/>
          <w:color w:val="auto"/>
        </w:rPr>
      </w:pPr>
    </w:p>
    <w:p>
      <w:pPr>
        <w:ind w:right="360" w:firstLine="878"/>
        <w:spacing w:after="0" w:line="342" w:lineRule="auto"/>
        <w:rPr>
          <w:sz w:val="20"/>
          <w:szCs w:val="20"/>
          <w:color w:val="auto"/>
        </w:rPr>
      </w:pPr>
      <w:r>
        <w:rPr>
          <w:rFonts w:ascii="Arial" w:cs="Arial" w:eastAsia="Arial" w:hAnsi="Arial"/>
          <w:sz w:val="16"/>
          <w:szCs w:val="16"/>
          <w:b w:val="1"/>
          <w:bCs w:val="1"/>
          <w:i w:val="1"/>
          <w:iCs w:val="1"/>
          <w:color w:val="auto"/>
        </w:rPr>
        <w:t xml:space="preserve">Placement Fees – </w:t>
      </w:r>
      <w:r>
        <w:rPr>
          <w:rFonts w:ascii="Arial" w:cs="Arial" w:eastAsia="Arial" w:hAnsi="Arial"/>
          <w:sz w:val="16"/>
          <w:szCs w:val="16"/>
          <w:color w:val="auto"/>
        </w:rPr>
        <w:t>Placement fee revenues are attributable to capital raising on both a primary and secondary basis. The Company recognizes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placement advisory fees at the time of the client’s acceptance of capital or capital commitments in accordance with the terms of the engagement letter.</w:t>
      </w:r>
    </w:p>
    <w:p>
      <w:pPr>
        <w:spacing w:after="0" w:line="70" w:lineRule="exact"/>
        <w:rPr>
          <w:sz w:val="20"/>
          <w:szCs w:val="20"/>
          <w:color w:val="auto"/>
        </w:rPr>
      </w:pPr>
    </w:p>
    <w:p>
      <w:pPr>
        <w:ind w:right="40" w:firstLine="878"/>
        <w:spacing w:after="0" w:line="286" w:lineRule="auto"/>
        <w:rPr>
          <w:sz w:val="20"/>
          <w:szCs w:val="20"/>
          <w:color w:val="auto"/>
        </w:rPr>
      </w:pPr>
      <w:r>
        <w:rPr>
          <w:rFonts w:ascii="Arial" w:cs="Arial" w:eastAsia="Arial" w:hAnsi="Arial"/>
          <w:sz w:val="17"/>
          <w:szCs w:val="17"/>
          <w:b w:val="1"/>
          <w:bCs w:val="1"/>
          <w:i w:val="1"/>
          <w:iCs w:val="1"/>
          <w:color w:val="auto"/>
        </w:rPr>
        <w:t xml:space="preserve">Underwriting Fees </w:t>
      </w:r>
      <w:r>
        <w:rPr>
          <w:rFonts w:ascii="Arial" w:cs="Arial" w:eastAsia="Arial" w:hAnsi="Arial"/>
          <w:sz w:val="17"/>
          <w:szCs w:val="17"/>
          <w:color w:val="auto"/>
        </w:rPr>
        <w:t>– Underwriting revenues are attributable to public and private offerings of equity and debt securities and are recognized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offering has been deemed to be completed by the lead manager of the underwriting group. When the offering is completed, the Company recognizes the applicable management fee, selling concession and underwriting fee, the latter net of estimated offering expenses.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81" w:lineRule="exact"/>
        <w:rPr>
          <w:sz w:val="20"/>
          <w:szCs w:val="20"/>
          <w:color w:val="auto"/>
        </w:rPr>
      </w:pPr>
    </w:p>
    <w:p>
      <w:pPr>
        <w:ind w:right="180" w:firstLine="878"/>
        <w:spacing w:after="0" w:line="308" w:lineRule="auto"/>
        <w:rPr>
          <w:sz w:val="20"/>
          <w:szCs w:val="20"/>
          <w:color w:val="auto"/>
        </w:rPr>
      </w:pPr>
      <w:r>
        <w:rPr>
          <w:rFonts w:ascii="Arial" w:cs="Arial" w:eastAsia="Arial" w:hAnsi="Arial"/>
          <w:sz w:val="17"/>
          <w:szCs w:val="17"/>
          <w:b w:val="1"/>
          <w:bCs w:val="1"/>
          <w:i w:val="1"/>
          <w:iCs w:val="1"/>
          <w:color w:val="auto"/>
        </w:rPr>
        <w:t xml:space="preserve">Commissions – </w:t>
      </w:r>
      <w:r>
        <w:rPr>
          <w:rFonts w:ascii="Arial" w:cs="Arial" w:eastAsia="Arial" w:hAnsi="Arial"/>
          <w:sz w:val="17"/>
          <w:szCs w:val="17"/>
          <w:color w:val="auto"/>
        </w:rPr>
        <w:t>Commissions received from customers for the execution of agency-based brokerage transactions in listed and over-the-counter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equities are recorded on a trade-date basis or, in the case of payments under commission sharing arrangements, when earned.</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Taxes collected from customers and remitted to governmental authorities are presented on a net basis on the Consolidated Statements of Operations.</w:t>
      </w:r>
    </w:p>
    <w:p>
      <w:pPr>
        <w:spacing w:after="0" w:line="1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The Company’s Investment Management business generates revenues from the management of client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private equity funds.</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Investment management fees for third-party clients are generally based on the value of the assets under management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are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The management fees may provide for a management fee offset for certain portfolio company fees the Company earns. The Company also records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underlying agreements and policy elections of affiliated investment managers.</w:t>
      </w:r>
    </w:p>
    <w:p>
      <w:pPr>
        <w:spacing w:after="0" w:line="13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Fees generated for serving as an independent fiduciary and/or trustee are either based on a flat fee, are pre-negotiated with the client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w:t>
      </w:r>
    </w:p>
    <w:p>
      <w:pPr>
        <w:spacing w:after="0" w:line="10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b w:val="1"/>
          <w:bCs w:val="1"/>
          <w:i w:val="1"/>
          <w:iCs w:val="1"/>
          <w:color w:val="auto"/>
        </w:rPr>
        <w:t xml:space="preserve">Other Revenue, Including Interest and Interest Expense </w:t>
      </w:r>
      <w:r>
        <w:rPr>
          <w:rFonts w:ascii="Arial" w:cs="Arial" w:eastAsia="Arial" w:hAnsi="Arial"/>
          <w:sz w:val="16"/>
          <w:szCs w:val="16"/>
          <w:color w:val="auto"/>
        </w:rPr>
        <w:t>– Other Revenue, Including Interest and Interest Expense is derived primarily from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These transactions are principally repurchases and resales of Mexican government securities. Revenue and expenses associated with these transactions are recognized over the term of the repurchase transaction. Other Revenue, Including Interest and Interest Expense also includes interest expense associated with the $120,000 principal amount of senior unsecured notes (“Senior Notes”), as well as income earned on marketable securities and cash deposited with financial institutions and changes in amounts due pursuant to the Company's tax receivable agreements.</w:t>
      </w:r>
    </w:p>
    <w:p>
      <w:pPr>
        <w:spacing w:after="0" w:line="10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Client Expense Reimbursement </w:t>
      </w:r>
      <w:r>
        <w:rPr>
          <w:rFonts w:ascii="Arial" w:cs="Arial" w:eastAsia="Arial" w:hAnsi="Arial"/>
          <w:sz w:val="18"/>
          <w:szCs w:val="18"/>
          <w:color w:val="auto"/>
        </w:rPr>
        <w:t>– In the conduct of its financial advisory service engagements and in advising the private equity funds,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reimbursement for certain expenses incurred by the Company on behalf of its clients and the funds. Transaction-related expenses, which are billable to clients, are recognized as revenue and recorded in Accounts Receivable on the later of the date of an executed engagement letter or the date the expense is incurred.</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 Noncontrolling interest recorded in the consolidated financial statements of the Company relates to the portions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not owned by the Company. The Company allocates net income to noncontrolling interests held at Evercore LP and at the operating entity level, where required, by multiplying the vested equity ownership percentage of the noncontrolling interest holders for the period by the net income or loss for the entity which the noncontrolling interest relates. In circumstances where the governing documents of the entity to which the noncontrolling interest relates require special allocations of profits (losses) to the controlling and noncontrolling interest holders, then the net income or loss of these entities will be allocated based on these special allocations.</w:t>
      </w:r>
    </w:p>
    <w:p>
      <w:pPr>
        <w:spacing w:after="0" w:line="13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requires reporting entities to present noncontrolling (minority) interests as equity (as opposed to as a liability or mezzanine equity) and provides guidance on the accounting for transactions between an entity and noncontrolling interests. Noncontrolling Interest is presented as a component of Total Equity on the Consolidated Statements of Financial Condition and below Net Income on the Consolidated Statements of Operations. In addition, there is an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allocation of the components of Total Comprehensive Income between controlling interests and noncontrolling interests for the years ended December 31, 2013, 2012 and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highly-liquid investments with original maturities of three months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57"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The majority of the Company’s assets and liabilities are recorded at fair value or at amounts that approximate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fair value. Such assets and liabilities include cash and cash equivalents, investments, marketable securities, financial instruments owned and pledged as collateral, repurchase and reverse repurchase agreements, receivables and payables and accruals. See Note 10 for further information.</w:t>
      </w:r>
    </w:p>
    <w:p>
      <w:pPr>
        <w:spacing w:after="0" w:line="93"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xml:space="preserve">– Marketable Securities include investments in corporate, municipal and other debt securities, as well as investments in readily-marketable equity securities, which are accounted for as available-for-sale under ASC 320-10,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These securities are carried at fair value on the Consolidated Statements of Financial Condition. Unrealized gains and losses are reported as net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decreases to Accumulated Other Comprehensive Income (Loss), net of tax, while realized gains and losses on these securities are determined using the specific identification method and are included in Other Revenue, Including Interest on the Consolidated Statements of Operations. The readily-marketable debt and equity securities are valued using quoted market prices on applicable exchanges or markets. Marketable Securities also include investments in municipal bonds held at EGL and mutual funds, which are carried at fair value, with changes in fair value recorded in Other Revenues, Including Interest on the Consolidated Statements of Operations. Marketable Securities transactions are recorded as of the trade date.</w:t>
      </w:r>
    </w:p>
    <w:p>
      <w:pPr>
        <w:spacing w:after="0" w:line="112"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Financial Instruments Owned and Pledged as Collateral at Fair Value </w:t>
      </w:r>
      <w:r>
        <w:rPr>
          <w:rFonts w:ascii="Arial" w:cs="Arial" w:eastAsia="Arial" w:hAnsi="Arial"/>
          <w:sz w:val="18"/>
          <w:szCs w:val="18"/>
          <w:color w:val="auto"/>
        </w:rPr>
        <w:t>– The Company’s Financial Instruments Owned and Pledged as Collateral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consist principally of foreign government obligations, which are recorded on a trade-date basis and are stated at quoted market values. Related gains and losses are reflected in Other Revenue, Including Interest on the Consolidated Statements of Operations. The Company pledges the Financial Instruments Owned and Pledged as Collateral at Fair Value to collateralize certain financing arrangements, which permits the counterparty to pledge the securities.</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Securities Purchased Under Agreements to Resell and Securities Sold Under Agreements to Repurchase </w:t>
      </w:r>
      <w:r>
        <w:rPr>
          <w:rFonts w:ascii="Arial" w:cs="Arial" w:eastAsia="Arial" w:hAnsi="Arial"/>
          <w:sz w:val="18"/>
          <w:szCs w:val="18"/>
          <w:color w:val="auto"/>
        </w:rPr>
        <w:t>– Securities Purchased Under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Resell and Securities Sold Under Agreements to Repurchase are treated as collateralized financing transactions. The agreements provide that the transferor will receive substantially the same securities in return at the maturity of the agreement. These transactions are carried at the amounts at which the related securities will be subsequently resold or repurchased, plus accrued interest payable or receivable. As the maturities on these transactions are short-term in nature (i.e. generally mature on the next business day) and the underlying securities are debt instruments of the Mexican Governments or its agencies, their carrying amounts approximate fair value. The Company periodically assesses the collectability or credit quality related to securities purchased under agreements to resell.</w:t>
      </w:r>
    </w:p>
    <w:p>
      <w:pPr>
        <w:spacing w:after="0" w:line="103" w:lineRule="exact"/>
        <w:rPr>
          <w:sz w:val="20"/>
          <w:szCs w:val="20"/>
          <w:color w:val="auto"/>
        </w:rPr>
      </w:pPr>
    </w:p>
    <w:p>
      <w:pPr>
        <w:ind w:right="240" w:firstLine="432"/>
        <w:spacing w:after="0" w:line="306" w:lineRule="auto"/>
        <w:rPr>
          <w:sz w:val="20"/>
          <w:szCs w:val="20"/>
          <w:color w:val="auto"/>
        </w:rPr>
      </w:pPr>
      <w:r>
        <w:rPr>
          <w:rFonts w:ascii="Arial" w:cs="Arial" w:eastAsia="Arial" w:hAnsi="Arial"/>
          <w:sz w:val="17"/>
          <w:szCs w:val="17"/>
          <w:b w:val="1"/>
          <w:bCs w:val="1"/>
          <w:i w:val="1"/>
          <w:iCs w:val="1"/>
          <w:color w:val="auto"/>
        </w:rPr>
        <w:t xml:space="preserve">Investments </w:t>
      </w:r>
      <w:r>
        <w:rPr>
          <w:rFonts w:ascii="Arial" w:cs="Arial" w:eastAsia="Arial" w:hAnsi="Arial"/>
          <w:sz w:val="17"/>
          <w:szCs w:val="17"/>
          <w:color w:val="auto"/>
        </w:rPr>
        <w:t>– The Company’s investments include investments in private equity partnerships, the Company’s equity interests in G5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ǀ</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Evercore, ABS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Management, LLC (“ABS”) and Evercore Pan-Asset Capital Management (“Pan”, consolidated on March 15, 2013 and sold on December 3, 2013), which are accounted for under the equity method of accounting and Trilantic Capital Partners ("Trilantic").</w:t>
      </w:r>
    </w:p>
    <w:p>
      <w:pPr>
        <w:spacing w:after="0" w:line="14" w:lineRule="exact"/>
        <w:rPr>
          <w:sz w:val="20"/>
          <w:szCs w:val="20"/>
          <w:color w:val="auto"/>
        </w:rPr>
      </w:pPr>
    </w:p>
    <w:p>
      <w:pPr>
        <w:ind w:right="80" w:firstLine="878"/>
        <w:spacing w:after="0" w:line="271" w:lineRule="auto"/>
        <w:rPr>
          <w:sz w:val="20"/>
          <w:szCs w:val="20"/>
          <w:color w:val="auto"/>
        </w:rPr>
      </w:pPr>
      <w:r>
        <w:rPr>
          <w:rFonts w:ascii="Arial" w:cs="Arial" w:eastAsia="Arial" w:hAnsi="Arial"/>
          <w:sz w:val="17"/>
          <w:szCs w:val="17"/>
          <w:b w:val="1"/>
          <w:bCs w:val="1"/>
          <w:i w:val="1"/>
          <w:iCs w:val="1"/>
          <w:color w:val="auto"/>
        </w:rPr>
        <w:t xml:space="preserve">Private Equity </w:t>
      </w:r>
      <w:r>
        <w:rPr>
          <w:rFonts w:ascii="Arial" w:cs="Arial" w:eastAsia="Arial" w:hAnsi="Arial"/>
          <w:sz w:val="17"/>
          <w:szCs w:val="17"/>
          <w:color w:val="auto"/>
        </w:rPr>
        <w:t>– The investments of private equity funds consist primarily of investments in marketable and non-marketable securities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companies. The underlying investments held by the private equity funds are valued based on quoted market prices or estimated fair value if there is no public market.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 The Company recognizes its allocable share of the changes in fair value of the private equity funds’ underlying investments as realized and unrealized gains (losses) within Investment Management Revenue in the Consolidated Statements of Operations.</w:t>
      </w:r>
    </w:p>
    <w:p>
      <w:pPr>
        <w:spacing w:after="0" w:line="11" w:lineRule="exact"/>
        <w:rPr>
          <w:sz w:val="20"/>
          <w:szCs w:val="20"/>
          <w:color w:val="auto"/>
        </w:rPr>
      </w:pPr>
    </w:p>
    <w:p>
      <w:pPr>
        <w:ind w:right="360" w:firstLine="878"/>
        <w:spacing w:after="0" w:line="283" w:lineRule="auto"/>
        <w:rPr>
          <w:sz w:val="20"/>
          <w:szCs w:val="20"/>
          <w:color w:val="auto"/>
        </w:rPr>
      </w:pPr>
      <w:r>
        <w:rPr>
          <w:rFonts w:ascii="Arial" w:cs="Arial" w:eastAsia="Arial" w:hAnsi="Arial"/>
          <w:sz w:val="18"/>
          <w:szCs w:val="18"/>
          <w:b w:val="1"/>
          <w:bCs w:val="1"/>
          <w:i w:val="1"/>
          <w:iCs w:val="1"/>
          <w:color w:val="auto"/>
        </w:rPr>
        <w:t xml:space="preserve">Affiliates </w:t>
      </w:r>
      <w:r>
        <w:rPr>
          <w:rFonts w:ascii="Arial" w:cs="Arial" w:eastAsia="Arial" w:hAnsi="Arial"/>
          <w:sz w:val="18"/>
          <w:szCs w:val="18"/>
          <w:color w:val="auto"/>
        </w:rPr>
        <w:t>– The Company’s equity interests in G5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ǀ</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ABS and Pan (consolidated on March 15, 2013 and sold on December 3,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its share of the income (losses) within Income (Loss) from Equity Method Investments, as a component of Income Before Income Taxes, on the Consolidated Statements of Operations.</w:t>
      </w:r>
    </w:p>
    <w:p>
      <w:pPr>
        <w:spacing w:after="0" w:line="11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assesses its Equity Method Investments annually for impairment, or more frequently if circumstances indicate impairment may have occurred.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also maintains an investment in Trilantic. See Note 9 for further information.</w:t>
      </w:r>
    </w:p>
    <w:p>
      <w:pPr>
        <w:spacing w:after="0" w:line="171" w:lineRule="exact"/>
        <w:rPr>
          <w:sz w:val="20"/>
          <w:szCs w:val="20"/>
          <w:color w:val="auto"/>
        </w:rPr>
      </w:pPr>
    </w:p>
    <w:p>
      <w:pPr>
        <w:ind w:firstLine="432"/>
        <w:spacing w:after="0" w:line="232"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 Goodwill is tested for impairment annually, as of November 30</w:t>
      </w:r>
      <w:r>
        <w:rPr>
          <w:rFonts w:ascii="Arial" w:cs="Arial" w:eastAsia="Arial" w:hAnsi="Arial"/>
          <w:sz w:val="25"/>
          <w:szCs w:val="25"/>
          <w:color w:val="auto"/>
          <w:vertAlign w:val="superscript"/>
        </w:rPr>
        <w:t>th</w:t>
      </w:r>
      <w:r>
        <w:rPr>
          <w:rFonts w:ascii="Arial" w:cs="Arial" w:eastAsia="Arial" w:hAnsi="Arial"/>
          <w:sz w:val="18"/>
          <w:szCs w:val="18"/>
          <w:color w:val="auto"/>
        </w:rPr>
        <w:t>, or more frequently if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may have occurred. The Company assesses whether any goodwill recorded by its applicable reporting unit is impaired by comparing the fair value of each reporting unit with its respective carrying amount. For acquired businesses, contingent consideration is recognized and measured at fair value as of the acquisition date and at subsequent reporting periods.</w:t>
      </w:r>
    </w:p>
    <w:p>
      <w:pPr>
        <w:spacing w:after="0" w:line="1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Intangible assets with finite lives are amortized over their estimated useful lives and are reviewed for impairment whenever events or changes in circumstances indicate that the carrying amount of such assets may not be recoverable as prescribed by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("ASC 360").</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tests goodwill for impairment at the reporting unit level. In determining the fair value for each reporting unit the Company utilizes either a market multiple approach or a discounted cash flow methodology based on the adjusted cash flows from operations, or a weighted combination of both a market multiple approach and discounted cash flow methodology. The market multiple approach includes applying the average earnings multiples of comparable public companies for their respective reporting unit multiplied by the forecasted earnings of the respective reporting unit to yield an estimate of fair value. The discounted cash flow methodology begins with the forecasted adjusted cash flows from each of the reporting units and uses a discount rate that reflects the weighted average cost of capital adjusted for the risks inherent in the future cash flows.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4 for further information.</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Compensation includes salaries, bonuses (discretionary awards and guaranteed amounts), severance, deferred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share-based compensation. Cash bonuses are accrued over the respective service periods to which they relate and deferred cash and share-based bonuses are expensed prospectively over their requisite service period.</w:t>
      </w:r>
    </w:p>
    <w:p>
      <w:pPr>
        <w:spacing w:after="0" w:line="12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–The Company accounts for share-based payments in accordance with ASC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 – Stock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718”). See Note 17 for further information.</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Compensation expense recognized pursuant to share-based awards is based on the grant date fair value of the award. The fair value (as measured on the grant date) of awards that vest from one to five years (“Service-based Awards”) is amortized over the vesting periods or requisite service periods as required under ASC 718, however, the vesting of some Service-based Awards will accelerate upon the occurrence of certain events. The Company amortizes the grant-date fair value of share-based compensation awards made to employees, who are or will become retirement eligible prior to the stated vesting date, over the expected substantive service period. For the purposes of calculating diluted net income per share attributable to Evercore Partners Inc. common shareholders, unvested Service-based Awards are included in the diluted weighted average Class A Shares outstanding using the treasury stock method. Once vested, restricted stock units (“RSUs”) and restricted stock are included in the basic and diluted weighted average Class A Shares outstanding. Expense relating to RSUs and restricted stock is charged to Employee Compensation and Benefits within the Consolidated Statements of Operations. For a discussion of Event-based Awards, see Note 17.</w:t>
      </w:r>
    </w:p>
    <w:p>
      <w:pPr>
        <w:spacing w:after="0" w:line="12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Awards classified as liabilities as required under ASC 718, such as cash settled share-based awards, are re-measured at fair value at each reporting period.</w:t>
      </w:r>
    </w:p>
    <w:p>
      <w:pPr>
        <w:spacing w:after="0" w:line="116"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 Foreign currency assets and liabilities have been translated at rates of exchange prevailing at the end of the periods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Income and expenses transacted in foreign currency have been translated at average monthly exchange rates during the period. Translation gains and losses are included in the foreign currency translation adjustment as a component of Accumulated Other Comprehensive Income (Loss) in the Consolidated Statements of Changes in Equity and Other Comprehensive Income (Loss) in the Consolidated Statements of Comprehensive Income. Exchange gains and losses arising from translating intercompany balances of a long-term investment nature are recorded in the foreign currency translation account while transactional exchange gains and losses are included in Other Revenue, Including Interest on the Consolidated Statements of Operations.</w:t>
      </w:r>
    </w:p>
    <w:p>
      <w:pPr>
        <w:spacing w:after="0" w:line="11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accounts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740”), which requires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benefits or expenses on temporary differences between the financial reporting and tax bases of its assets and liabilities, as disclosed in Note 20.</w:t>
      </w:r>
    </w:p>
    <w:p>
      <w:pPr>
        <w:spacing w:after="0" w:line="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financial reporting and tax bases of assets and liabilities and are measured using the enacted tax rates and laws that will be in effect when such differences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expected to reverse. Such temporary differences are reflected on the Company’s Consolidated Statements of Financial Condition as deferred tax assets and liabilities. Deferred tax assets are reduced by a valuation allowance when it is more-likely-than-not that some portion or all of the deferred tax assets will not be realized. Significant management judgment is required in determining the Company’s provision for income taxes, deferred tax assets and liabilities and any valuation allowance recorded against the Company’s net deferred tax assets.</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ASC 740 also requires the recognition of liabilities created by differences between tax positions taken in a tax return and amounts recognized in the financial statements. See Note 20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17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ASU 2011-11 </w:t>
      </w:r>
      <w:r>
        <w:rPr>
          <w:rFonts w:ascii="Arial" w:cs="Arial" w:eastAsia="Arial" w:hAnsi="Arial"/>
          <w:sz w:val="16"/>
          <w:szCs w:val="16"/>
          <w:color w:val="auto"/>
        </w:rPr>
        <w:t>– In December 2011, the Financial Accounting Standards Board (“FASB”) issued ASU No. 2011-11,</w:t>
      </w:r>
      <w:r>
        <w:rPr>
          <w:rFonts w:ascii="Arial" w:cs="Arial" w:eastAsia="Arial" w:hAnsi="Arial"/>
          <w:sz w:val="16"/>
          <w:szCs w:val="16"/>
          <w:i w:val="1"/>
          <w:iCs w:val="1"/>
          <w:color w:val="auto"/>
        </w:rPr>
        <w:t xml:space="preserve"> “Disclosures about Offsetting Assets and Liabilities” </w:t>
      </w:r>
      <w:r>
        <w:rPr>
          <w:rFonts w:ascii="Arial" w:cs="Arial" w:eastAsia="Arial" w:hAnsi="Arial"/>
          <w:sz w:val="16"/>
          <w:szCs w:val="16"/>
          <w:color w:val="auto"/>
        </w:rPr>
        <w:t>(“ASU 2011-11”). ASU 2011-11 provides amendments to ASC No. 210,</w:t>
      </w:r>
      <w:r>
        <w:rPr>
          <w:rFonts w:ascii="Arial" w:cs="Arial" w:eastAsia="Arial" w:hAnsi="Arial"/>
          <w:sz w:val="16"/>
          <w:szCs w:val="16"/>
          <w:i w:val="1"/>
          <w:iCs w:val="1"/>
          <w:color w:val="auto"/>
        </w:rPr>
        <w:t xml:space="preserve"> “Balance Sheet”</w:t>
      </w:r>
      <w:r>
        <w:rPr>
          <w:rFonts w:ascii="Arial" w:cs="Arial" w:eastAsia="Arial" w:hAnsi="Arial"/>
          <w:sz w:val="16"/>
          <w:szCs w:val="16"/>
          <w:color w:val="auto"/>
        </w:rPr>
        <w:t>, which are intended to enhance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by U.S. GAAP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This information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in the scope of this update. In January 2013, the FASB issued ASU No. 2013-01, </w:t>
      </w:r>
      <w:r>
        <w:rPr>
          <w:rFonts w:ascii="Arial" w:cs="Arial" w:eastAsia="Arial" w:hAnsi="Arial"/>
          <w:sz w:val="16"/>
          <w:szCs w:val="16"/>
          <w:i w:val="1"/>
          <w:iCs w:val="1"/>
          <w:color w:val="auto"/>
        </w:rPr>
        <w:t>“Clarifying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Disclosures about Offsetting Assets and Liabilities” </w:t>
      </w:r>
      <w:r>
        <w:rPr>
          <w:rFonts w:ascii="Arial" w:cs="Arial" w:eastAsia="Arial" w:hAnsi="Arial"/>
          <w:sz w:val="16"/>
          <w:szCs w:val="16"/>
          <w:color w:val="auto"/>
        </w:rPr>
        <w:t>(“ASU 2013-01”), which provides amendments that clarify that the scope of ASU 2011-11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applies to derivatives accounted for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including bifurcated embedded derivatives, repurchase and reverse repurchase agreements, and securities borrowing and securities lending transactions. The amendments in these updates are effective retrospectively for interim and annual periods beginning after January 1, 2013. The adoption of ASU 2011-11 and ASU 2013-01 did not have a material impact on the Company’s financial condition, results of operations and cash flows, or disclosures thereto.</w:t>
      </w:r>
    </w:p>
    <w:p>
      <w:pPr>
        <w:spacing w:after="0" w:line="115"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ASU 2013-02 </w:t>
      </w:r>
      <w:r>
        <w:rPr>
          <w:rFonts w:ascii="Arial" w:cs="Arial" w:eastAsia="Arial" w:hAnsi="Arial"/>
          <w:sz w:val="18"/>
          <w:szCs w:val="18"/>
          <w:color w:val="auto"/>
        </w:rPr>
        <w:t>– In February 2013, the FASB issued ASU No. 2013-02,</w:t>
      </w:r>
      <w:r>
        <w:rPr>
          <w:rFonts w:ascii="Arial" w:cs="Arial" w:eastAsia="Arial" w:hAnsi="Arial"/>
          <w:sz w:val="18"/>
          <w:szCs w:val="18"/>
          <w:i w:val="1"/>
          <w:iCs w:val="1"/>
          <w:color w:val="auto"/>
        </w:rPr>
        <w:t xml:space="preserve"> “Reporting of Amounts Reclassified Out of Accumulated Other Comprehensive Income” </w:t>
      </w:r>
      <w:r>
        <w:rPr>
          <w:rFonts w:ascii="Arial" w:cs="Arial" w:eastAsia="Arial" w:hAnsi="Arial"/>
          <w:sz w:val="18"/>
          <w:szCs w:val="18"/>
          <w:color w:val="auto"/>
        </w:rPr>
        <w:t>(“ASU 2013-02”). ASU 2013-02 provides amendments to ASC No. 220,</w:t>
      </w:r>
      <w:r>
        <w:rPr>
          <w:rFonts w:ascii="Arial" w:cs="Arial" w:eastAsia="Arial" w:hAnsi="Arial"/>
          <w:sz w:val="18"/>
          <w:szCs w:val="18"/>
          <w:i w:val="1"/>
          <w:iCs w:val="1"/>
          <w:color w:val="auto"/>
        </w:rPr>
        <w:t xml:space="preserve"> “Comprehensive Income”</w:t>
      </w:r>
      <w:r>
        <w:rPr>
          <w:rFonts w:ascii="Arial" w:cs="Arial" w:eastAsia="Arial" w:hAnsi="Arial"/>
          <w:sz w:val="18"/>
          <w:szCs w:val="18"/>
          <w:color w:val="auto"/>
        </w:rPr>
        <w:t>, which are intended to enhance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U.S. GAAP by requiring improved information about the amounts reclassified out of accumulated other comprehensive income by component, and to present, either on the face of the statement where net income is presented or in the notes, significant amounts reclassified out of accumulated other comprehensive income and their corresponding effect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this update are effective prospectively during interim and annual periods beginning after December 15, 2012, with early adoption permitted. The adoption of ASU 2013-02 did not have a material impact on the Company’s financial condition, results of operations and cash flows, or disclosures thereto.</w:t>
      </w:r>
    </w:p>
    <w:p>
      <w:pPr>
        <w:spacing w:after="0" w:line="14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ASU 2013-05 </w:t>
      </w:r>
      <w:r>
        <w:rPr>
          <w:rFonts w:ascii="Arial" w:cs="Arial" w:eastAsia="Arial" w:hAnsi="Arial"/>
          <w:sz w:val="18"/>
          <w:szCs w:val="18"/>
          <w:color w:val="auto"/>
        </w:rPr>
        <w:t>– In March 2013, the FASB issued ASU No. 2013-05,</w:t>
      </w:r>
      <w:r>
        <w:rPr>
          <w:rFonts w:ascii="Arial" w:cs="Arial" w:eastAsia="Arial" w:hAnsi="Arial"/>
          <w:sz w:val="18"/>
          <w:szCs w:val="18"/>
          <w:i w:val="1"/>
          <w:iCs w:val="1"/>
          <w:color w:val="auto"/>
        </w:rPr>
        <w:t xml:space="preserve"> “Parent’s Accounting for the Cumulative Translation Adjustment upon Derecognition of Certain Subsidiaries or Groups of Assets within a Foreign Entity or of an Investment in a Foreign Entity” </w:t>
      </w:r>
      <w:r>
        <w:rPr>
          <w:rFonts w:ascii="Arial" w:cs="Arial" w:eastAsia="Arial" w:hAnsi="Arial"/>
          <w:sz w:val="18"/>
          <w:szCs w:val="18"/>
          <w:color w:val="auto"/>
        </w:rPr>
        <w:t>(“ASU 2013-05”). ASU 2013-05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provides amendments to ASC No.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which are intended to resolve diversity in practice by clarifying the guidance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The amendments also clarify the guidance for the release of the cumulative translation adjustment into net income for business combinations achieved in stages involving a foreign entity. The amendments in this update are effective prospectively during interim and annual periods beginning after December 15, 2013, with early adoption permitted. The adoption of ASU 2013-05 did not have a material impact on the Company’s financial condition, results of operations and cash flows, or disclosures thereto.</w:t>
      </w:r>
    </w:p>
    <w:p>
      <w:pPr>
        <w:spacing w:after="0" w:line="14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i w:val="1"/>
          <w:iCs w:val="1"/>
          <w:color w:val="auto"/>
        </w:rPr>
        <w:t xml:space="preserve">ASU 2013-08 </w:t>
      </w:r>
      <w:r>
        <w:rPr>
          <w:rFonts w:ascii="Arial" w:cs="Arial" w:eastAsia="Arial" w:hAnsi="Arial"/>
          <w:sz w:val="18"/>
          <w:szCs w:val="18"/>
          <w:color w:val="auto"/>
        </w:rPr>
        <w:t>– In June 2013, the FASB issued ASU No. 2013-08,</w:t>
      </w:r>
      <w:r>
        <w:rPr>
          <w:rFonts w:ascii="Arial" w:cs="Arial" w:eastAsia="Arial" w:hAnsi="Arial"/>
          <w:sz w:val="18"/>
          <w:szCs w:val="18"/>
          <w:i w:val="1"/>
          <w:iCs w:val="1"/>
          <w:color w:val="auto"/>
        </w:rPr>
        <w:t xml:space="preserve"> “Amendments to the Scope, Measurement, and Disclosure Requirements”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2013-08”). ASU 2013-08 provides amendments to ASC No. 946, </w:t>
      </w:r>
      <w:r>
        <w:rPr>
          <w:rFonts w:ascii="Arial" w:cs="Arial" w:eastAsia="Arial" w:hAnsi="Arial"/>
          <w:sz w:val="18"/>
          <w:szCs w:val="18"/>
          <w:i w:val="1"/>
          <w:iCs w:val="1"/>
          <w:color w:val="auto"/>
        </w:rPr>
        <w:t>“Financial Services -</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Investment Companies”</w:t>
      </w:r>
      <w:r>
        <w:rPr>
          <w:rFonts w:ascii="Arial" w:cs="Arial" w:eastAsia="Arial" w:hAnsi="Arial"/>
          <w:sz w:val="17"/>
          <w:szCs w:val="17"/>
          <w:color w:val="auto"/>
        </w:rPr>
        <w:t>, which modify the guidance for the assessment of whether an entity is an investment company and provide additional implementation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the assessment. The amendments also require fair value measurement rather than equity method accounting for noncontrolling ownership interests in other investment companies, and require additional disclosures about an entity's status as an investment company and financial support provided or contractually required to be provided by an investment company to its investees. The amendments in this update are effective prospectively during interim and annual periods beginning after December 15, 2013, with early adoption prohibited. The adoption of ASU 2013-08 did not have a material impact on the Company’s financial condition, results of operations and cash flows, or disclosures thereto.</w:t>
      </w:r>
    </w:p>
    <w:p>
      <w:pPr>
        <w:spacing w:after="0" w:line="12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ASU 2013-11 </w:t>
      </w:r>
      <w:r>
        <w:rPr>
          <w:rFonts w:ascii="Arial" w:cs="Arial" w:eastAsia="Arial" w:hAnsi="Arial"/>
          <w:sz w:val="16"/>
          <w:szCs w:val="16"/>
          <w:color w:val="auto"/>
        </w:rPr>
        <w:t>– In July 2013, the FASB issued ASU No. 2013-11,</w:t>
      </w:r>
      <w:r>
        <w:rPr>
          <w:rFonts w:ascii="Arial" w:cs="Arial" w:eastAsia="Arial" w:hAnsi="Arial"/>
          <w:sz w:val="16"/>
          <w:szCs w:val="16"/>
          <w:i w:val="1"/>
          <w:iCs w:val="1"/>
          <w:color w:val="auto"/>
        </w:rPr>
        <w:t xml:space="preserve"> “Presentation of an Unrecognized Tax Benefit When a Net Operating Loss Carryforward, a Similar Tax Loss, or a Tax Credit Carryforward Exists” </w:t>
      </w:r>
      <w:r>
        <w:rPr>
          <w:rFonts w:ascii="Arial" w:cs="Arial" w:eastAsia="Arial" w:hAnsi="Arial"/>
          <w:sz w:val="16"/>
          <w:szCs w:val="16"/>
          <w:color w:val="auto"/>
        </w:rPr>
        <w:t>(“ASU 2013-11”). ASU 2013-11 provides amendments to ASC No. 740,</w:t>
      </w:r>
      <w:r>
        <w:rPr>
          <w:rFonts w:ascii="Arial" w:cs="Arial" w:eastAsia="Arial" w:hAnsi="Arial"/>
          <w:sz w:val="16"/>
          <w:szCs w:val="16"/>
          <w:i w:val="1"/>
          <w:iCs w:val="1"/>
          <w:color w:val="auto"/>
        </w:rPr>
        <w:t xml:space="preserve"> “Income Taxes”</w:t>
      </w:r>
      <w:r>
        <w:rPr>
          <w:rFonts w:ascii="Arial" w:cs="Arial" w:eastAsia="Arial" w:hAnsi="Arial"/>
          <w:sz w:val="16"/>
          <w:szCs w:val="16"/>
          <w:color w:val="auto"/>
        </w:rPr>
        <w:t>, which clarify the guidance for the financial statement presentation of an unrecognized tax benefit when a net operating loss carryforward, a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tax loss, or a tax credit carryforward exists. The amendments require that an unrecognized tax benefit, or a portion of an unrecognized tax benefit, be presented in the financial statements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update are effective prospectively during interim and annual periods beginning after December 15, 2013, with early adoption permitted. The adoption of ASU 2013-11 did not have a material impact on the Company’s financial condition, results of operations and cash flows, or disclosures thereto.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Changes and Developments</w:t>
      </w:r>
    </w:p>
    <w:p>
      <w:pPr>
        <w:spacing w:after="0" w:line="25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Pan and Discontinued Operations - </w:t>
      </w:r>
      <w:r>
        <w:rPr>
          <w:rFonts w:ascii="Arial" w:cs="Arial" w:eastAsia="Arial" w:hAnsi="Arial"/>
          <w:sz w:val="18"/>
          <w:szCs w:val="18"/>
          <w:color w:val="auto"/>
        </w:rPr>
        <w:t>In 2008, the Company made an equity method investment of $4,158 in Pan. This investment resulted in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of ($55), $90 and ($420) for the years ended December 31, 2013, 2012 and 2011, respectively, included within Income from Equity Method Investments on the Consolidated Statements of Operations.</w:t>
      </w:r>
    </w:p>
    <w:p>
      <w:pPr>
        <w:spacing w:after="0" w:line="46"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2011 and 2012, the Company concluded that Pan was a VIE, and that the Company was not the primary beneficiary of the VIE. On March 15, 2013, the Company exchanged its notes receivable from Pan for additional common equity, increasing its common equity ownership interest to 68%, from 50%. The Company viewed this transaction as a reconsideration event and concluded that it had become the primary beneficiary of Pan, and therefore consolidated Pan in the Company's consolidated financial statements as of that date. The Company determined that it was the primary beneficiary of Pan because it possessed the power to significantly impact the economic performance of Pan and maintained the obligation to absorb losses of Pan, which could be potentially significant, or the right to receive benefits from Pan, that could be potentially significant. The assets retained by Pan are not generally available to the Company and the liabilities are generally non-recourse to the Company. The consolidation also resulted in goodwill of $3,020 and intangible assets relating to client relationships of $1,440, recognized in the Investment Management Segment. The intangible assets were being amortized over an estimated useful life of seven years.</w:t>
      </w:r>
    </w:p>
    <w:p>
      <w:pPr>
        <w:spacing w:after="0" w:line="6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the third quarter of 2013, as part of an ongoing strategic initiative, the Company determined that Pan met the initial criteria to be classified as Held for Sale, which resulted in the Company reporting separately the assets and liabilities of Pan on the Consolidated Statement of Financial Condition. The Company further determined that Pan met the criteria to be classified within Discontinued Operations. The sale transaction closed on December 3, 2013. Based on the estimated fair value of Pan, the Company recorded a pretax loss of ($2,718) within Income (Loss) from Discontinued Operations on the Company’s Consolidated Statement of Operations for the year ended December 31, 2013. Further, discontinued operations includes revenues and pretax gains (losses) from Pan of $989 and ($1,542), respectively, for the year ended December 31, 2013.</w:t>
      </w:r>
    </w:p>
    <w:p>
      <w:pPr>
        <w:spacing w:after="0" w:line="4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b w:val="1"/>
          <w:bCs w:val="1"/>
          <w:i w:val="1"/>
          <w:iCs w:val="1"/>
          <w:color w:val="auto"/>
        </w:rPr>
        <w:t xml:space="preserve">Private Capital Advisory </w:t>
      </w:r>
      <w:r>
        <w:rPr>
          <w:rFonts w:ascii="Arial" w:cs="Arial" w:eastAsia="Arial" w:hAnsi="Arial"/>
          <w:sz w:val="17"/>
          <w:szCs w:val="17"/>
          <w:color w:val="auto"/>
        </w:rPr>
        <w:t>- During 2013, the Company expanded its global investment banking platform by establishing a private capital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focused on secondary transactions for private funds interests. In conjunction with the expansion, the Company formed Evercore Private Capital Advisory L.P. ("PCA"). The Company owns 80% of the common equity interest in PCA, with the remaining 20% owned by employees engaged in PCA's business. The Company is the general partner of PCA. The Company performed an assessment under ASC 810</w:t>
      </w:r>
      <w:r>
        <w:rPr>
          <w:rFonts w:ascii="Arial" w:cs="Arial" w:eastAsia="Arial" w:hAnsi="Arial"/>
          <w:sz w:val="17"/>
          <w:szCs w:val="17"/>
          <w:i w:val="1"/>
          <w:iCs w:val="1"/>
          <w:color w:val="auto"/>
        </w:rPr>
        <w:t>,</w:t>
      </w:r>
      <w:r>
        <w:rPr>
          <w:rFonts w:ascii="Arial" w:cs="Arial" w:eastAsia="Arial" w:hAnsi="Arial"/>
          <w:sz w:val="17"/>
          <w:szCs w:val="17"/>
          <w:color w:val="auto"/>
        </w:rPr>
        <w:t xml:space="preserve"> and concluded that PCA is a VIE and determined that the Company is the primary beneficiary of this VIE. Specifically, the Company's general partner interest provides the Company with the ability to make decisions that significantly impact the economic performance of PCA, while the limited partners do not possess substantive participating rights over PCA. The Company's assessment of the primary beneficiary included assessing which parties have the power to significantly impact the economic performance and the obligation to absorb losses, which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could be potentially significant to the entity, or the right to receive benefits from the entity that could be potentially significant. The assets of PCA are not generally available to the Company and the liabilities are generally non-recourse to the Company.</w:t>
      </w:r>
    </w:p>
    <w:p>
      <w:pPr>
        <w:spacing w:after="0" w:line="3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b w:val="1"/>
          <w:bCs w:val="1"/>
          <w:i w:val="1"/>
          <w:iCs w:val="1"/>
          <w:color w:val="auto"/>
        </w:rPr>
        <w:t xml:space="preserve">Mt. Eden Investment Advisors, LLC - </w:t>
      </w:r>
      <w:r>
        <w:rPr>
          <w:rFonts w:ascii="Arial" w:cs="Arial" w:eastAsia="Arial" w:hAnsi="Arial"/>
          <w:sz w:val="18"/>
          <w:szCs w:val="18"/>
          <w:color w:val="auto"/>
        </w:rPr>
        <w:t>In October 2012, the Company, through Evercore Wealth Management ("EWM"), entered into an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Mt. Eden Investment Advisors, LLC ("Mt. Eden"), a San Francisco-based registered investment advisor. The terms of the acquisition include $6,917 of cash and $2,694 of EWM equity paid to the sellers at closing, as well as contingent consideration of $282 subject to the retention of client relationships which was paid during 2013. The transaction was consummated on December 28, 2012. The transaction resulted in goodwill of $6,414 and intangible assets relating to client relationships, non-compete agreements and other intangibles of $3,630, $169 and $445, respectively, recognized in the Investment Management Segment. The intangible assets are being amortized over estimated useful lives ranging from two to 10 years. The Company recognized $455 of amortization expense related to these intangible assets for the year ended December 31, 2013. In addition, upon closing the Company funded the repayment of $1,047 of outstanding Mt. Eden debt.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associated with the Company’s acquisitions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Investment</w:t>
            </w:r>
          </w:p>
        </w:tc>
        <w:tc>
          <w:tcPr>
            <w:tcW w:w="400" w:type="dxa"/>
            <w:vAlign w:val="bottom"/>
          </w:tcPr>
          <w:p>
            <w:pPr>
              <w:spacing w:after="0"/>
              <w:rPr>
                <w:sz w:val="14"/>
                <w:szCs w:val="14"/>
                <w:color w:val="auto"/>
              </w:rPr>
            </w:pPr>
          </w:p>
        </w:tc>
        <w:tc>
          <w:tcPr>
            <w:tcW w:w="13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Banking</w:t>
            </w: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Management</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177,849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102,332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188,684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 2013 (1)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87,028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102,246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189,274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3740" w:hanging="432"/>
        <w:spacing w:after="0" w:line="507" w:lineRule="auto"/>
        <w:tabs>
          <w:tab w:leader="none" w:pos="33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balance includes the net effect of the goodwill related to the consolidation and disposition of Pan. Intangible assets associated with the Company’s acquisitions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Gross Carrying Amount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4"/>
              </w:rPr>
              <w:t>Accumulated Amortization</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Pr>
          <w:p>
            <w:pPr>
              <w:spacing w:after="0"/>
              <w:rPr>
                <w:sz w:val="24"/>
                <w:szCs w:val="24"/>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340" w:type="dxa"/>
            <w:vAlign w:val="bottom"/>
          </w:tcPr>
          <w:p>
            <w:pPr>
              <w:spacing w:after="0"/>
              <w:rPr>
                <w:sz w:val="24"/>
                <w:szCs w:val="2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Banking</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Banking</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Related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45,830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23,858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Acquired Mandates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Non-compete/Non-solicit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50,024</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54,269</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24,359</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27,538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December 31, 2012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Gross Carrying Amount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4"/>
              </w:rPr>
              <w:t>Accumulated Amortization</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Pr>
          <w:p>
            <w:pPr>
              <w:spacing w:after="0"/>
              <w:rPr>
                <w:sz w:val="24"/>
                <w:szCs w:val="24"/>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340" w:type="dxa"/>
            <w:vAlign w:val="bottom"/>
          </w:tcPr>
          <w:p>
            <w:pPr>
              <w:spacing w:after="0"/>
              <w:rPr>
                <w:sz w:val="24"/>
                <w:szCs w:val="2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Banking</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Banking</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Related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46,960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Acquired Mandates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Non-compete/Non-solicit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51,154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55,399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17,642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20,002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Expense associated with the amortization of intangible assets was $7,994, $10,872 and $14,315 for the years ended December 31, 2013, 2012 and 2011,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the intangible assets above, as of December 31, 2013, annual amortization of intangibles for each of the next five years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0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94"/>
              </w:rPr>
              <w:t>2014</w:t>
            </w:r>
          </w:p>
        </w:tc>
        <w:tc>
          <w:tcPr>
            <w:tcW w:w="5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r>
      <w:tr>
        <w:trPr>
          <w:trHeight w:val="243"/>
        </w:trPr>
        <w:tc>
          <w:tcPr>
            <w:tcW w:w="4900" w:type="dxa"/>
            <w:vAlign w:val="bottom"/>
          </w:tcPr>
          <w:p>
            <w:pPr>
              <w:jc w:val="right"/>
              <w:ind w:right="4410"/>
              <w:spacing w:after="0"/>
              <w:rPr>
                <w:sz w:val="20"/>
                <w:szCs w:val="20"/>
                <w:color w:val="auto"/>
              </w:rPr>
            </w:pPr>
            <w:r>
              <w:rPr>
                <w:rFonts w:ascii="Arial" w:cs="Arial" w:eastAsia="Arial" w:hAnsi="Arial"/>
                <w:sz w:val="18"/>
                <w:szCs w:val="18"/>
                <w:color w:val="auto"/>
                <w:w w:val="94"/>
              </w:rPr>
              <w:t>2015</w:t>
            </w:r>
          </w:p>
        </w:tc>
        <w:tc>
          <w:tcPr>
            <w:tcW w:w="53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3,864</w:t>
            </w:r>
          </w:p>
        </w:tc>
      </w:tr>
      <w:tr>
        <w:trPr>
          <w:trHeight w:val="27"/>
        </w:trPr>
        <w:tc>
          <w:tcPr>
            <w:tcW w:w="49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jc w:val="right"/>
              <w:ind w:right="4410"/>
              <w:spacing w:after="0"/>
              <w:rPr>
                <w:sz w:val="20"/>
                <w:szCs w:val="20"/>
                <w:color w:val="auto"/>
              </w:rPr>
            </w:pPr>
            <w:r>
              <w:rPr>
                <w:rFonts w:ascii="Arial" w:cs="Arial" w:eastAsia="Arial" w:hAnsi="Arial"/>
                <w:sz w:val="18"/>
                <w:szCs w:val="18"/>
                <w:color w:val="auto"/>
                <w:w w:val="94"/>
              </w:rPr>
              <w:t>2016</w:t>
            </w:r>
          </w:p>
        </w:tc>
        <w:tc>
          <w:tcPr>
            <w:tcW w:w="53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r>
      <w:tr>
        <w:trPr>
          <w:trHeight w:val="243"/>
        </w:trPr>
        <w:tc>
          <w:tcPr>
            <w:tcW w:w="4900" w:type="dxa"/>
            <w:vAlign w:val="bottom"/>
          </w:tcPr>
          <w:p>
            <w:pPr>
              <w:jc w:val="right"/>
              <w:ind w:right="4410"/>
              <w:spacing w:after="0"/>
              <w:rPr>
                <w:sz w:val="20"/>
                <w:szCs w:val="20"/>
                <w:color w:val="auto"/>
              </w:rPr>
            </w:pPr>
            <w:r>
              <w:rPr>
                <w:rFonts w:ascii="Arial" w:cs="Arial" w:eastAsia="Arial" w:hAnsi="Arial"/>
                <w:sz w:val="18"/>
                <w:szCs w:val="18"/>
                <w:color w:val="auto"/>
                <w:w w:val="94"/>
              </w:rPr>
              <w:t>2017</w:t>
            </w:r>
          </w:p>
        </w:tc>
        <w:tc>
          <w:tcPr>
            <w:tcW w:w="53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3,120</w:t>
            </w:r>
          </w:p>
        </w:tc>
      </w:tr>
      <w:tr>
        <w:trPr>
          <w:trHeight w:val="27"/>
        </w:trPr>
        <w:tc>
          <w:tcPr>
            <w:tcW w:w="49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90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94"/>
              </w:rPr>
              <w:t>2018</w:t>
            </w:r>
          </w:p>
        </w:tc>
        <w:tc>
          <w:tcPr>
            <w:tcW w:w="5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r>
      <w:tr>
        <w:trPr>
          <w:trHeight w:val="27"/>
        </w:trPr>
        <w:tc>
          <w:tcPr>
            <w:tcW w:w="490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Company recorded impairment charges of $2,888 for Goodwill and Intangible Assets during the year ended December 31, 2013. During December 2013, the founder and key member of management of Morse, Williams and Company, Inc. left the Company pursuant to a separation agreement, which among other provisions, allowed him to solicit a limited number of former clients without violating his post-employment restrictive covenant agreements. As a result, the Company experienced an outflow of client assets, and the Company performed a Step 1 impairment assessment under ASC 360 for the identifiable intangible assets that the Company recorded related to Client Relationships from the acquisition of Morse, Williams and Company, Inc., which were recognized in the Investment Management segment. The Company determined that the recoverability of the intangible assets would not be achieved and recorded an impairment charge of $170 within Special Charges on the Company's Consolidated Statement of Operations for the year ended December 31, 2013. Further, during 2013, the Company sold its interest in Pan, resulting in an impairment charge related to goodwill of $2,718 within Income (Loss) from Discontinued Operations on the Company’s Consolidated Statement of Operations for the year ended December 31, 2013. See "Pan and Discontinued Operations" above for further information. The Company concluded that there was no impairment of Goodwill or Intangible Assets related to its other reporting units during the year ended December 31, 2013.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 and Transition Costs and 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Transition Costs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recognized $58, $840 and $3,465 for the years ended December 31, 2013, 2012 and 2011, respectively, as Acquisition and Transition Costs incurred in connection with acquisitions and other ongoing business development initiatives. These costs are primarily comprised of professional fees for legal and other services. Acquisition and Transition Costs included expenses of $2,118 for the year ended December 31, 2011, related to the Company’s acquisition of The Lexicon Partnership LLP ("Lexicon").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Charges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recognized costs of $170 for the year ended December 31, 2013, as Special Charges incurred related to the write-off of client-related intangible assets in EWM. See Note 4 for further information. The Company recognized costs of $662 for the year ended December 31, 2012, as Special Charges incurred in connection with exiting facilities in the UK, and $3,894 for the year ended December 31, 2011, as Special Charges incurred in connection with the Lexicon acquisition, including the exiting of a lease commitment for office space of $731, an introducing fee of $1,895, as well as other professional fees incurred by Lexicon of $1,268.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Parties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For the years ended December 31, 2013, 2012 and 2011, the Company disbursed $1,218, $1,098 and $1,833, respectively, on behalf of these entities.</w:t>
      </w:r>
    </w:p>
    <w:p>
      <w:pPr>
        <w:spacing w:after="0" w:line="116"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Investment Management Revenue includes income from related parties earned from the Company’s private equity funds for portfolio company fees, management fees, expense reimbursements and realized and unrealized gains and losses of private equity fund investments. Total Investment Management revenues from related parties amounted to $11,557, $4,781 and $6,696 for the years ended December 31, 2013, 2012 and 2011,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Investment Banking Revenue includes advisory fees earned from clients that have a Senior Managing Director as a member of their Board of Directors of $14,090, $2,000 and $1,250 for the years ended December 31, 2013, 2012 and 2011, respectively.</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Other Assets on the Consolidated Statements of Financial Condition includes the long term portion of loans receivable from certain employees of $5,560 and $1,546 as of December 31, 2013 and 2012, respectively. See Note 17 for further information.</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Receivable from Employees and Related Parties on the Consolidated Statements of Financial Condition consisted of the following at December 31, 2013 and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Employees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Personal Expenses Paid on Behalf of Employees and Related Parties</w:t>
            </w:r>
          </w:p>
        </w:tc>
        <w:tc>
          <w:tcPr>
            <w:tcW w:w="118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213</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from Affiliates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w w:val="99"/>
              </w:rPr>
              <w:t>Reimbursable Expenses Due From Portfolio Companies of the Company's Private Equity Funds</w:t>
            </w:r>
          </w:p>
        </w:tc>
        <w:tc>
          <w:tcPr>
            <w:tcW w:w="118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409</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 Relating to the Private Equity Funds</w:t>
            </w: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Receivable from Employees and Related Parties</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5,166</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Payable to Employees and Related Parties on the Consolidated Statements of Financial Condition consisted of the following at December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 Fees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Amounts Due to UK Members</w:t>
            </w:r>
          </w:p>
        </w:tc>
        <w:tc>
          <w:tcPr>
            <w:tcW w:w="11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10,386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5,424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Due Pursuant to Tax Receivable Agreements (a)</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7,274</w:t>
            </w:r>
          </w:p>
        </w:tc>
      </w:tr>
      <w:tr>
        <w:trPr>
          <w:trHeight w:val="250"/>
        </w:trPr>
        <w:tc>
          <w:tcPr>
            <w:tcW w:w="7660" w:type="dxa"/>
            <w:vAlign w:val="bottom"/>
          </w:tcPr>
          <w:p>
            <w:pPr>
              <w:ind w:left="40"/>
              <w:spacing w:after="0"/>
              <w:rPr>
                <w:sz w:val="20"/>
                <w:szCs w:val="20"/>
                <w:color w:val="auto"/>
              </w:rPr>
            </w:pPr>
            <w:r>
              <w:rPr>
                <w:rFonts w:ascii="Arial" w:cs="Arial" w:eastAsia="Arial" w:hAnsi="Arial"/>
                <w:sz w:val="18"/>
                <w:szCs w:val="18"/>
                <w:color w:val="auto"/>
              </w:rPr>
              <w:t>Payable to Employees and Related Parties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19,524</w:t>
            </w:r>
          </w:p>
        </w:tc>
        <w:tc>
          <w:tcPr>
            <w:tcW w:w="12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3837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p>
    <w:p>
      <w:pPr>
        <w:ind w:left="340" w:right="20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Relates to the current portion of the Member exchange of LP Units for Class A Shares. The long-term portion of $175,771 and $165,350 is disclosed in Amounts Due Pursuant to Tax Receivable Agreements on the Consolidated Statements of Financial Condition at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-432435</wp:posOffset>
            </wp:positionV>
            <wp:extent cx="23837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Marketable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amortized cost and estimated fair value of the Company’s Marketable Securities as of December 31, 2013 and 2012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Investments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w w:val="93"/>
              </w:rPr>
              <w:t>Debt Securities Carried by EGL</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22,628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13,619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41,727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43,407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34,640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4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Scheduled maturities of the Company’s available-for-sale debt securities within the Securities Investments portfolio as of December 31, 2013 and 2012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6"/>
              </w:rPr>
              <w:t>December 31, 2013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720" w:type="dxa"/>
            <w:vAlign w:val="bottom"/>
            <w:gridSpan w:val="3"/>
          </w:tcPr>
          <w:p>
            <w:pPr>
              <w:ind w:left="480"/>
              <w:spacing w:after="0" w:line="153"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3"/>
                <w:szCs w:val="13"/>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3"/>
                <w:szCs w:val="13"/>
                <w:color w:val="auto"/>
              </w:rPr>
            </w:pP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02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Since the Company has the ability and intent to hold available-for-sale securities until a recovery of fair value is equal to an amount approximating its amortized cost, which may be at maturity, and has not incurred credit losses on its securities, it does not consider such unrealized loss positions to be other-than-temporarily impaired at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Investments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Securities Investments include seed capital and other equity and debt securities, which are classified as available-for-sale securities within Marketable Securities on the Consolidated Statements of Financial Condition. These securities are stated at fair value with unrealized gains and losses included in Accumulated Other Comprehensive Income (Loss) and realized gains and losses included in earnings. The Company had net realized gains (losses) of ($45), ($85) and $936 for the years ended December 31, 2013, 2012 and 2011,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Carried by EGL</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EGL invests in a fixed income portfolio consisting primarily of municipal bonds. These securities are carried at fair value, with changes in fair value recorded in Other Revenue, Including Interest, on the Consolidated Statements of Operations, as required for broker-dealers in securities. The Company had net realized and unrealized gains (losses) of ($234), ($674) and ($460) for the years ended December 31, 2013, 2012 and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Funds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invests in a portfolio of mutual funds as an economic hedge against the Company’s deferred compensation program. See Note 17 for further information. These securities are carried at fair value, with changes in fair value recorded in Other Revenue, Including Interest, on the Consolidated Statements of Operations. The Company had net realized and unrealized gains (losses) of $1,344, $1,025 and ($412) for the years ended December 31, 2013, 2012 and 2011, respectively.</w:t>
      </w:r>
    </w:p>
    <w:p>
      <w:pPr>
        <w:spacing w:after="0" w:line="18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Owned and Pledged as Collateral at Fair Value, Securities Purchased Under Agreements to Resell and Securities Sold Under Agreements to Repurchase</w:t>
      </w:r>
    </w:p>
    <w:p>
      <w:pPr>
        <w:spacing w:after="0" w:line="112"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The Company, through Evercore Casa de Bolsa, S.A. de C.V. (“ECB”), enters into repurchase agreements with clients seeking overnight money market returns whereby ECB transfers to the clients Mexican government securities in exchange for cash and concurrently agrees to repurchase the securities at a future date for an amount equal to the cash exchanged plus a stipulated premium or interest factor. ECB deploys the cash received from, and acquires the securities deliverable to, clients under these repurchase arrangements by purchasing securities in the open market, which the Company reflects as Financial Instruments Owned and Pledged as Collateral at Fair Value on the Consolidated Statements of Financial Condition, or by entering into reverse repurchase agreements with unrelated third parties. The Company accounts for these repurchase and reverse repurchase agreements as collateralized financing transactions, which are carried at their contract amounts, which approximate fair value given that the contracts generally mature the following business day. The Company records a liability on its Consolidated Statements of Financial Condition in relation to repurchase transactions executed with clients as Securities Sold Under Agreements to Repurchase. The Company records as assets on its Consolidated Statements of Financial Condition, Financial Instruments Owned and Pledged as Collateral at Fair Value (where the Company has acquired the securities deliverable to clients under these repurchase arrangements by purchasing securities in the open market) and Securities Purchased Under Agreements to Resell (where the Company has acquired the securities deliverable to clients under these repurchase agreements by entering into reverse repurchase agreements with unrelated third parties). These Mexican government securities have an estimated average time to maturity of approximately 1.8 years, as of December 31, 2013, and are pledged as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collateral against repurchase agreements. Generally, collateral is posted equal to the contract value at inception and is subject to market changes. These repurchase agreements are primarily with institutional customer accounts managed by ECB and permit the counterparty to pledge the securities.</w:t>
      </w:r>
    </w:p>
    <w:p>
      <w:pPr>
        <w:spacing w:after="0" w:line="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2013 and 2012, a summary of the Company’s assets, liabilities and collateral received or pledged related to these transactions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December 31, 2012</w:t>
            </w:r>
          </w:p>
        </w:tc>
      </w:tr>
      <w:tr>
        <w:trPr>
          <w:trHeight w:val="152"/>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Market Value of</w:t>
            </w:r>
          </w:p>
        </w:tc>
        <w:tc>
          <w:tcPr>
            <w:tcW w:w="300" w:type="dxa"/>
            <w:vAlign w:val="bottom"/>
          </w:tcPr>
          <w:p>
            <w:pPr>
              <w:spacing w:after="0"/>
              <w:rPr>
                <w:sz w:val="13"/>
                <w:szCs w:val="13"/>
                <w:color w:val="auto"/>
              </w:rPr>
            </w:pPr>
          </w:p>
        </w:tc>
        <w:tc>
          <w:tcPr>
            <w:tcW w:w="130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6"/>
              </w:rPr>
              <w:t>Market Value of</w:t>
            </w:r>
          </w:p>
        </w:tc>
      </w:tr>
      <w:tr>
        <w:trPr>
          <w:trHeight w:val="149"/>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9"/>
              </w:rPr>
              <w:t>(Liability)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Collateral Received</w:t>
            </w:r>
          </w:p>
        </w:tc>
        <w:tc>
          <w:tcPr>
            <w:tcW w:w="300" w:type="dxa"/>
            <w:vAlign w:val="bottom"/>
          </w:tcPr>
          <w:p>
            <w:pPr>
              <w:spacing w:after="0"/>
              <w:rPr>
                <w:sz w:val="12"/>
                <w:szCs w:val="12"/>
                <w:color w:val="auto"/>
              </w:rPr>
            </w:pPr>
          </w:p>
        </w:tc>
        <w:tc>
          <w:tcPr>
            <w:tcW w:w="130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9"/>
              </w:rPr>
              <w:t>(Liability)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Collateral Received</w:t>
            </w:r>
          </w:p>
        </w:tc>
      </w:tr>
      <w:tr>
        <w:trPr>
          <w:trHeight w:val="192"/>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or (Pledged)</w:t>
            </w:r>
          </w:p>
        </w:tc>
        <w:tc>
          <w:tcPr>
            <w:tcW w:w="300" w:type="dxa"/>
            <w:vAlign w:val="bottom"/>
          </w:tcPr>
          <w:p>
            <w:pPr>
              <w:spacing w:after="0"/>
              <w:rPr>
                <w:sz w:val="16"/>
                <w:szCs w:val="16"/>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or (Pledged)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2"/>
              </w:rPr>
              <w:t>Financial Instruments Owned and Pledged as Collateral at Fair</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56,311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120,594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Purchased Under Agreements to Resell</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19,134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19,112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75,445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120,594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440" w:type="dxa"/>
            <w:vAlign w:val="bottom"/>
            <w:tcBorders>
              <w:bottom w:val="single" w:sz="8" w:color="CCEEFF"/>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(75,708)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(121,029)</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w:t>
      </w:r>
    </w:p>
    <w:p>
      <w:pPr>
        <w:spacing w:after="0" w:line="229"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The Company’s investments reported on the Consolidated Statements of Financial Condition consist of investments in private equity partnerships, Trilantic and other investments in unconsolidated affiliated companies. The Company’s investments are relatively high-risk and illiquid assets.</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Company’s investments in private equity partnerships consist of investment interests in private equity funds which are voting interest entities. Realized and unrealized gains and losses on the private equity investments are included within Investment Management Revenue, as the Company considers this activity integral to its Private Equity business.</w:t>
      </w:r>
    </w:p>
    <w:p>
      <w:pPr>
        <w:spacing w:after="0" w:line="17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8"/>
          <w:szCs w:val="18"/>
          <w:color w:val="auto"/>
        </w:rPr>
        <w:t>The Company also has investments in G5 ǀ Evercore and ABS, which are voting interest entities. The Company's investment in Pan became a VIE and was sold in 2013 (See Note 4 - Business Changes and Developments). The Company’s share of earnings (losses) on the investments in G5 ǀ Evercore, ABS and Pan (prior to its consolidation on March 15, 2013) are included within Income from Equity Method Investments on the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Private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Equity Funds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investments related to private equity partnerships and associated entities include investments in Evercore Capital Partners II, L.P. (“ECP II”), Discovery Americas I, L.P. (the “Discovery Fund”), Evercore Mexico Capital Partners II, L.P. (“EMCP II”), Evercore Mexico Capital Partners III, L.P. (“EMCP III”), CSI Capital, L.P. (“CSI Capital”), Trilantic Capital Partners Associates IV, L.P. (“Trilantic IV”) and Trilantic Capital Partners V, L.P. ("Trilantic V"). Portfolio holdings of the private equity funds are carried at fair value. Accordingly, the Company reflects its pro rata share of the unrealized gains and losses occurring from changes in fair value. Additionally, the Company reflects its pro rata share of realized gains, losses and carried interest associated with any investment realizations.</w:t>
      </w:r>
    </w:p>
    <w:p>
      <w:pPr>
        <w:spacing w:after="0" w:line="1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2013, the Company held a fourth and final closing on EMCP III, a private equity fund focused on middle market investments in Mexico. The total subscribed capital commitments of $201,000 included a capital commitment of $10,750 by the general partner of EMCP III, Evercore Mexico Partners III ("EMP III"), of which $1,000 relates to the Company and $9,750 relates to noncontrolling interest holders. At December 31, 2013, unfunded commitments of EMP III were $6,864, including $639 due from the Company.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2013, the Company made an investment of $1,532 in Trilantic V. See Note 18 for further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a result of its investment in CITIC Securities International Partners, LTD (“CSIP”), during 2010, the Company made an investment of $3,164 in CSI Capital, a China focused fund affiliated with CSIP.</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investment in the private equity funds as of December 31, 2013 and 2012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2013</w:t>
            </w:r>
          </w:p>
        </w:tc>
        <w:tc>
          <w:tcPr>
            <w:tcW w:w="340" w:type="dxa"/>
            <w:vAlign w:val="bottom"/>
          </w:tcPr>
          <w:p>
            <w:pPr>
              <w:spacing w:after="0"/>
              <w:rPr>
                <w:sz w:val="16"/>
                <w:szCs w:val="16"/>
                <w:color w:val="auto"/>
              </w:rPr>
            </w:pPr>
          </w:p>
        </w:tc>
        <w:tc>
          <w:tcPr>
            <w:tcW w:w="1940" w:type="dxa"/>
            <w:vAlign w:val="bottom"/>
          </w:tcPr>
          <w:p>
            <w:pPr>
              <w:jc w:val="right"/>
              <w:ind w:right="472"/>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ECP II</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Discovery Fund</w:t>
            </w: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3,060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EMCP II</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EMCP III</w:t>
            </w: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1,696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CSI Capital</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Trilantic IV</w:t>
            </w: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4,573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Trilantic V</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Private Equity Funds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26,578</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realized and unrealized gains (losses) on private equity fund investments, including performance fees, were $8,060, ($206) and $6,200 for the years ended December 31, 2013, 2012 and 2011, respectively. In the event the funds perform poorly, the Company may be obligated to repay certain carried interest previously distributed. As of December 31, 2013, the Company had $2,701 of previously received carried interest that may be subject to repayment.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Partners of Private Equity Funds which are VIEs</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has concluded that EP II L.L.C., the general partner of ECP II, is a VIE pursuant to ASC 810. The Company owns 8%-9% of the carried interest earned by the general partner of ECP II. The Company’s assessment of the design of EP II L.L.C. resulted in the determination that the Company is not acting as an agent for other members of the general partner and is a passive holder of interests in the fund, evidenced by the fact that the Company is a non-voting, non-managing member of the general partner and, therefore, has no authority in directing the management operations of the general partner. Furthermore, the Company does not have the obligation to absorb significant losses or the right to receive benefits that could potentially have a significant impact to EP II L.L.C. Accordingly, the Company has concluded that it is not the primary beneficiary of EP II L.L.C and has not consolidated EP II L.L.C. in the Company's consolidated financial statements.</w:t>
      </w:r>
    </w:p>
    <w:p>
      <w:pPr>
        <w:spacing w:after="0" w:line="18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2013, EMP III, amended and restated its Limited Partnership Agreement and admitted certain limited partners, which are related parties of the Company. The Company viewed this modification as a reconsideration event under ASC 810-10, "Consolidation", and concluded that EMP III is a VIE and that the Company is the primary beneficiary of this VIE. Specifically, the Company's general partner interests in EMP III provide the Company the ability to make decisions that significantly impact the economic performance of EMP III, while the limited partners do not possess substantive participating rights over EMP III. The Company's assessment of the primary beneficiary of EMP III included assessing which parties have the power to significantly impact the economic performance of EMP III and the obligation to absorb losses, which could be potentially significant to EMP III, or the right to receive benefits from EMP III that could be potentially significant. The Company had previously consolidated EMP III as a voting interest entity; accordingly, consolidating as a VIE had no impact on the assets and liabilities of the Company. The Company consolidated EMP III assets of $4,287 and liabilities of $32 in the Company's Consolidated Statements of Financial Condition at December 31, 2013 and assets of $1,696 at December 31, 2012. The assets retained by EMP III are for the benefit of the interest holders of EMP III and the liabilities are generally non-recourse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Trilantic Capital Partners</w:t>
      </w:r>
    </w:p>
    <w:p>
      <w:pPr>
        <w:spacing w:after="0" w:line="225" w:lineRule="exact"/>
        <w:rPr>
          <w:sz w:val="20"/>
          <w:szCs w:val="20"/>
          <w:color w:val="auto"/>
        </w:rPr>
      </w:pPr>
    </w:p>
    <w:p>
      <w:pPr>
        <w:jc w:val="both"/>
        <w:ind w:right="120" w:firstLine="405"/>
        <w:spacing w:after="0" w:line="297" w:lineRule="auto"/>
        <w:rPr>
          <w:sz w:val="20"/>
          <w:szCs w:val="20"/>
          <w:color w:val="auto"/>
        </w:rPr>
      </w:pPr>
      <w:r>
        <w:rPr>
          <w:rFonts w:ascii="Arial" w:cs="Arial" w:eastAsia="Arial" w:hAnsi="Arial"/>
          <w:sz w:val="16"/>
          <w:szCs w:val="16"/>
          <w:color w:val="auto"/>
        </w:rPr>
        <w:t>In 2010, the Company made a limited partnership investment in Trilantic in exchange for 500 LP Units having a fair value of $16,090. This investment gave the Company the right to invest in Trilantic’s current and future private equity funds, beginning with Trilantic Fund IV. The Company accounts for this investment under the cost method, subject to impairment. The Company allocates the cost of this investment to its investments in current and future Trilantic funds, as the Company satisfies the capital calls of these funds. The Company bases this allocation on its expectation of Trilantic’s future fundraising ability and performance. During 2013, $825 and $29 of this investment was allocated to Trilantic Fund V and Trilantic Fund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4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IV, respectively. From 2010 to 2012, $1,091 of this investment was allocated to Trilantic Fund IV. This investment had a balance of $14,145 and $14,999 as of December 31, 2013 and 2012, respectively. The Company has a $5,000 commitment to invest in Trilantic Fund V, of which $4,265 is unfunded at December 31, 2013. The Company and Trilantic anticipate that the Company will participate in the successor funds to Trilantic Fund V. The Company further anticipates that participation in successor funds will be at amounts comparable to those of Trilantic Fund 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A summary of the Company’s other investments accounted for under the equity method of accounting as of December 31, 2013 and 2012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2013</w:t>
            </w:r>
          </w:p>
        </w:tc>
        <w:tc>
          <w:tcPr>
            <w:tcW w:w="340" w:type="dxa"/>
            <w:vAlign w:val="bottom"/>
          </w:tcPr>
          <w:p>
            <w:pPr>
              <w:spacing w:after="0"/>
              <w:rPr>
                <w:sz w:val="16"/>
                <w:szCs w:val="16"/>
                <w:color w:val="auto"/>
              </w:rPr>
            </w:pPr>
          </w:p>
        </w:tc>
        <w:tc>
          <w:tcPr>
            <w:tcW w:w="1940" w:type="dxa"/>
            <w:vAlign w:val="bottom"/>
          </w:tcPr>
          <w:p>
            <w:pPr>
              <w:jc w:val="right"/>
              <w:ind w:right="474"/>
              <w:spacing w:after="0"/>
              <w:rPr>
                <w:sz w:val="20"/>
                <w:szCs w:val="20"/>
                <w:color w:val="auto"/>
              </w:rPr>
            </w:pPr>
            <w:r>
              <w:rPr>
                <w:rFonts w:ascii="Arial" w:cs="Arial" w:eastAsia="Arial" w:hAnsi="Arial"/>
                <w:sz w:val="14"/>
                <w:szCs w:val="14"/>
                <w:b w:val="1"/>
                <w:bCs w:val="1"/>
                <w:color w:val="auto"/>
              </w:rPr>
              <w:t>December 31, 2012</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G5 ǀ Evercore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20,001</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ABS</w:t>
            </w:r>
          </w:p>
        </w:tc>
        <w:tc>
          <w:tcPr>
            <w:tcW w:w="340" w:type="dxa"/>
            <w:vAlign w:val="bottom"/>
          </w:tcPr>
          <w:p>
            <w:pPr>
              <w:spacing w:after="0"/>
              <w:rPr>
                <w:sz w:val="21"/>
                <w:szCs w:val="21"/>
                <w:color w:val="auto"/>
              </w:rPr>
            </w:pP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47,559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46,851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w:t>
            </w:r>
          </w:p>
        </w:tc>
        <w:tc>
          <w:tcPr>
            <w:tcW w:w="3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67,560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69,320</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G5 ǀ Evercore</w:t>
      </w:r>
    </w:p>
    <w:p>
      <w:pPr>
        <w:spacing w:after="0" w:line="9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8"/>
          <w:szCs w:val="18"/>
          <w:color w:val="auto"/>
        </w:rPr>
        <w:t>In 2010, the Company made an investment accounted for under the equity method of accounting in G5 ǀ Evercore. At December 31, 2013, the Company’s economic ownership interest in G5 ǀ Evercore was 49%. This investment resulted in earnings (losses) of $2,126, $1,368 and $1,340 for the years ended December 31, 2013, 2012 and 2011, respectively, included within Income from Equity Method Investments on the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ABS</w:t>
      </w:r>
    </w:p>
    <w:p>
      <w:pPr>
        <w:spacing w:after="0" w:line="9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2011, the Company made an investment accounted for under the equity method of accounting in ABS. At December 31, 2013, the Company’s economic ownership interest in ABS was 45%. This investment resulted in earnings of $6,255 and $3,394 for the years ended December 31, 2013 and 2012, respectively, included within Income from Equity Method Investments on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2008, the Company made an investment accounted for under the equity method of accounting of $4,158 in Pan. This investment resulted in earnings (losses) of ($55), $90 and ($420) for the years ended December 31, 2013, 2012 and 2011, respectively, included within Income from Equity Method Investments on the Consolidated Statements of Operations. The Company consolidated its investment in Pan on March 15, 2013 and subsequently sold its investment on December 3, 2013. See Note 4 for further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90"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Company allocates the purchase price of its equity method investments, in part, to the inherent finite-lived identifiable intangible assets of the investees. The Company’s share of the earnings of the investees has been reduced by the amortization of these identifiable intangible assets inherent in the investments of $2,586, $2,696 and $944 for the years ended December 31, 2013, 2012 and 2011,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measured and reported at fair value are classified and disclosed in one of the following categories:</w:t>
      </w:r>
    </w:p>
    <w:p>
      <w:pPr>
        <w:spacing w:after="0" w:line="90" w:lineRule="exact"/>
        <w:rPr>
          <w:sz w:val="20"/>
          <w:szCs w:val="20"/>
          <w:color w:val="auto"/>
        </w:rPr>
      </w:pPr>
    </w:p>
    <w:p>
      <w:pPr>
        <w:ind w:left="420" w:firstLine="405"/>
        <w:spacing w:after="0" w:line="264" w:lineRule="auto"/>
        <w:rPr>
          <w:sz w:val="20"/>
          <w:szCs w:val="20"/>
          <w:color w:val="auto"/>
        </w:rPr>
      </w:pPr>
      <w:r>
        <w:rPr>
          <w:rFonts w:ascii="Arial" w:cs="Arial" w:eastAsia="Arial" w:hAnsi="Arial"/>
          <w:sz w:val="18"/>
          <w:szCs w:val="18"/>
          <w:color w:val="auto"/>
        </w:rPr>
        <w:t>Level I – Quoted prices are available in active markets for identical investments as of the reporting date. The type of investments included in Level I include listed equities and listed derivatives. As required by ASC 820, the Company does not adjust the quoted price for these investments, even in situations where the Company holds a large position and a sale could reasonably impact the quoted price.</w:t>
      </w:r>
    </w:p>
    <w:p>
      <w:pPr>
        <w:spacing w:after="0" w:line="46" w:lineRule="exact"/>
        <w:rPr>
          <w:sz w:val="20"/>
          <w:szCs w:val="20"/>
          <w:color w:val="auto"/>
        </w:rPr>
      </w:pPr>
    </w:p>
    <w:p>
      <w:pPr>
        <w:jc w:val="both"/>
        <w:ind w:left="420" w:right="160" w:firstLine="405"/>
        <w:spacing w:after="0" w:line="259" w:lineRule="auto"/>
        <w:rPr>
          <w:sz w:val="20"/>
          <w:szCs w:val="20"/>
          <w:color w:val="auto"/>
        </w:rPr>
      </w:pPr>
      <w:r>
        <w:rPr>
          <w:rFonts w:ascii="Arial" w:cs="Arial" w:eastAsia="Arial" w:hAnsi="Arial"/>
          <w:sz w:val="18"/>
          <w:szCs w:val="18"/>
          <w:color w:val="auto"/>
        </w:rPr>
        <w:t>Level II – Pricing inputs are other than quoted prices in active markets, which are either directly or indirectly observable as of the reporting date, and fair value is determined through the use of models or other valuation methodologies. The estimated fair values of the Corporate Bonds, Municipal Bonds, Other Debt Securities and Securities Investments held at December 31, 2013 and 2012 are based on quoted market prices provided by external pricing services.</w:t>
      </w:r>
    </w:p>
    <w:p>
      <w:pPr>
        <w:spacing w:after="0" w:line="52" w:lineRule="exact"/>
        <w:rPr>
          <w:sz w:val="20"/>
          <w:szCs w:val="20"/>
          <w:color w:val="auto"/>
        </w:rPr>
      </w:pPr>
    </w:p>
    <w:p>
      <w:pPr>
        <w:ind w:left="420" w:right="840" w:firstLine="405"/>
        <w:spacing w:after="0" w:line="308"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into the determination of fair value require significant management judgment or estimation.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categorization of investments and certain other financial assets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I</w:t>
            </w: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II</w:t>
            </w:r>
          </w:p>
        </w:tc>
        <w:tc>
          <w:tcPr>
            <w:tcW w:w="118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III</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5"/>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Corporate Bonds, Municipal Bonds and Other Debt Securities</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33,882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33,882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Securities Investments (1)</w:t>
            </w: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14,399</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9,380</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2"/>
              </w:rPr>
              <w:t>Financial Instruments Owned and Pledged as Collateral at Fair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Value</w:t>
            </w:r>
          </w:p>
        </w:tc>
        <w:tc>
          <w:tcPr>
            <w:tcW w:w="3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56,311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56,311</w:t>
            </w: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36,280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113,972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01"/>
        </w:trPr>
        <w:tc>
          <w:tcPr>
            <w:tcW w:w="4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4"/>
        </w:trPr>
        <w:tc>
          <w:tcPr>
            <w:tcW w:w="4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I</w:t>
            </w: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II</w:t>
            </w:r>
          </w:p>
        </w:tc>
        <w:tc>
          <w:tcPr>
            <w:tcW w:w="118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III</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15"/>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Corporate Bonds, Municipal Bonds and Other Debt Securities</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38,482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Securities Investments</w:t>
            </w: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11,580</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11,346</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2"/>
              </w:rPr>
              <w:t>Financial Instruments Owned and Pledged as Collateral at Fair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Value</w:t>
            </w:r>
          </w:p>
        </w:tc>
        <w:tc>
          <w:tcPr>
            <w:tcW w:w="3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120,594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120,594</w:t>
            </w: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40,924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182,002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$14,254 and $24,863 of treasury bills, municipal bonds and commercial paper classified within Cash and Cash Equivalents on the Consolidated Statements of Financial Condition as of December 31, 2013 and 2012, respectively.</w:t>
      </w:r>
    </w:p>
    <w:p>
      <w:pPr>
        <w:spacing w:after="0" w:line="116"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fair value levels during the years ended December 31, 2013 or 2012.</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carrying amount and estimated fair value of the Company’s financial instrument assets and liabilities which are not measured at fair value on the Consolidated Statements of Financial Condition are listed in the tables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1"/>
              </w:rPr>
              <w:t>December 31, 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0"/>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Estimated Fair Value</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64"/>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I</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II</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284,199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284,199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284,199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Securities Purchased Under Agreements to Resell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19,134</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83,347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83,347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83,347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Receivable from Employees and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9,233</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Assets Segregated for Bank Regulatory</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Requirements</w:t>
            </w:r>
          </w:p>
        </w:tc>
        <w:tc>
          <w:tcPr>
            <w:tcW w:w="2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10,200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18,365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Securities Sold Under Agreements to Repurchase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75,563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75,563</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Payable to Employees and Related Parties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19,524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19,524</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127,425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127,425</w:t>
            </w:r>
          </w:p>
        </w:tc>
      </w:tr>
      <w:tr>
        <w:trPr>
          <w:trHeight w:val="548"/>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1"/>
              </w:rPr>
              <w:t>December 31, 2012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50"/>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Estimated Fair Value</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64"/>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I</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II</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234,568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234,568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234,568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89,098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89,098</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6"/>
              </w:rPr>
              <w:t>Receivable from Employees and Related Parties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5,166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5,166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Assets Segregated for Bank Regulatory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Requirements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17,909</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3"/>
              </w:rPr>
              <w:t>Securities Sold Under Agreements to Repurchase</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120,787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120,787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120,787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to Employees and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12,964</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136,860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136,860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to estimate the fair value of these financial assets and liabilities:</w:t>
      </w:r>
    </w:p>
    <w:p>
      <w:pPr>
        <w:spacing w:after="0" w:line="9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fair value of the Company’s Notes Payable is estimated based on a present value analysis utilizing aggregate market yields obtained from independent pricing sources for similar financial instruments.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carrying amounts reported on the Consolidated Statements of Financial Condition for Cash and Cash Equivalents, Securities Purchased Under Agreements to Resell, Securities Sold Under Agreements to Repurchase, Accounts Receivable, Receivables from Employees and Related Parties, Accounts Payable and Accrued Expenses, Payables to Employees and Related Parties and Assets Segregated for Bank Regulatory Requirements approximate fair value due to the short term nature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Furniture, Equipment and Leasehold Improvements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Furniture, Equipment and Leasehold Improvements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6"/>
                <w:szCs w:val="16"/>
                <w:color w:val="auto"/>
              </w:rPr>
            </w:pPr>
          </w:p>
        </w:tc>
        <w:tc>
          <w:tcPr>
            <w:tcW w:w="186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Office Equipment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32,719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30,884</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Computer-related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9,882</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53,824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49,657</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Furniture, Equipment and Leasehold Improvements,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27,832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29,777</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Depreciation and amortization expense for Furniture, Equipment and Leasehold Improvements totaled $6,543, $5,962 and $3,431 for the years ended December 31, 2013,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Issuance of Notes Payable and Warrants</w:t>
      </w:r>
    </w:p>
    <w:p>
      <w:pPr>
        <w:spacing w:after="0" w:line="94" w:lineRule="exact"/>
        <w:rPr>
          <w:sz w:val="20"/>
          <w:szCs w:val="20"/>
          <w:color w:val="auto"/>
        </w:rPr>
      </w:pPr>
    </w:p>
    <w:p>
      <w:pPr>
        <w:ind w:right="500" w:firstLine="432"/>
        <w:spacing w:after="0" w:line="276" w:lineRule="auto"/>
        <w:rPr>
          <w:sz w:val="20"/>
          <w:szCs w:val="20"/>
          <w:color w:val="auto"/>
        </w:rPr>
      </w:pPr>
      <w:r>
        <w:rPr>
          <w:rFonts w:ascii="Arial" w:cs="Arial" w:eastAsia="Arial" w:hAnsi="Arial"/>
          <w:sz w:val="17"/>
          <w:szCs w:val="17"/>
          <w:color w:val="auto"/>
        </w:rPr>
        <w:t>On August 21, 2008, the Company entered into a Purchase Agreement with Mizuho Corporate Bank, Ltd. (“Mizuho”) pursuant to which Mizuho purchased from the Company $120,000 principal amount of Senior Notes, due 2020 with a 5.20% coupon, and warrants to purchase 5,455 shares of the Company’s Class A common stock, par value $0.01 per share (“Class A Shares”) at $22.00 per share (the “Warrants”) expiring in 2020. Based on their relative fair value at issuance, plus accretion, the Senior Notes and Warrants were reflected in Notes Payable and Additional Paid-In-Capital on the Consolidated Statements of Financial Condition. The Senior Notes have an effective yield of 7.94%.</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holder of the Senior Notes may require the Company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the option of the Company at any time within 90 days following the date on which Mizuho notifies the Company that it is terminating their strategic alliance agreement (“Strategic Alliance Agreement”). Senior Notes held by any other holder than Mizuho will be redeemable at the Accreted Amount (plus accrued and unpaid interest) at the option of the Company at any time. In the event of a default under the indenture, the trustee or holders of 33 1/3% of the Senior Notes may declare that the Accreted Amount is immediately due and payable.</w:t>
      </w:r>
    </w:p>
    <w:p>
      <w:pPr>
        <w:spacing w:after="0" w:line="11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Pursuant to the agreement, Mizuho may transfer (A) the Senior Notes (i) with the Company’s consent, (ii) to a permitted transferee, or (iii) to the extent that such transfer does not result in any holder or group of affiliated holders directly or indirectly owning more than 15% of the aggregate principal amount of the Senior Notes, and (B) the Warrants (i) with the Company’s consent, (ii) to a permitted transferee, (iii) pursuant to a tender or exchange offer, or a merger or sale transaction involving the Company that has been recommended by the Company’s Board of Directors, or (iv) to the extent that such transfer is made pursuant to a widely distributed public offering or does not result in any holder or group of affiliated holders directly or indirectly owning more than 2% of the Company’s voting securities and the total shares of Class A common stock transferred, together with any shares of shares of Class A common stock (on an as-converted basis) transferred during the preceding 12 months, is less than 25% of the Company’s outstanding Class A common stock. The Company has a right of first offer on any proposed transfer by Mizuho of the Warrants, Common Stock purchased in the open market or acquired by exercise of the Warrants and associated Common Stock issued as dividends.</w:t>
      </w:r>
    </w:p>
    <w:p>
      <w:pPr>
        <w:spacing w:after="0" w:line="12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 future payments required on the Senior Notes, including principal and interest were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6,240</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6,240</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132,480</w:t>
            </w:r>
          </w:p>
        </w:tc>
      </w:tr>
      <w:tr>
        <w:trPr>
          <w:trHeight w:val="27"/>
        </w:trPr>
        <w:tc>
          <w:tcPr>
            <w:tcW w:w="9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163,680</w:t>
            </w:r>
          </w:p>
        </w:tc>
      </w:tr>
      <w:tr>
        <w:trPr>
          <w:trHeight w:val="20"/>
        </w:trPr>
        <w:tc>
          <w:tcPr>
            <w:tcW w:w="9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b w:val="1"/>
          <w:bCs w:val="1"/>
          <w:i w:val="1"/>
          <w:iCs w:val="1"/>
          <w:color w:val="auto"/>
        </w:rPr>
        <w:t xml:space="preserve">Defined Contribution Retirement Plan </w:t>
      </w:r>
      <w:r>
        <w:rPr>
          <w:rFonts w:ascii="Arial" w:cs="Arial" w:eastAsia="Arial" w:hAnsi="Arial"/>
          <w:sz w:val="18"/>
          <w:szCs w:val="18"/>
          <w:color w:val="auto"/>
        </w:rPr>
        <w:t>– The Company, through a subsidiary, provides certain retirement benefits to employees through a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 The Evercore Partners Services East L.L.C. Retirement Plan (the “Plan”) is a defined contribution plan with a salary deferral feature under Section 401(k) of the Internal Revenue Code. It also includes a discretionary profit sharing feature. The Plan was formed on February 1, 1996 and subsequently amended. The Plan's year ends on December 31 of each year. The Company, at its sole discretion, determines the amount, if any, of profit to be contributed to the Plan.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made no contributions for the years ended December 31, 2013, 2012 and 2011.</w:t>
      </w:r>
    </w:p>
    <w:p>
      <w:pPr>
        <w:spacing w:after="0" w:line="171"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b w:val="1"/>
          <w:bCs w:val="1"/>
          <w:i w:val="1"/>
          <w:iCs w:val="1"/>
          <w:color w:val="auto"/>
        </w:rPr>
        <w:t xml:space="preserve">Evercore Europe Defined Contribution Benefit Plan </w:t>
      </w:r>
      <w:r>
        <w:rPr>
          <w:rFonts w:ascii="Arial" w:cs="Arial" w:eastAsia="Arial" w:hAnsi="Arial"/>
          <w:sz w:val="16"/>
          <w:szCs w:val="16"/>
          <w:color w:val="auto"/>
        </w:rPr>
        <w:t>– Evercore Partners Limited ("Evercore Europe") established the Evercore Partners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Personal Pension Plan (the “Evercore Europe Plan”), a defined contribution benefit plan, in November 2006 for Evercore Europe employees and members. The Evercore Europe Plan has a salary deferral feature as permitted under existing tax guidelines for HM Customs and Revenue, the Inland Revenue Service in the United Kingdom. Evercore Europe employees must elect to participate in the plan, and Evercore Europe has a minimum annualized contribution of 15% to 50% of an employee’s salary for all employees who participate, depending on the respective employee’s level within the Company.</w:t>
      </w:r>
    </w:p>
    <w:p>
      <w:pPr>
        <w:spacing w:after="0" w:line="10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Evercore Europe employees are also eligible to contribute up to 10% of their salary to the Evercore Europe Plan. Under the terms of the Evercore Europe Plan, if an employee contributes a minimum of 7.5% to 10% of their salary to the plan, Evercore Europe must make a matching contribution of 5% to 10% of the employee’s salary depending on the employee’s level within the company.</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made contributions to the Evercore Europe Plan for the years ended December 31, 2013, 2012 and 2011 totaling $3,632, $3,360 and $2,094,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Evercore Partners Inc. Stockholders’ Equity</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 The Company’s Board of Directors declared on January 27, 2014, a quarterly cash dividend of $0.25 per share, to the holders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as of February 28, 2014, which will be paid on March 14, 2014. During the year ended December 31, 2013, the Company declared and paid dividends of $0.91 per share, totaling $30,090. During the year ended December 31, 2012, the Company declared and paid dividends of $0.82 per share, totaling $24,296.</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b w:val="1"/>
          <w:bCs w:val="1"/>
          <w:i w:val="1"/>
          <w:iCs w:val="1"/>
          <w:color w:val="auto"/>
        </w:rPr>
        <w:t xml:space="preserve">Treasury Stock </w:t>
      </w:r>
      <w:r>
        <w:rPr>
          <w:rFonts w:ascii="Arial" w:cs="Arial" w:eastAsia="Arial" w:hAnsi="Arial"/>
          <w:sz w:val="17"/>
          <w:szCs w:val="17"/>
          <w:color w:val="auto"/>
        </w:rPr>
        <w:t>– During 2013, the Company purchased 983 Class A Shares primarily from employees at values ranging from $22.24 to $55.12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primarily for the net settlement of stock-based compensation awards and 1,298 Class A Shares at market values ranging from $36.00 to $41.00 per share pursuant to the Company’s share repurchase program. The result of these purchases was an increase in Treasury Stock of $87,620 on the Company’s Consolidated Statement of Financial Condition as of December 31, 2013. During 2013, the Company issued 39 Class A Shares from treasury stock as payment of contingent consideration in connection with the MJC Associates Agreement and 3 Class A Shares to a former employee. The result of these issuances was a decrease in Treasury stock of $1,194 on the Company's Consolidated Statement of Financial Condition as of December 31, 2013. During 2012, the Company purchased 726 Class A Shares primarily from employees at market values ranging from $21.71 to $29.62 per share primarily for the net settlement of stock-based compensation awards and 1,884 Class A Shares at market values ranging from $22.58 to $26.62 per share pursuant to the Company’s share repurchase program. The result of these purchases was an increase in Treasury Stock of $66,588 on the Company’s Consolidated Statement of Financial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Condition as of December 31, 2012. During 2012, the Company issued 39 Class A Shares from treasury stock as payment of contingent consideration in connection with the Morse Williams Agreement, 65 Class A Shares from treasury stock as payment of contingent consideration in connection with the MJC Associates Agreement and 116 Class A Shares in conjunction with the acquisition of Lexicon. The result of these issuances was a decrease in Treasury stock of $5,641 on the Company’s Consolidated Statement of Financial Condition as of December 31, 2012.</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LP Units </w:t>
      </w:r>
      <w:r>
        <w:rPr>
          <w:rFonts w:ascii="Arial" w:cs="Arial" w:eastAsia="Arial" w:hAnsi="Arial"/>
          <w:sz w:val="18"/>
          <w:szCs w:val="18"/>
          <w:color w:val="auto"/>
        </w:rPr>
        <w:t>– During 2013, 2,913 LP Units were exchanged for Class A Shares (including 983 LP Units which were exchanged on December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settlement did not occur until January 2013), resulting in an increase to Common Stock and Additional Paid-In-Capital of $29 and $20,222, respectively, on the Company’s Consolidated Statement of Financial Condition as of December 31, 2013. During 2012, 2,108 LP Units were exchanged for Class A Shares, resulting in an increase to Common Stock and Additional Paid-In-Capital of $21 and $15,022, respectively, on the Company’s Consolidated Statement of Financial Condition as of December 31, 2012.</w:t>
      </w:r>
    </w:p>
    <w:p>
      <w:pPr>
        <w:spacing w:after="0" w:line="13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above transactions, which increased the Company’s ownership in Evercore LP and resulted in a step-up in the tax basis of the assets of Evercore LP, increased Additional Paid-In-Capital by $7,178 and $1,477 on the Company’s Consolidated Statements of Financial Condition as of December 31, 2013 and 2012, respectively.</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2013, the Company purchased 185 LP Units and certain other rights from a noncontrolling interest holder, resulting in a decrease to Noncontrolling Interest of $5,893 and a net increase to Additional Paid-In-Capital of $1,586, inclusive of the step-up in tax basis for the assets of Evercore LP, on the Company's Consolidated Statement of Financial Condition as of December 31, 2013.</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 As of December 31, 2013, Accumulated Other Comprehensive Income (Loss) 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 of Financial Condition includes an accumulated Unrealized Gain (Loss) on Marketable Securities, net, and a Foreign Currency Translation Adjustment Gain (Loss), net, of ($2,409) and ($8,375), respectively.</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Income (Loss) from Discontinued Operations, and the Provision (Benefit) for Income Taxes from Discontinued Operations on the Consolidated Statement of Operations for the year ended December 31, 2013 includes ($1,683) and ($573), respectively, reclassified from Accumulated Other Comprehensive Income (Loss) related to the recognition of a cumulative foreign exchange translation loss as a result of the consolidation of Pan. Income (Loss) from Discontinued Operations, and the Provision (Benefit) for Income Taxes from Discontinued Operations on the Consolidated Statement of Operations for the year ended December 31, 2013 includes $409 and $135, respectively, reclassified from Accumulated Other Comprehensive Income (Loss) related to the recognition of a cumulative foreign exchange translation gain as a result of the sale of Pan.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w:t>
      </w:r>
    </w:p>
    <w:p>
      <w:pPr>
        <w:spacing w:after="0" w:line="9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Noncontrolling Interest recorded in the consolidated financial statements of the Company relates to a 14% interest in Evercore LP, a 28% interest in ECB, a 49% interest in EWM, a 34% equity interest in Atalanta Sosnoff Capital LLC ("Atalanta Sosnoff"), a 38% interest in Institutional Equities, a 20% interest in PCA, a 14% interest in Evercore Trust Company, N.A. ("ETC") through the second quarter of 2013, a 32% interest in Pan (sold December 3, 2013) and other private equity partnerships, not owned by the Company at December 31, 2013. The Atalanta Sosnoff interest excludes the Series C Profits Interest, which has been reflected in Employee Compensation and Benefits Expense on the Consolidated Statements of Operations. The Noncontrolling Interest for Evercore LP, EWM, Atalanta Sosnoff and Institutional Equities have rights, in certain circumstances, to convert into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Noncontrolling Interest for the years ended December 31, 2013, 2012 and 2011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items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Evercore LP Units Purchased or Converted into Class A Shares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and Vesting of LP Units</w:t>
            </w:r>
          </w:p>
        </w:tc>
        <w:tc>
          <w:tcPr>
            <w:tcW w:w="10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21,697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21,057</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(18,950)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Fair value of Noncontrolling Interest in Pan</w:t>
            </w:r>
          </w:p>
        </w:tc>
        <w:tc>
          <w:tcPr>
            <w:tcW w:w="10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Noncontrolling Interest</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 of Noncontrolling Interest</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items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(20,198)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(9,741)</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Income (Loss) Attributable to Noncontrolling Interest related to Pan from Discontinued Operations was ($1,185)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2013 and Net Income (Loss) Attributable to Noncontrolling Interest related to EAM from Discontinued Operations was ($2,510) for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31, 2011.</w:t>
      </w:r>
    </w:p>
    <w:p>
      <w:pPr>
        <w:spacing w:after="0" w:line="2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Other comprehensive income (loss) attributed to Noncontrolling Interest includes Unrealized Gain (Loss) on Marketable Securities, net, of ($180), $117 and ($338) for the years ended December 31, 2013, 2012 and 2011, respectively, and Foreign Currency Translation Adjustment Gain (Loss), net, of ($48), $1,152 and ($1,880) for the years ended December 31, 2013, 2012 and 2011, respectively.</w:t>
      </w:r>
    </w:p>
    <w:p>
      <w:pPr>
        <w:spacing w:after="0" w:line="12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 February 2010, Evercore LP issued 500 LP Units to Trilantic. The original terms were such that at December 31, 2014, at the option of the holder, these LP Units were exchangeable on a one-for-one basis for Class A Shares or may be redeemed for cash of $16,500. Accordingly, this value was being accreted to the minimum redemption value of $16,500 over the five-year period ending December 31, 2014 and $16,331 was reflected in Redeemable Noncontrolling Interest on the Consolidated Statement of Financial Condition as of December 31, 2012. Accretion was $68 and $84 for the years ended December 31, 2013 and 2012, respectively. In October of 2013, the Board of Directors of the Company agreed to release the transfer restrictions associated with these LP Units and the holders of these units exchanged them into Class A Shares.</w:t>
      </w:r>
    </w:p>
    <w:p>
      <w:pPr>
        <w:spacing w:after="0" w:line="12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 conjunction with the Company’s purchase agreement with Atalanta Sosnoff, the Company issued a management member of Atalanta Sosnoff certain capital interests in Atalanta Sosnoff, which are redeemable for cash, at their fair value. Accordingly, these capital interests have been reflected at their fair value of $4,283 and $3,997 within Redeemable Noncontrolling Interest on the Consolidated Statements of Financial Condition at December 31, 2013 and 2012, respectively. The increase in fair value primarily reflects higher valuations attributed to asset managers, as measured by multiples of expected earnings.</w:t>
      </w:r>
    </w:p>
    <w:p>
      <w:pPr>
        <w:spacing w:after="0" w:line="10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EWM has issued capital interests to certain employees which may be redeemable for cash at fair value at certain points in the future. Accordingly, these interests have been reflected at their fair value of $32,523 and $29,399 within Redeemable Noncontrolling Interest on the Consolidated Statements of Financial Condition at December 31, 2013 and 2012, respectively. The value of the redeemable noncontrolling interests held by the principals of EWM (“EWM Units”) increased from 2012 primarily as a result of higher valuations attributed to asset managers in 2013, as measured by multiples of expected earnings, as well as higher AUM and earnings in EWM. During 2012, several factors resulted in a $28,679 increase in the EWM Units. These factors included: (1) $2,693 from the issuance of 1,486 EWM Units in connection with the Mt. Eden acquisition by EWM in December of 2012, at the fair value of $1,812 per unit, (2) $19,841 from the expiration of key-man life insurance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policies held by EWM on the holders of 10,950 EWM Units, valued at $1,812 per unit, causing the units to be reclassified from noncontrolling interest included in permanent equity to Redeemable Noncontrolling Interest included in mezzanine equity and (3) $6,145 from the increase in the fair value of the EWM Units outstanding at the beginning of the year. This increase in value arose from increases in anticipated levels of profitability resulting from the acquisition of Mt. Eden, resulting in a broader and more viable wealth management platform, from expected cost synergies from the Mt Eden acquisition and from organic growth in AUM held by the Company prior to the Mt. Eden acquisition during 2012. Accordingly, the Company reflected the $28,679 increase in Redeemable Noncontrolling Interest as a reduction of Noncontrolling Interest of $3,606, representing the historical value of the related EWM Units, and as a reduction of Additional Paid-in-Capital of $25,073, on the Consolidated Statement of Financial Condition as of December 31, 2012.</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2013, the Company also had an issuance of noncontrolling interest related to EMP III. See Note 9 for further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2013, the Company purchased, at fair value, all of the noncontrolling interest in ETC for $7,890. This purchase was settled on July 19,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Income (Loss) Per Share Attributable to Evercore Partners Inc. Common Shareholders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calculations of basic and diluted net income (loss) per share attributable to Evercore Partners Inc. common shareholders for the years ended December 31, 2013, 2012 and 2011 are described and presented below.</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1" w:right="29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and share amounts in thousands, except per share amounts, unless otherwise noted)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Basic Net Income (Loss) Per Share Attributable to Evercore Partners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Numerator: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40"/>
              <w:spacing w:after="0"/>
              <w:rPr>
                <w:sz w:val="20"/>
                <w:szCs w:val="20"/>
                <w:color w:val="auto"/>
              </w:rPr>
            </w:pPr>
            <w:r>
              <w:rPr>
                <w:rFonts w:ascii="Arial" w:cs="Arial" w:eastAsia="Arial" w:hAnsi="Arial"/>
                <w:sz w:val="14"/>
                <w:szCs w:val="14"/>
                <w:color w:val="auto"/>
              </w:rPr>
              <w:t>Net income from continuing operations attributable to Evercore Partners Inc.</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40"/>
              <w:spacing w:after="0"/>
              <w:rPr>
                <w:sz w:val="20"/>
                <w:szCs w:val="20"/>
                <w:color w:val="auto"/>
              </w:rPr>
            </w:pPr>
            <w:r>
              <w:rPr>
                <w:rFonts w:ascii="Arial" w:cs="Arial" w:eastAsia="Arial" w:hAnsi="Arial"/>
                <w:sz w:val="14"/>
                <w:szCs w:val="14"/>
                <w:color w:val="auto"/>
                <w:w w:val="99"/>
              </w:rPr>
              <w:t>Associated accretion of redemption price of noncontrolling interest in Trilantic (See Note 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680"/>
              <w:spacing w:after="0"/>
              <w:rPr>
                <w:sz w:val="20"/>
                <w:szCs w:val="20"/>
                <w:color w:val="auto"/>
              </w:rPr>
            </w:pPr>
            <w:r>
              <w:rPr>
                <w:rFonts w:ascii="Arial" w:cs="Arial" w:eastAsia="Arial" w:hAnsi="Arial"/>
                <w:sz w:val="14"/>
                <w:szCs w:val="14"/>
                <w:color w:val="auto"/>
              </w:rPr>
              <w:t>Net income from continuing operations attributable to Evercore Partners Inc. common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680"/>
              <w:spacing w:after="0"/>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tcPr>
          <w:p>
            <w:pPr>
              <w:ind w:left="640"/>
              <w:spacing w:after="0"/>
              <w:rPr>
                <w:sz w:val="20"/>
                <w:szCs w:val="20"/>
                <w:color w:val="auto"/>
              </w:rPr>
            </w:pPr>
            <w:r>
              <w:rPr>
                <w:rFonts w:ascii="Arial" w:cs="Arial" w:eastAsia="Arial" w:hAnsi="Arial"/>
                <w:sz w:val="14"/>
                <w:szCs w:val="14"/>
                <w:color w:val="auto"/>
              </w:rPr>
              <w:t>Net income (loss) from discontinued operations attributable to Evercore Partners Inc.</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640"/>
              <w:spacing w:after="0"/>
              <w:rPr>
                <w:sz w:val="20"/>
                <w:szCs w:val="20"/>
                <w:color w:val="auto"/>
              </w:rPr>
            </w:pPr>
            <w:r>
              <w:rPr>
                <w:rFonts w:ascii="Arial" w:cs="Arial" w:eastAsia="Arial" w:hAnsi="Arial"/>
                <w:sz w:val="14"/>
                <w:szCs w:val="14"/>
                <w:color w:val="auto"/>
              </w:rPr>
              <w:t>common 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960"/>
              <w:spacing w:after="0"/>
              <w:rPr>
                <w:sz w:val="20"/>
                <w:szCs w:val="20"/>
                <w:color w:val="auto"/>
              </w:rPr>
            </w:pPr>
            <w:r>
              <w:rPr>
                <w:rFonts w:ascii="Arial" w:cs="Arial" w:eastAsia="Arial" w:hAnsi="Arial"/>
                <w:sz w:val="14"/>
                <w:szCs w:val="14"/>
                <w:color w:val="auto"/>
              </w:rPr>
              <w:t>Net income attributable to Evercore Partners Inc. common 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00" w:type="dxa"/>
            <w:vAlign w:val="bottom"/>
          </w:tcPr>
          <w:p>
            <w:pPr>
              <w:ind w:left="340"/>
              <w:spacing w:after="0"/>
              <w:rPr>
                <w:sz w:val="20"/>
                <w:szCs w:val="20"/>
                <w:color w:val="auto"/>
              </w:rPr>
            </w:pPr>
            <w:r>
              <w:rPr>
                <w:rFonts w:ascii="Arial" w:cs="Arial" w:eastAsia="Arial" w:hAnsi="Arial"/>
                <w:sz w:val="14"/>
                <w:szCs w:val="14"/>
                <w:color w:val="auto"/>
              </w:rPr>
              <w:t>Weighted average shares of Class A common stock outstanding, including vested RSUs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r>
              <w:rPr>
                <w:rFonts w:ascii="Arial" w:cs="Arial" w:eastAsia="Arial" w:hAnsi="Arial"/>
                <w:sz w:val="14"/>
                <w:szCs w:val="14"/>
                <w:color w:val="auto"/>
                <w:w w:val="95"/>
              </w:rPr>
              <w:t>Basic net income per share from continuing operations attributable to Evercore Partners Inc. common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w w:val="95"/>
              </w:rPr>
              <w:t>Basic net income (loss) per share from discontinued operations attributable to Evercore Partners Inc.</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common 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4"/>
                <w:szCs w:val="14"/>
                <w:color w:val="auto"/>
              </w:rPr>
              <w:t>Basic net income per share attributable to Evercore Partners Inc. common 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6000" w:type="dxa"/>
            <w:vAlign w:val="bottom"/>
          </w:tcPr>
          <w:p>
            <w:pPr>
              <w:spacing w:after="0"/>
              <w:rPr>
                <w:sz w:val="20"/>
                <w:szCs w:val="20"/>
                <w:color w:val="auto"/>
              </w:rPr>
            </w:pPr>
            <w:r>
              <w:rPr>
                <w:rFonts w:ascii="Arial" w:cs="Arial" w:eastAsia="Arial" w:hAnsi="Arial"/>
                <w:sz w:val="14"/>
                <w:szCs w:val="14"/>
                <w:b w:val="1"/>
                <w:bCs w:val="1"/>
                <w:color w:val="auto"/>
              </w:rPr>
              <w:t>Diluted Net Income (Loss) Per Share Attributable to Evercore Partners Inc. Common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Numerator: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340"/>
              <w:spacing w:after="0"/>
              <w:rPr>
                <w:sz w:val="20"/>
                <w:szCs w:val="20"/>
                <w:color w:val="auto"/>
              </w:rPr>
            </w:pPr>
            <w:r>
              <w:rPr>
                <w:rFonts w:ascii="Arial" w:cs="Arial" w:eastAsia="Arial" w:hAnsi="Arial"/>
                <w:sz w:val="14"/>
                <w:szCs w:val="14"/>
                <w:color w:val="auto"/>
              </w:rPr>
              <w:t>Net income from continuing operations attributable to Evercore Partners Inc. common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340"/>
              <w:spacing w:after="0"/>
              <w:rPr>
                <w:sz w:val="20"/>
                <w:szCs w:val="20"/>
                <w:color w:val="auto"/>
              </w:rPr>
            </w:pPr>
            <w:r>
              <w:rPr>
                <w:rFonts w:ascii="Arial" w:cs="Arial" w:eastAsia="Arial" w:hAnsi="Arial"/>
                <w:sz w:val="14"/>
                <w:szCs w:val="14"/>
                <w:color w:val="auto"/>
              </w:rPr>
              <w:t>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000" w:type="dxa"/>
            <w:vAlign w:val="bottom"/>
          </w:tcPr>
          <w:p>
            <w:pPr>
              <w:ind w:left="340"/>
              <w:spacing w:after="0"/>
              <w:rPr>
                <w:sz w:val="20"/>
                <w:szCs w:val="20"/>
                <w:color w:val="auto"/>
              </w:rPr>
            </w:pPr>
            <w:r>
              <w:rPr>
                <w:rFonts w:ascii="Arial" w:cs="Arial" w:eastAsia="Arial" w:hAnsi="Arial"/>
                <w:sz w:val="14"/>
                <w:szCs w:val="14"/>
                <w:color w:val="auto"/>
              </w:rPr>
              <w:t>Noncontrolling interest related to the assumed exchange of LP Units for Class A Shares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340"/>
              <w:spacing w:after="0"/>
              <w:rPr>
                <w:sz w:val="20"/>
                <w:szCs w:val="20"/>
                <w:color w:val="auto"/>
              </w:rPr>
            </w:pPr>
            <w:r>
              <w:rPr>
                <w:rFonts w:ascii="Arial" w:cs="Arial" w:eastAsia="Arial" w:hAnsi="Arial"/>
                <w:sz w:val="14"/>
                <w:szCs w:val="14"/>
                <w:color w:val="auto"/>
              </w:rPr>
              <w:t>Associated corporate taxes related to the assumed elimination of Noncontrolling Interest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340"/>
              <w:spacing w:after="0"/>
              <w:rPr>
                <w:sz w:val="20"/>
                <w:szCs w:val="20"/>
                <w:color w:val="auto"/>
              </w:rPr>
            </w:pPr>
            <w:r>
              <w:rPr>
                <w:rFonts w:ascii="Arial" w:cs="Arial" w:eastAsia="Arial" w:hAnsi="Arial"/>
                <w:sz w:val="14"/>
                <w:szCs w:val="14"/>
                <w:color w:val="auto"/>
              </w:rPr>
              <w:t>described above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tcPr>
          <w:p>
            <w:pPr>
              <w:ind w:left="680"/>
              <w:spacing w:after="0"/>
              <w:rPr>
                <w:sz w:val="20"/>
                <w:szCs w:val="20"/>
                <w:color w:val="auto"/>
              </w:rPr>
            </w:pPr>
            <w:r>
              <w:rPr>
                <w:rFonts w:ascii="Arial" w:cs="Arial" w:eastAsia="Arial" w:hAnsi="Arial"/>
                <w:sz w:val="14"/>
                <w:szCs w:val="14"/>
                <w:color w:val="auto"/>
              </w:rPr>
              <w:t>Diluted net income from continuing operations attributable to Class A common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680"/>
              <w:spacing w:after="0"/>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tcPr>
          <w:p>
            <w:pPr>
              <w:ind w:left="640"/>
              <w:spacing w:after="0"/>
              <w:rPr>
                <w:sz w:val="20"/>
                <w:szCs w:val="20"/>
                <w:color w:val="auto"/>
              </w:rPr>
            </w:pPr>
            <w:r>
              <w:rPr>
                <w:rFonts w:ascii="Arial" w:cs="Arial" w:eastAsia="Arial" w:hAnsi="Arial"/>
                <w:sz w:val="14"/>
                <w:szCs w:val="14"/>
                <w:color w:val="auto"/>
              </w:rPr>
              <w:t>Net income (loss) from discontinued operations attributable to Evercore Partners Inc.</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640"/>
              <w:spacing w:after="0"/>
              <w:rPr>
                <w:sz w:val="20"/>
                <w:szCs w:val="20"/>
                <w:color w:val="auto"/>
              </w:rPr>
            </w:pPr>
            <w:r>
              <w:rPr>
                <w:rFonts w:ascii="Arial" w:cs="Arial" w:eastAsia="Arial" w:hAnsi="Arial"/>
                <w:sz w:val="14"/>
                <w:szCs w:val="14"/>
                <w:color w:val="auto"/>
              </w:rPr>
              <w:t>common 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960"/>
              <w:spacing w:after="0"/>
              <w:rPr>
                <w:sz w:val="20"/>
                <w:szCs w:val="20"/>
                <w:color w:val="auto"/>
              </w:rPr>
            </w:pPr>
            <w:r>
              <w:rPr>
                <w:rFonts w:ascii="Arial" w:cs="Arial" w:eastAsia="Arial" w:hAnsi="Arial"/>
                <w:sz w:val="14"/>
                <w:szCs w:val="14"/>
                <w:color w:val="auto"/>
              </w:rPr>
              <w:t>Diluted net income attributable to Class A common 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00" w:type="dxa"/>
            <w:vAlign w:val="bottom"/>
          </w:tcPr>
          <w:p>
            <w:pPr>
              <w:ind w:left="340"/>
              <w:spacing w:after="0"/>
              <w:rPr>
                <w:sz w:val="20"/>
                <w:szCs w:val="20"/>
                <w:color w:val="auto"/>
              </w:rPr>
            </w:pPr>
            <w:r>
              <w:rPr>
                <w:rFonts w:ascii="Arial" w:cs="Arial" w:eastAsia="Arial" w:hAnsi="Arial"/>
                <w:sz w:val="14"/>
                <w:szCs w:val="14"/>
                <w:color w:val="auto"/>
              </w:rPr>
              <w:t>Weighted average shares of Class A common stock outstanding, including vested RSUs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40"/>
              <w:spacing w:after="0"/>
              <w:rPr>
                <w:sz w:val="20"/>
                <w:szCs w:val="20"/>
                <w:color w:val="auto"/>
              </w:rPr>
            </w:pPr>
            <w:r>
              <w:rPr>
                <w:rFonts w:ascii="Arial" w:cs="Arial" w:eastAsia="Arial" w:hAnsi="Arial"/>
                <w:sz w:val="14"/>
                <w:szCs w:val="14"/>
                <w:color w:val="auto"/>
              </w:rPr>
              <w:t>Assumed exchange of LP Units for Class A Shares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340"/>
              <w:spacing w:after="0"/>
              <w:rPr>
                <w:sz w:val="20"/>
                <w:szCs w:val="20"/>
                <w:color w:val="auto"/>
              </w:rPr>
            </w:pPr>
            <w:r>
              <w:rPr>
                <w:rFonts w:ascii="Arial" w:cs="Arial" w:eastAsia="Arial" w:hAnsi="Arial"/>
                <w:sz w:val="14"/>
                <w:szCs w:val="14"/>
                <w:color w:val="auto"/>
                <w:w w:val="93"/>
              </w:rPr>
              <w:t>Additional shares of the Company’s common stock assumed to be issued pursuant to non-vested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340"/>
              <w:spacing w:after="0"/>
              <w:rPr>
                <w:sz w:val="20"/>
                <w:szCs w:val="20"/>
                <w:color w:val="auto"/>
              </w:rPr>
            </w:pPr>
            <w:r>
              <w:rPr>
                <w:rFonts w:ascii="Arial" w:cs="Arial" w:eastAsia="Arial" w:hAnsi="Arial"/>
                <w:sz w:val="14"/>
                <w:szCs w:val="14"/>
                <w:color w:val="auto"/>
              </w:rPr>
              <w:t>RSUs and deferred consideration, as calculated using the Treasury Stock Method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40"/>
              <w:spacing w:after="0"/>
              <w:rPr>
                <w:sz w:val="20"/>
                <w:szCs w:val="20"/>
                <w:color w:val="auto"/>
              </w:rPr>
            </w:pPr>
            <w:r>
              <w:rPr>
                <w:rFonts w:ascii="Arial" w:cs="Arial" w:eastAsia="Arial" w:hAnsi="Arial"/>
                <w:sz w:val="14"/>
                <w:szCs w:val="14"/>
                <w:color w:val="auto"/>
              </w:rPr>
              <w:t>Assumed conversion of Warrants issued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680"/>
              <w:spacing w:after="0"/>
              <w:rPr>
                <w:sz w:val="20"/>
                <w:szCs w:val="20"/>
                <w:color w:val="auto"/>
              </w:rPr>
            </w:pPr>
            <w:r>
              <w:rPr>
                <w:rFonts w:ascii="Arial" w:cs="Arial" w:eastAsia="Arial" w:hAnsi="Arial"/>
                <w:sz w:val="14"/>
                <w:szCs w:val="14"/>
                <w:color w:val="auto"/>
              </w:rPr>
              <w:t>Diluted weighted average shares of Class A common stock outstanding</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r>
              <w:rPr>
                <w:rFonts w:ascii="Arial" w:cs="Arial" w:eastAsia="Arial" w:hAnsi="Arial"/>
                <w:sz w:val="14"/>
                <w:szCs w:val="14"/>
                <w:color w:val="auto"/>
                <w:w w:val="93"/>
              </w:rPr>
              <w:t>Diluted net income per share from continuing operations attributable to Evercore Partners Inc. common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w w:val="94"/>
              </w:rPr>
              <w:t>Diluted net income (loss) per share from discontinued operations attributable to Evercore Partners Inc.</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common shareholders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4"/>
                <w:szCs w:val="14"/>
                <w:color w:val="auto"/>
              </w:rPr>
              <w:t>Diluted net income per share attributable to Evercore Partners Inc. common shareholders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-5274310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-4124960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-3730625</wp:posOffset>
            </wp:positionV>
            <wp:extent cx="724662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-2941955</wp:posOffset>
            </wp:positionV>
            <wp:extent cx="724662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-2547620</wp:posOffset>
            </wp:positionV>
            <wp:extent cx="724662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-2101215</wp:posOffset>
            </wp:positionV>
            <wp:extent cx="724662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-1346835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-1706880</wp:posOffset>
            </wp:positionV>
            <wp:extent cx="72466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-3336290</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-4485640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-4931410</wp:posOffset>
            </wp:positionV>
            <wp:extent cx="724662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23495</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jc w:val="right"/>
              <w:ind w:right="768"/>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2011</w:t>
            </w:r>
          </w:p>
        </w:tc>
      </w:tr>
      <w:tr>
        <w:trPr>
          <w:trHeight w:val="798"/>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54,867</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28,889</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7,918</w:t>
            </w:r>
          </w:p>
        </w:tc>
      </w:tr>
      <w:tr>
        <w:trPr>
          <w:trHeight w:val="276"/>
        </w:trPr>
        <w:tc>
          <w:tcPr>
            <w:tcW w:w="112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325"/>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54,799</w:t>
            </w: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7,834</w:t>
            </w:r>
          </w:p>
        </w:tc>
      </w:tr>
      <w:tr>
        <w:trPr>
          <w:trHeight w:val="357"/>
        </w:trPr>
        <w:tc>
          <w:tcPr>
            <w:tcW w:w="1120" w:type="dxa"/>
            <w:vAlign w:val="bottom"/>
          </w:tcPr>
          <w:p>
            <w:pPr>
              <w:jc w:val="right"/>
              <w:ind w:right="108"/>
              <w:spacing w:after="0"/>
              <w:rPr>
                <w:sz w:val="20"/>
                <w:szCs w:val="20"/>
                <w:color w:val="auto"/>
              </w:rPr>
            </w:pPr>
            <w:r>
              <w:rPr>
                <w:rFonts w:ascii="Arial" w:cs="Arial" w:eastAsia="Arial" w:hAnsi="Arial"/>
                <w:sz w:val="14"/>
                <w:szCs w:val="14"/>
                <w:color w:val="auto"/>
              </w:rPr>
              <w:t>(1,605)</w:t>
            </w:r>
          </w:p>
        </w:tc>
        <w:tc>
          <w:tcPr>
            <w:tcW w:w="4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37"/>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53,194</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6,868</w:t>
            </w:r>
          </w:p>
        </w:tc>
      </w:tr>
      <w:tr>
        <w:trPr>
          <w:trHeight w:val="20"/>
        </w:trPr>
        <w:tc>
          <w:tcPr>
            <w:tcW w:w="1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5"/>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32,208</w:t>
            </w: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29,275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26,019</w:t>
            </w:r>
          </w:p>
        </w:tc>
      </w:tr>
      <w:tr>
        <w:trPr>
          <w:trHeight w:val="351"/>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1.70</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0.98</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0.30</w:t>
            </w:r>
          </w:p>
        </w:tc>
      </w:tr>
      <w:tr>
        <w:trPr>
          <w:trHeight w:val="357"/>
        </w:trPr>
        <w:tc>
          <w:tcPr>
            <w:tcW w:w="1120" w:type="dxa"/>
            <w:vAlign w:val="bottom"/>
          </w:tcPr>
          <w:p>
            <w:pPr>
              <w:jc w:val="right"/>
              <w:ind w:right="108"/>
              <w:spacing w:after="0"/>
              <w:rPr>
                <w:sz w:val="20"/>
                <w:szCs w:val="20"/>
                <w:color w:val="auto"/>
              </w:rPr>
            </w:pPr>
            <w:r>
              <w:rPr>
                <w:rFonts w:ascii="Arial" w:cs="Arial" w:eastAsia="Arial" w:hAnsi="Arial"/>
                <w:sz w:val="14"/>
                <w:szCs w:val="14"/>
                <w:color w:val="auto"/>
              </w:rPr>
              <w:t>(0.05)</w:t>
            </w:r>
          </w:p>
        </w:tc>
        <w:tc>
          <w:tcPr>
            <w:tcW w:w="4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1.65</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r>
      <w:tr>
        <w:trPr>
          <w:trHeight w:val="20"/>
        </w:trPr>
        <w:tc>
          <w:tcPr>
            <w:tcW w:w="1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920"/>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54,799</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7,834</w:t>
            </w:r>
          </w:p>
        </w:tc>
      </w:tr>
      <w:tr>
        <w:trPr>
          <w:trHeight w:val="270"/>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(a)</w:t>
            </w:r>
          </w:p>
        </w:tc>
        <w:tc>
          <w:tcPr>
            <w:tcW w:w="420" w:type="dxa"/>
            <w:vAlign w:val="bottom"/>
          </w:tcPr>
          <w:p>
            <w:pPr>
              <w:spacing w:after="0"/>
              <w:rPr>
                <w:sz w:val="23"/>
                <w:szCs w:val="23"/>
                <w:color w:val="auto"/>
              </w:rPr>
            </w:pP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(a)</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(a)</w:t>
            </w:r>
          </w:p>
        </w:tc>
      </w:tr>
      <w:tr>
        <w:trPr>
          <w:trHeight w:val="357"/>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(a)</w:t>
            </w:r>
          </w:p>
        </w:tc>
        <w:tc>
          <w:tcPr>
            <w:tcW w:w="420" w:type="dxa"/>
            <w:vAlign w:val="bottom"/>
          </w:tcPr>
          <w:p>
            <w:pPr>
              <w:spacing w:after="0"/>
              <w:rPr>
                <w:sz w:val="24"/>
                <w:szCs w:val="24"/>
                <w:color w:val="auto"/>
              </w:rPr>
            </w:pP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(a)</w:t>
            </w: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(a)</w:t>
            </w:r>
          </w:p>
        </w:tc>
      </w:tr>
      <w:tr>
        <w:trPr>
          <w:trHeight w:val="325"/>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54,799</w:t>
            </w: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7,834</w:t>
            </w:r>
          </w:p>
        </w:tc>
      </w:tr>
      <w:tr>
        <w:trPr>
          <w:trHeight w:val="357"/>
        </w:trPr>
        <w:tc>
          <w:tcPr>
            <w:tcW w:w="1120" w:type="dxa"/>
            <w:vAlign w:val="bottom"/>
          </w:tcPr>
          <w:p>
            <w:pPr>
              <w:jc w:val="right"/>
              <w:ind w:right="108"/>
              <w:spacing w:after="0"/>
              <w:rPr>
                <w:sz w:val="20"/>
                <w:szCs w:val="20"/>
                <w:color w:val="auto"/>
              </w:rPr>
            </w:pPr>
            <w:r>
              <w:rPr>
                <w:rFonts w:ascii="Arial" w:cs="Arial" w:eastAsia="Arial" w:hAnsi="Arial"/>
                <w:sz w:val="14"/>
                <w:szCs w:val="14"/>
                <w:color w:val="auto"/>
              </w:rPr>
              <w:t>(1,605)</w:t>
            </w:r>
          </w:p>
        </w:tc>
        <w:tc>
          <w:tcPr>
            <w:tcW w:w="4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37"/>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53,194</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6,868</w:t>
            </w:r>
          </w:p>
        </w:tc>
      </w:tr>
      <w:tr>
        <w:trPr>
          <w:trHeight w:val="20"/>
        </w:trPr>
        <w:tc>
          <w:tcPr>
            <w:tcW w:w="1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5"/>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32,208</w:t>
            </w: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29,275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26,019</w:t>
            </w:r>
          </w:p>
        </w:tc>
      </w:tr>
      <w:tr>
        <w:trPr>
          <w:trHeight w:val="270"/>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(a)</w:t>
            </w:r>
          </w:p>
        </w:tc>
        <w:tc>
          <w:tcPr>
            <w:tcW w:w="420" w:type="dxa"/>
            <w:vAlign w:val="bottom"/>
          </w:tcPr>
          <w:p>
            <w:pPr>
              <w:spacing w:after="0"/>
              <w:rPr>
                <w:sz w:val="23"/>
                <w:szCs w:val="23"/>
                <w:color w:val="auto"/>
              </w:rPr>
            </w:pP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(a)</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(a)</w:t>
            </w:r>
          </w:p>
        </w:tc>
      </w:tr>
      <w:tr>
        <w:trPr>
          <w:trHeight w:val="351"/>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3,585</w:t>
            </w: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2,386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1,903</w:t>
            </w:r>
          </w:p>
        </w:tc>
      </w:tr>
      <w:tr>
        <w:trPr>
          <w:trHeight w:val="276"/>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2,688</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1,475</w:t>
            </w:r>
          </w:p>
        </w:tc>
      </w:tr>
      <w:tr>
        <w:trPr>
          <w:trHeight w:val="244"/>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38,481</w:t>
            </w:r>
          </w:p>
        </w:tc>
        <w:tc>
          <w:tcPr>
            <w:tcW w:w="420" w:type="dxa"/>
            <w:vAlign w:val="bottom"/>
          </w:tcPr>
          <w:p>
            <w:pPr>
              <w:spacing w:after="0"/>
              <w:rPr>
                <w:sz w:val="21"/>
                <w:szCs w:val="21"/>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32,548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29,397</w:t>
            </w:r>
          </w:p>
        </w:tc>
      </w:tr>
      <w:tr>
        <w:trPr>
          <w:trHeight w:val="351"/>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1.42</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357"/>
        </w:trPr>
        <w:tc>
          <w:tcPr>
            <w:tcW w:w="1120" w:type="dxa"/>
            <w:vAlign w:val="bottom"/>
          </w:tcPr>
          <w:p>
            <w:pPr>
              <w:jc w:val="right"/>
              <w:ind w:right="108"/>
              <w:spacing w:after="0"/>
              <w:rPr>
                <w:sz w:val="20"/>
                <w:szCs w:val="20"/>
                <w:color w:val="auto"/>
              </w:rPr>
            </w:pPr>
            <w:r>
              <w:rPr>
                <w:rFonts w:ascii="Arial" w:cs="Arial" w:eastAsia="Arial" w:hAnsi="Arial"/>
                <w:sz w:val="14"/>
                <w:szCs w:val="14"/>
                <w:color w:val="auto"/>
              </w:rPr>
              <w:t>(0.04)</w:t>
            </w:r>
          </w:p>
        </w:tc>
        <w:tc>
          <w:tcPr>
            <w:tcW w:w="4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1120" w:type="dxa"/>
            <w:vAlign w:val="bottom"/>
          </w:tcPr>
          <w:p>
            <w:pPr>
              <w:jc w:val="right"/>
              <w:ind w:right="168"/>
              <w:spacing w:after="0"/>
              <w:rPr>
                <w:sz w:val="20"/>
                <w:szCs w:val="20"/>
                <w:color w:val="auto"/>
              </w:rPr>
            </w:pPr>
            <w:r>
              <w:rPr>
                <w:rFonts w:ascii="Arial" w:cs="Arial" w:eastAsia="Arial" w:hAnsi="Arial"/>
                <w:sz w:val="14"/>
                <w:szCs w:val="14"/>
                <w:color w:val="auto"/>
              </w:rPr>
              <w:t>1.38</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0.23</w:t>
            </w:r>
          </w:p>
        </w:tc>
      </w:tr>
      <w:tr>
        <w:trPr>
          <w:trHeight w:val="20"/>
        </w:trPr>
        <w:tc>
          <w:tcPr>
            <w:tcW w:w="1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-8255</wp:posOffset>
            </wp:positionV>
            <wp:extent cx="1097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-805180</wp:posOffset>
            </wp:positionV>
            <wp:extent cx="10979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-1740535</wp:posOffset>
            </wp:positionV>
            <wp:extent cx="1097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-1903095</wp:posOffset>
            </wp:positionV>
            <wp:extent cx="10979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-2348865</wp:posOffset>
            </wp:positionV>
            <wp:extent cx="10979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-3369945</wp:posOffset>
            </wp:positionV>
            <wp:extent cx="10979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-3532505</wp:posOffset>
            </wp:positionV>
            <wp:extent cx="10979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-4330065</wp:posOffset>
            </wp:positionV>
            <wp:extent cx="10979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620"/>
            <w:col w:w="4640"/>
          </w:cols>
          <w:pgMar w:left="240" w:top="121" w:right="239" w:bottom="1440" w:gutter="0" w:footer="0" w:header="0"/>
          <w:type w:val="continuous"/>
        </w:sectPr>
      </w:pPr>
    </w:p>
    <w:p>
      <w:pPr>
        <w:spacing w:after="0" w:line="2" w:lineRule="exact"/>
        <w:rPr>
          <w:sz w:val="20"/>
          <w:szCs w:val="20"/>
          <w:color w:val="auto"/>
        </w:rPr>
      </w:pPr>
    </w:p>
    <w:p>
      <w:pPr>
        <w:ind w:left="340" w:right="20" w:hanging="332"/>
        <w:spacing w:after="0" w:line="27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outstanding LP Units in its subsidiary, Evercore LP, which give the holders the right to receive Class A Shares upon exchange on a one for one basis. During the years ended December 31, 2013, 2012 and 2011, the LP Units were antidilutive and consequently the effect of their exchange into Class A Shares has been excluded from the calculation of diluted net income (loss) per share attributable to Evercore Partners Inc. common shareholders. The units that would have been included in the denominator of the computation of diluted net income (loss) per share attributable to Evercore Partners Inc. common shareholders if the effect would have been dilutive were 6,433, 8,695 and 10,356 for the years ended December 31, 2013, 2012 and 2011, respectively. The adjustment to the numerator, Diluted net income attributable to Class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27" w:lineRule="exact"/>
        <w:rPr>
          <w:sz w:val="20"/>
          <w:szCs w:val="20"/>
          <w:color w:val="auto"/>
        </w:rPr>
      </w:pPr>
    </w:p>
    <w:p>
      <w:pPr>
        <w:ind w:left="340" w:right="100"/>
        <w:spacing w:after="0" w:line="325" w:lineRule="auto"/>
        <w:rPr>
          <w:sz w:val="20"/>
          <w:szCs w:val="20"/>
          <w:color w:val="auto"/>
        </w:rPr>
      </w:pPr>
      <w:r>
        <w:rPr>
          <w:rFonts w:ascii="Arial" w:cs="Arial" w:eastAsia="Arial" w:hAnsi="Arial"/>
          <w:sz w:val="17"/>
          <w:szCs w:val="17"/>
          <w:color w:val="auto"/>
        </w:rPr>
        <w:t>A common shareholders, if the effect would have been dilutive, would have been $12,804, $8,135 and $5,692 for the years ended December 31, 2013, 2012 and 2011, respectively. In computing this adjustment, the Company assumes that all vested LP Units, and all unvested LP Units after applying the treasury stock method, are converted into Class A Shares, that all earnings attributable to those shares are attributed to Evercore Partners Inc. and, that it has adopted a conventional corporate tax structure and is taxed as a C Corporation in the U.S. at prevailing corporate tax rates. The Company does not anticipate that the LP Units will result in a dilutive computation in future periods.</w:t>
      </w:r>
    </w:p>
    <w:p>
      <w:pPr>
        <w:spacing w:after="0" w:line="9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the Company. The shares of Class B common stock do not share in the earnings of the Company and no earnings are allocable to such class. Accordingly, basic and diluted net income per share of Class B common stock have not been presented.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and Other Deferred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At the time of the Company’s formation and IPO, collectively referred to as the reorganization (“Reorganization”), Members and certain trusts benefiting certain of their families received 13,548 vested and 9,589 unvested LP Units. The LP Units are exchangeable into Class A Shares of the Company on a one-for-one basis once vested.</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unvested LP Units vest ratably on December 31, 2011, 2012 and 2013 so long as the equity holder remains employed with Evercore Partners Inc., Evercore LP or their affiliates on such dates. The LP Units were all fully vested as of December 31, 2013. The Company is expensing the fair value of the awards, prospectively, over the service period. Expense related to the amortization of these LP Units was $20,063, $20,971 and $22,189 for the years ended December 31, 2013, 2012 and 2011,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w:t>
      </w:r>
    </w:p>
    <w:p>
      <w:pPr>
        <w:spacing w:after="0" w:line="90"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During 2011, in connection with the Lexicon acquisition, the Company committed to issue 1,883 restricted Class A Shares, including dividend equivalent units, (“Acquisition-related Awards”) and deferred cash consideration. Compensation expense related to the Acquisition-related Awards and deferred cash consideration was $10,960 and $3,937, respectively, for the year ended December 31, 2013, $18,749 and $7,216, respectively, for the year ended December 31, 2012, and $6,621 and $2,455, respectively, for the year ended December 31, 2011.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related to Acquisition-related Awards during the year ended December 31, 2013:</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4620" w:type="dxa"/>
            <w:vAlign w:val="bottom"/>
            <w:tcBorders>
              <w:bottom w:val="single" w:sz="8" w:color="auto"/>
            </w:tcBorders>
            <w:gridSpan w:val="5"/>
          </w:tcPr>
          <w:p>
            <w:pPr>
              <w:jc w:val="right"/>
              <w:ind w:right="1376"/>
              <w:spacing w:after="0"/>
              <w:rPr>
                <w:sz w:val="20"/>
                <w:szCs w:val="20"/>
                <w:color w:val="auto"/>
              </w:rPr>
            </w:pPr>
            <w:r>
              <w:rPr>
                <w:rFonts w:ascii="Arial" w:cs="Arial" w:eastAsia="Arial" w:hAnsi="Arial"/>
                <w:sz w:val="14"/>
                <w:szCs w:val="14"/>
                <w:b w:val="1"/>
                <w:bCs w:val="1"/>
                <w:color w:val="auto"/>
              </w:rPr>
              <w:t>Acquisition-related Awards</w:t>
            </w:r>
          </w:p>
        </w:tc>
        <w:tc>
          <w:tcPr>
            <w:tcW w:w="0" w:type="dxa"/>
            <w:vAlign w:val="bottom"/>
          </w:tcPr>
          <w:p>
            <w:pPr>
              <w:spacing w:after="0"/>
              <w:rPr>
                <w:sz w:val="1"/>
                <w:szCs w:val="1"/>
                <w:color w:val="auto"/>
              </w:rPr>
            </w:pPr>
          </w:p>
        </w:tc>
      </w:tr>
      <w:tr>
        <w:trPr>
          <w:trHeight w:val="152"/>
        </w:trPr>
        <w:tc>
          <w:tcPr>
            <w:tcW w:w="6660" w:type="dxa"/>
            <w:vAlign w:val="bottom"/>
          </w:tcPr>
          <w:p>
            <w:pPr>
              <w:spacing w:after="0"/>
              <w:rPr>
                <w:sz w:val="13"/>
                <w:szCs w:val="13"/>
                <w:color w:val="auto"/>
              </w:rPr>
            </w:pPr>
          </w:p>
        </w:tc>
        <w:tc>
          <w:tcPr>
            <w:tcW w:w="172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2"/>
              </w:rPr>
              <w:t>Number of Shares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Grant Date Weighted</w:t>
            </w:r>
          </w:p>
        </w:tc>
        <w:tc>
          <w:tcPr>
            <w:tcW w:w="0" w:type="dxa"/>
            <w:vAlign w:val="bottom"/>
          </w:tcPr>
          <w:p>
            <w:pPr>
              <w:spacing w:after="0"/>
              <w:rPr>
                <w:sz w:val="1"/>
                <w:szCs w:val="1"/>
                <w:color w:val="auto"/>
              </w:rPr>
            </w:pPr>
          </w:p>
        </w:tc>
      </w:tr>
      <w:tr>
        <w:trPr>
          <w:trHeight w:val="192"/>
        </w:trPr>
        <w:tc>
          <w:tcPr>
            <w:tcW w:w="66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Average Fair Value</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Balance at January 1, 2013</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39,338</w:t>
            </w:r>
          </w:p>
        </w:tc>
        <w:tc>
          <w:tcPr>
            <w:tcW w:w="0" w:type="dxa"/>
            <w:vAlign w:val="bottom"/>
          </w:tcPr>
          <w:p>
            <w:pPr>
              <w:spacing w:after="0"/>
              <w:rPr>
                <w:sz w:val="1"/>
                <w:szCs w:val="1"/>
                <w:color w:val="auto"/>
              </w:rPr>
            </w:pP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6"/>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57"/>
        </w:trPr>
        <w:tc>
          <w:tcPr>
            <w:tcW w:w="6660" w:type="dxa"/>
            <w:vAlign w:val="bottom"/>
          </w:tcPr>
          <w:p>
            <w:pPr>
              <w:ind w:left="20"/>
              <w:spacing w:after="0"/>
              <w:rPr>
                <w:sz w:val="20"/>
                <w:szCs w:val="20"/>
                <w:color w:val="auto"/>
              </w:rPr>
            </w:pPr>
            <w:r>
              <w:rPr>
                <w:rFonts w:ascii="Arial" w:cs="Arial" w:eastAsia="Arial" w:hAnsi="Arial"/>
                <w:sz w:val="18"/>
                <w:szCs w:val="18"/>
                <w:color w:val="auto"/>
              </w:rPr>
              <w:t>Unvested Balance at December 31, 2013</w:t>
            </w:r>
          </w:p>
        </w:tc>
        <w:tc>
          <w:tcPr>
            <w:tcW w:w="17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1,127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As of December 31, 2013, the total compensation cost related to unvested Acquisition-related Awards and deferred cash consideration not yet recognized was $8,561. The weighted-average period over which this compensation cost is expected to be recognized is 18 months.</w:t>
      </w:r>
    </w:p>
    <w:p>
      <w:pPr>
        <w:spacing w:after="0" w:line="9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addition, certain Lexicon employees received deferred compensation of $1,892, which vests over two years. Compensation expense related to these awards was $211, $875 and $413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2006 the Company’s stockholders and board of directors adopted the Evercore Partners Inc. 2006 Stock Incentive Plan (the “2006 Plan”). The 2006 Plan permits the Company to grant to key employees, directors and consultants incentive stock options, non-qualified stock options, stock appreciation rights, restricted stock, RSUs and other awards based on the Company’s Class A Shares. The total number of Class A Shares which may be issued under the 2006 Plan is 20,000 and the Company intends to use newly-issued Class A Shares to satisfy any awards under the 2006 Plan. Class A Shares underlying any award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granted under the 2006 Plan that expire, terminate or are canceled or satisfied for any reason without being settled in stock again become available for awards under the 2006 Plan. During the second quarter of 2013, the Company's stockholders approved the amended and restated 2006 Evercore Partners Inc. Stock Incentive Plan. The amended and restated plan, among other things, authorizes an additional 5,000 shares of the Company's Class A Shares. The total shares available to be granted in the future under the 2006 Plan were 7,323 and 4,667 as of December 31, 2013 and 2012, respectively.</w:t>
      </w:r>
    </w:p>
    <w:p>
      <w:pPr>
        <w:spacing w:after="0" w:line="10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also grants dividend equivalents, in the form of unvested RSU awards, concurrently with the payment of dividends to the holders of Class A Shares, on all unvested RSU grants awarded in conjunction with annual bonuses as well as new hire awards granted after April 2012. The dividend equivalents have the same vesting and delivery terms as the underlying RSU award.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525 RSUs which were fully vested but not delivered as of December 31,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Event-based Awards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 2006 Plan, at the time of the IPO, the Company granted to employees 2,286 RSUs (“Event-based Awards”), which were convertible into Class A Shares on a one-for-one basis once vested. These Event-based Awards have since fully vested and, as a result, the Company recorded compensation expense equal to the value of these fully-vested awards.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conjunction with the IPO, the Company also granted to an employee 12 IPO related Event-based awards, which remain unvested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5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2011, 546 Event-based Awards vested primarily in conjunction of the Company’s offering of Class A Shares resulting in an expense of $11,467 and 27 Event-based Awards were forfeited.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Cash Program</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the first quarter of 2011, the Company launched a deferred compensation program providing participants the ability to elect to receive a portion of their deferred compensation in cash, which is indexed to a notional investment portfolio. The Company awarded deferred cash compensation of $3,926 and $9,153, during the first quarters of 2012 and 2011, respectively, which will vest ratably over four years and require payment upon vesting. Compensation expense related to this deferred compensation program was $3,804, $4,210 and $1,938 for the years ended December 31, 2013, 2012 and 2011, respectively. As of December 31, 2013, the total compensation cost related to the deferred compensation program not yet recognized was $4,706. The weighted-average period over which this compensation cost is expected to be recognized is 16 months.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7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During the third quarter of 2013, the Board of Directors of the Company approved the Long-term Incentive Plan, which provides for incentive compensation awards to Advisory Senior Managing Directors, excluding executive officers of the Company, who exceed defined benchmark results over a four-year performance period beginning January 1, 2013. These awards will be paid, in cash or Class A Shares, at the Company's discretion, in the two years following the performance period, to Senior Managing Directors employed by the Company at the time of payment. These awards are subject to retirement eligibility requirements. The Company periodically assesses the probability of the benchmarks being achieved and expenses the probable payout over the requisite service period of the award. The compensation expense related to these awards was $1,584 for the year ended December 31,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86" w:lineRule="exact"/>
        <w:rPr>
          <w:sz w:val="20"/>
          <w:szCs w:val="20"/>
          <w:color w:val="auto"/>
        </w:rPr>
      </w:pPr>
    </w:p>
    <w:p>
      <w:pPr>
        <w:ind w:right="40" w:firstLine="432"/>
        <w:spacing w:after="0" w:line="261" w:lineRule="auto"/>
        <w:rPr>
          <w:sz w:val="20"/>
          <w:szCs w:val="20"/>
          <w:color w:val="auto"/>
        </w:rPr>
      </w:pPr>
      <w:r>
        <w:rPr>
          <w:rFonts w:ascii="Arial" w:cs="Arial" w:eastAsia="Arial" w:hAnsi="Arial"/>
          <w:sz w:val="18"/>
          <w:szCs w:val="18"/>
          <w:b w:val="1"/>
          <w:bCs w:val="1"/>
          <w:color w:val="auto"/>
        </w:rPr>
        <w:t xml:space="preserve">2013 Equity Grants. </w:t>
      </w:r>
      <w:r>
        <w:rPr>
          <w:rFonts w:ascii="Arial" w:cs="Arial" w:eastAsia="Arial" w:hAnsi="Arial"/>
          <w:sz w:val="18"/>
          <w:szCs w:val="18"/>
          <w:color w:val="auto"/>
        </w:rPr>
        <w:t>During 2013, pursuant to the 2006 Plan, the Company granted employees 2,398 RSUs that are Service-based Awards. Service-based Awards granted during 2013 had grant date fair values of $26.60 to $55.24 per share. During 2013, 2,188 Service-based Awards vested and 60 Service-based Awards were forfeited. Compensation expense related to Service-based Awards, excluding compensation expense related to the amortization of LP Units, was $79,678 for the year ended December 31, 2013.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activity related to Service-based Awards, which includes RSUs as well as LP Units,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4440" w:type="dxa"/>
            <w:vAlign w:val="bottom"/>
            <w:tcBorders>
              <w:bottom w:val="single" w:sz="8" w:color="auto"/>
            </w:tcBorders>
            <w:gridSpan w:val="4"/>
          </w:tcPr>
          <w:p>
            <w:pPr>
              <w:jc w:val="right"/>
              <w:ind w:right="1455"/>
              <w:spacing w:after="0"/>
              <w:rPr>
                <w:sz w:val="20"/>
                <w:szCs w:val="20"/>
                <w:color w:val="auto"/>
              </w:rPr>
            </w:pPr>
            <w:r>
              <w:rPr>
                <w:rFonts w:ascii="Arial" w:cs="Arial" w:eastAsia="Arial" w:hAnsi="Arial"/>
                <w:sz w:val="14"/>
                <w:szCs w:val="14"/>
                <w:b w:val="1"/>
                <w:bCs w:val="1"/>
                <w:color w:val="auto"/>
              </w:rPr>
              <w:t>Service-based Awards</w:t>
            </w: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22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3"/>
                <w:szCs w:val="13"/>
                <w:color w:val="auto"/>
              </w:rPr>
            </w:pPr>
          </w:p>
        </w:tc>
        <w:tc>
          <w:tcPr>
            <w:tcW w:w="190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Grant Date Weighted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ind w:right="395"/>
              <w:spacing w:after="0"/>
              <w:rPr>
                <w:sz w:val="20"/>
                <w:szCs w:val="20"/>
                <w:color w:val="auto"/>
              </w:rPr>
            </w:pPr>
            <w:r>
              <w:rPr>
                <w:rFonts w:ascii="Arial" w:cs="Arial" w:eastAsia="Arial" w:hAnsi="Arial"/>
                <w:sz w:val="14"/>
                <w:szCs w:val="14"/>
                <w:b w:val="1"/>
                <w:bCs w:val="1"/>
                <w:color w:val="auto"/>
              </w:rPr>
              <w:t>Average Fair Value</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January 1, 2013</w:t>
            </w:r>
          </w:p>
        </w:tc>
        <w:tc>
          <w:tcPr>
            <w:tcW w:w="2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196,868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35"/>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75,229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(88,706)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2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181,602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As of December 31, 2013, the total compensation cost related to unvested Service-based Awards, excluding Acquisition-related Awards, not yet recognized was $113,469. The ultimate amount of such expense is dependent upon the actual number of Service-based Awards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 The weighted-average period over which this compensation cost is expected to be recognized is 20 months.</w:t>
      </w:r>
    </w:p>
    <w:p>
      <w:pPr>
        <w:spacing w:after="0" w:line="33" w:lineRule="exact"/>
        <w:rPr>
          <w:sz w:val="20"/>
          <w:szCs w:val="20"/>
          <w:color w:val="auto"/>
        </w:rPr>
      </w:pPr>
    </w:p>
    <w:p>
      <w:pPr>
        <w:ind w:right="40" w:firstLine="432"/>
        <w:spacing w:after="0" w:line="261" w:lineRule="auto"/>
        <w:rPr>
          <w:sz w:val="20"/>
          <w:szCs w:val="20"/>
          <w:color w:val="auto"/>
        </w:rPr>
      </w:pPr>
      <w:r>
        <w:rPr>
          <w:rFonts w:ascii="Arial" w:cs="Arial" w:eastAsia="Arial" w:hAnsi="Arial"/>
          <w:sz w:val="18"/>
          <w:szCs w:val="18"/>
          <w:b w:val="1"/>
          <w:bCs w:val="1"/>
          <w:color w:val="auto"/>
        </w:rPr>
        <w:t xml:space="preserve">2012 Equity Grants. </w:t>
      </w:r>
      <w:r>
        <w:rPr>
          <w:rFonts w:ascii="Arial" w:cs="Arial" w:eastAsia="Arial" w:hAnsi="Arial"/>
          <w:sz w:val="18"/>
          <w:szCs w:val="18"/>
          <w:color w:val="auto"/>
        </w:rPr>
        <w:t>During 2012, pursuant to the 2006 Plan, the Company granted employees 3,163 RSUs that are Service-based Awards. Service-based Awards granted during 2012 had grant date fair values of $22.62 to $29.19 per share. During 2012, 1,760 Service-based Awards vested and 256 Service-based Awards were forfeited. Compensation expense related to Service-based Awards, excluding compensation expense related to the amortization of LP Units, was $62,840 for the year ended December 31, 2012.</w:t>
      </w:r>
    </w:p>
    <w:p>
      <w:pPr>
        <w:spacing w:after="0" w:line="126" w:lineRule="exact"/>
        <w:rPr>
          <w:sz w:val="20"/>
          <w:szCs w:val="20"/>
          <w:color w:val="auto"/>
        </w:rPr>
      </w:pPr>
    </w:p>
    <w:p>
      <w:pPr>
        <w:ind w:right="80" w:firstLine="432"/>
        <w:spacing w:after="0" w:line="261" w:lineRule="auto"/>
        <w:rPr>
          <w:sz w:val="20"/>
          <w:szCs w:val="20"/>
          <w:color w:val="auto"/>
        </w:rPr>
      </w:pPr>
      <w:r>
        <w:rPr>
          <w:rFonts w:ascii="Arial" w:cs="Arial" w:eastAsia="Arial" w:hAnsi="Arial"/>
          <w:sz w:val="18"/>
          <w:szCs w:val="18"/>
          <w:b w:val="1"/>
          <w:bCs w:val="1"/>
          <w:color w:val="auto"/>
        </w:rPr>
        <w:t xml:space="preserve">2011 Equity Grants. </w:t>
      </w:r>
      <w:r>
        <w:rPr>
          <w:rFonts w:ascii="Arial" w:cs="Arial" w:eastAsia="Arial" w:hAnsi="Arial"/>
          <w:sz w:val="18"/>
          <w:szCs w:val="18"/>
          <w:color w:val="auto"/>
        </w:rPr>
        <w:t>During 2011, pursuant to the 2006 Plan, the Company granted employees 2,273 RSUs that are Service-based Awards. Service-based Awards granted during 2011 had grant date fair values of $21.93 to $36.41 per share. During 2011, 1,552 Service-based Awards vested and 76 Service-based Awards were forfeited. Compensation expense related to Service-based Awards, excluding compensation expense related to the amortization of LP Units, was $47,299 for the year ended December 31, 2011.</w:t>
      </w:r>
    </w:p>
    <w:p>
      <w:pPr>
        <w:spacing w:after="0" w:line="130"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During 2011, the Company amended the terms of a Service-based Award with respect to 97 unvested and 37 vested RSUs. Due to this amendment, $2,828 was reclassified from Additional Paid-In-Capital to Other Current Liabilities on the Consolidated Statement of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Periodically, the Company provides compensation to new and existing employees in the form of loans and/or other cash awards which are subject to ratable vesting terms with service requirements ranging from one to five years. Generally, the terms of these awards include a requirement of either full or partial repayment of these awards based on the terms of their employment agreements with the Company. In circumstances where the employee meets the Company's minimum credit standards, the Company amortizes these awards to compensation expense over the relevant service period which is generally the period they are subject to forfeiture. Compensation expense related to these awards was $7,433 for the year ended December 31, 2013. The remaining unamortized amount of these awards was $13,378 as of December 31, 2013.</w:t>
      </w:r>
    </w:p>
    <w:p>
      <w:pPr>
        <w:spacing w:after="0" w:line="1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fourth quarter of 2013, the Board of Directors of the Company agreed to release the transfer restrictions associated with 1,267 LP Units and 610 Restricted Class A Shares held by certain employees of the Company.</w:t>
      </w:r>
    </w:p>
    <w:p>
      <w:pPr>
        <w:spacing w:after="0" w:line="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total income tax benefit related to share-based compensation arrangements recognized in the Company’s Consolidated Statements of Operations for the years ended December 31, 2013, 2012 and 2011 was $29,497, $26,773 and $19,423, respectively.</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first quarter of 2014, as part of the 2013 bonus awards, the Company granted to certain employees approximately 1,767 unvested RSUs pursuant to the 2006 Plan. These awards will generally vest over four years. In addition, during the first quarter of 2014, the Company granted approximately $5,935 of deferred cash to certain employees.</w:t>
      </w:r>
    </w:p>
    <w:p>
      <w:pPr>
        <w:spacing w:after="0" w:line="127" w:lineRule="exact"/>
        <w:rPr>
          <w:sz w:val="20"/>
          <w:szCs w:val="20"/>
          <w:color w:val="auto"/>
        </w:rPr>
      </w:pPr>
    </w:p>
    <w:p>
      <w:pPr>
        <w:ind w:right="460" w:firstLine="432"/>
        <w:spacing w:after="0" w:line="286" w:lineRule="auto"/>
        <w:rPr>
          <w:sz w:val="20"/>
          <w:szCs w:val="20"/>
          <w:color w:val="auto"/>
        </w:rPr>
      </w:pPr>
      <w:r>
        <w:rPr>
          <w:rFonts w:ascii="Arial" w:cs="Arial" w:eastAsia="Arial" w:hAnsi="Arial"/>
          <w:sz w:val="17"/>
          <w:szCs w:val="17"/>
          <w:color w:val="auto"/>
        </w:rPr>
        <w:t>The Company granted separation benefits to certain employees, resulting in expense included in Employee Compensation and Benefits of approximately $4,834 and $7,273 for the years ended December 31, 2013 and 2012, respectively. In conjunction with these arrangements, the Company distributed cash payments of $3,314 and $5,135 for the years ended December 31, 2013 and 2012,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During 2011, the Company modified equity-based compensation awards for four employees, primarily relating to the vesting terms of IPO related equity grants. These modifications resulted in the Company recognizing $4,261 in incremental compensation expense in 2011.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office space under non-cancelable lease agreements, which expire on various dates through 2023.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reflects lease expense over the lease terms on a straight-line basis. Occupancy lease agreements, in addition to base rentals, generally are subject to escalation provisions based on certain costs incurred by the landlord. Occupancy and Equipment Rental on the Consolidated Statements of Operations includes occupancy rental expense relating to operating leases of $23,905, $22,714 and $16,136 for the years ended December 31, 2013, 2012 and 2011, respectively.</w:t>
      </w:r>
    </w:p>
    <w:p>
      <w:pPr>
        <w:spacing w:after="0" w:line="13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conjunction with the lease of office space, the Company has entered into letters of credit in the amounts of approximately $3,660 and $3,500, which are secured by cash and included in Other Assets on the Company’s Consolidated Statements of Financial Condition as of December 31, 2013 and 2012, respectively.</w:t>
      </w:r>
    </w:p>
    <w:p>
      <w:pPr>
        <w:spacing w:after="0" w:line="12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Company has entered into various operating leases for the use of certain office equipment. Rental expense for office equipment totaled $1,049, $627 and $510 for the years ended December 31, 2013, 2012 and 2011, respectively. Rental expense for office equipment is included in Occupancy and Equipment Rental on the Consolidated Statements of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 approximate aggregate minimum future payments required on the operating leases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20,489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19,700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18,835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71,732</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169,536</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b w:val="1"/>
          <w:bCs w:val="1"/>
          <w:i w:val="1"/>
          <w:iCs w:val="1"/>
          <w:color w:val="auto"/>
        </w:rPr>
        <w:t xml:space="preserve">Other Commitments </w:t>
      </w:r>
      <w:r>
        <w:rPr>
          <w:rFonts w:ascii="Arial" w:cs="Arial" w:eastAsia="Arial" w:hAnsi="Arial"/>
          <w:sz w:val="17"/>
          <w:szCs w:val="17"/>
          <w:color w:val="auto"/>
        </w:rPr>
        <w:t>– As of December 31, 2013, the Company has unfunded commitments for capital contributions of $9,945 to the private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funds, $4,265 of which relates to a capital commitment to Trilantic that the Company agreed to in April 2013. 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ECB maintains a line of credit with BBVA Bancomer to fund its trading activities on an intra-day and overnight basis. The intra-day facility is approximately $11,481 and is secured with trading securities when used on an overnight basis. No interest is charged on the intra-day facility. The overnight facility is charged the Inter-Bank Balance Interest Rate plus 10 basis points and is secured with trading securities. There have been no significant draw downs on ECB’s line of credit since August 10, 2006. The line of credit is renewable annually.</w:t>
      </w:r>
    </w:p>
    <w:p>
      <w:pPr>
        <w:spacing w:after="0" w:line="133"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As of December 31, 2013, the Company estimates the contractual obligations related to the Tax Receivable Agreements to be $184,643. The Company expects to pay to the counterparties to the Tax Receivable Agreements $8,872 within one year or less, $29,928 in one to three years, $33,330 in three to five years and $112,513 after five years.</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On February 11, 2010, the Company announced the formation of a strategic alliance to pursue private equity investment opportunities with Trilantic and to collaborate on the future growth of Trilantic’s business. See Note 9 for further information.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also has additional commitments related to its redeemable noncontrolling interests. See Note 15 for further information.</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agreement related to the Institutional Equities business, the Company is committed to maintain at least $50,000 of Member’s equity in EGL, as measured in accordance with U.S. GAAP.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addition, the Company enters into commitments to pay contingent consideration related to certain of its acquisitions. See Note 4 for further information. At December 31, 2013, the Company had one remaining commitment for contingent consideration, related to its acquisition of Protego in 2006. Under the terms of the acquisition agreement, the Company is obligated to pay the partners that sold Protego 90% of the return proceeds and performance fees received from Protego's investment in the general partner of the Discovery Fund. As of December 31, 2013, the Company has not received any distributions from the Discovery Fund and has not made any payments under this agreement. The carrying value of the Company's investment in the Discovery Fund is $5,015 at December 31, 2013. See Note 9 for further information.</w:t>
      </w:r>
    </w:p>
    <w:p>
      <w:pPr>
        <w:spacing w:after="0" w:line="12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2013, Evercore Partners Services East L.L.C. ("East"), a wholly-owned subsidiary of the Company, obtained a line of credit from First Republic Bank in an aggregate principal amount of up to $25,000, to be used for working capital and other corporate activities. This facility is secured by (i) cash and cash equivalents of East held in a designated account with First Republic Bank, (ii) certain of East's intercompany receivables and (iii) third party accounts receivable of EGL. Drawings under the facility bear interest at the prime rate. The facility matures on June 27, 2014, and may be renewed or extended. There were no monies drawn on this facility as of December 31, 2013. On February 5, 2014 $25,000 was drawn on this facility.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Mexican, United Kingdom, Hong Kong, Canadian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when warranted. Once established, such provisions are adjusted when there is more information available or when an event occurs requiring a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Regulatory Authorities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EGL is a U.S. registered broker-dealer and is subject to the net capital requirements of Rule 15c3-1 under the Securities Exchange Act of 1934 as amended (the “Exchange Act”). In the second quarter of 2013, the Company made the election to compute its minimum net capital requirement in accordance with the Alternative Net Capital Requirement, as permitted by Rule 15c3-1. Under the Alternative Net Capital Requirement, EGL's minimum net capital requirement is $250. EGL’s regulatory net capital as of December 31, 2013 and 2012 was $30,480 and $31,281, respectively, which exceeded the minimum net capital requirement by $30,230 and $27,871, respectively. Certain other non-U.S. subsidiaries are subject to various securities and banking regulations and capital adequacy requirements promulgated by the regulatory and exchange authorities of the countries in which they operate. These subsidiaries are in excess of their local capital adequacy requirements at December 31, 2013.</w:t>
      </w:r>
    </w:p>
    <w:p>
      <w:pPr>
        <w:spacing w:after="0" w:line="12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ETC, which is limited to fiduciary activities, is regulated by the Office of the Comptroller of the Currency ("OCC") and is a member bank of the Federal Reserve System. The Company, Evercore LP and ETC are subject to written agreements with the OCC that, among other things, require the Company and Evercore LP to (1) maintain at least $5,000 in Tier 1 capital in ETC (or such other amount as the OCC may require), (2) maintain liquid assets in ETC in an amount at least equal to the greater of $3,500 or 90 days coverage of ETC’s operating expenses and (3) provide at least $10,000 of certain collateral held in a segregated account at a third-party depository institution. The collateral is included in Assets Segregated for Bank Regulatory Requirements on the Consolidated Statements of Financial Condition. The Company was in compliance with the aforementioned agreements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a result of the Reorganization, the operating business entities of the Company were restructured and a portion of the Company’s income is subject to U.S. federal, state, local and foreign income taxes and is taxed at the prevailing corporate tax rates. Taxes Payable as of December 31, 2013 and 2012 were $4,713 and $20,304,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U.S. and non-U.S. components of Income (Loss) before 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89,821</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37,681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Non-U.S.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14,571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(7,039)</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 (a)</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118,556</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59,797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30,642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From continuing operations, net of Noncontrolling Interest from continuing operations.</w:t>
      </w:r>
    </w:p>
    <w:p>
      <w:pPr>
        <w:spacing w:after="0" w:line="15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components of the provision for income taxes from continuing operations reflected on the Consolidated Statements of Operations for the years ended December 31, 2013, 2012 and 2011 consist 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24,607</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2,367</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4,447</w:t>
            </w: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4,942</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11,368</w:t>
            </w: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1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10,968</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30,908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reconciliation between the statutory federal income tax rate from continuing operations and the Company’s effective tax rate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is as follows:</w:t>
      </w:r>
    </w:p>
    <w:p>
      <w:pPr>
        <w:spacing w:after="0" w:line="200" w:lineRule="exact"/>
        <w:rPr>
          <w:sz w:val="20"/>
          <w:szCs w:val="20"/>
          <w:color w:val="auto"/>
        </w:rPr>
      </w:pPr>
    </w:p>
    <w:p>
      <w:pPr>
        <w:spacing w:after="0" w:line="20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23495</wp:posOffset>
            </wp:positionV>
            <wp:extent cx="37388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Federal Statutory Tax Rates: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U.S. Statutory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Increase (Decrease) Due to State and Local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Rate Benefits as a Limited Liability Company/Flow Through</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Foreign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Non-Deductible Expenses (1)</w:t>
            </w:r>
          </w:p>
        </w:tc>
        <w:tc>
          <w:tcPr>
            <w:tcW w:w="68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Valuation Allowances</w:t>
            </w:r>
          </w:p>
        </w:tc>
        <w:tc>
          <w:tcPr>
            <w:tcW w:w="2000" w:type="dxa"/>
            <w:vAlign w:val="bottom"/>
            <w:tcBorders>
              <w:bottom w:val="single" w:sz="8" w:color="CCEEFF"/>
            </w:tcBorders>
            <w:gridSpan w:val="3"/>
            <w:shd w:val="clear" w:color="auto" w:fill="CCEEFF"/>
          </w:tcPr>
          <w:p>
            <w:pPr>
              <w:jc w:val="right"/>
              <w:ind w:right="1288"/>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Write Down of Deferred Tax Asset</w:t>
            </w:r>
          </w:p>
        </w:tc>
        <w:tc>
          <w:tcPr>
            <w:tcW w:w="680" w:type="dxa"/>
            <w:vAlign w:val="bottom"/>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46.0 %</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w w:val="91"/>
              </w:rPr>
              <w:t>(1)  Primarily related to non-deductible share-based compensation expense.</w:t>
            </w: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Undistributed earnings of certain foreign subsidiaries totaled approximately $4,476 as of December 31, 2013. Deferred taxes have not been provided on the undistributed earnings of certain foreign subsidiaries, as the Company considers these amounts to be indefinitely reinvested to finance international growth and expansion. As of December 31, 2013, unrecognized</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4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deferred tax liability attributable to those reinvested earnings would have aggregated approximately $1,288. In the event that such amounts were ever remitted, loaned to the Company, or if the stock in the foreign subsidiary was sold, these earnings could become subject to U.S. Federal tax and an income tax provision, if any, would be recognized at that time.</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as of December 31, 2013 and 2012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Step up in tax basis due to the exchange of LP Units for Class A Shares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11,271</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Deferred Tax Asset</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11,271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Long-term Deferred Tax Assets:</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31,735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Step up in tax basis due to the exchange of LP Units for Class A Shares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192,811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181,783</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21,396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Deferred Tax Assets</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266,546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239,457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Long-term Deferred Tax Liabilities:</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 Investments and Other</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Long-term Deferred Tax Liabilities</w:t>
            </w: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14,933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Long-term Deferred Tax Assets Before Valuation Allowance</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251,613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229,449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Long-term Deferred Tax Assets</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251,613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229,449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increase in net deferred tax assets from December 31, 2012 to December 31, 2013 was primarily attributable to an increase in the tax basis of the tangible and intangible assets of Evercore LP, which resulted from the 2013 LP Unit exchanges. During 2013, the LP holders exchanged 1,930 LP Units for Class A Shares, which resulted in an increase in the tax basis of the tangible and intangible assets of Evercore LP. Further, the exchange of 1,377 of such LP Units triggered an additional liability under the tax receivable agreement that was entered into in 2006 between the Company and the LP Unit holders. The agreement provides for a payment to the LP Unit holders of 85% of the cash tax savings (if any), resulting from the increased tax benefits from the exchange and for the Company to retain 15% of such benefits. Accordingly, Deferred Tax Assets – Non-Current, Amounts Due Pursuant to Tax Receivable Agreements and Additional Paid-In-Capital increased $31,534, $26,804 and $4,730, respectively, on the Company’s Consolidated Statement of Financial Condition as of December 31, 2013. See Note 14 for further discussion.</w:t>
      </w:r>
    </w:p>
    <w:p>
      <w:pPr>
        <w:spacing w:after="0" w:line="125"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Additionally, the increase in net deferred tax assets from December 31, 2012 to December 31, 2013 was also attributable to an increase of $5,777 in compensation benefit and an increase of $5,931 related to the depreciation of fixed assets and amortization of intangible assets.</w:t>
      </w:r>
    </w:p>
    <w:p>
      <w:pPr>
        <w:spacing w:after="0" w:line="9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reported an increase in deferred tax assets of $182 associated with changes in Unrealized Gain (Loss) on Marketable Securities and a decrease of $307 associated with changes in Foreign Currency Translation Adjustment Gain (Loss), in Accumulated Other Comprehensive Income (Loss) for the year ended December 31, 2013. The Company reported a decrease in deferred tax assets of $111 associated with changes in Unrealized Gain (Loss) on Marketable Securities and a decrease of $1,870 associated with changes in Foreign Currency Translation Adjustment Gain (Loss), in Accumulated Other Comprehensive Income (Loss) for the year ended December 31, 2012.</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2012, the Company has concluded that it is more likely than not to utilize its deferred tax asset and has reversed its valuation allowance. This determination was based on the impact of the strong positive evidence in the period related to the 2012 earnings and increases in projections of future income on management’s weighing of the positive and negative evidence.</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net operating loss and tax credit carryforwards primarily relate to carryforwards of $2,398 in the UK at December 31, 2013, which may be carried forward indefinitely, subject to various limitations.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changes in tax positions for the years ended December 31, 2013, 2012 and 2011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unrecognized tax benefit</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Ending unrecognized tax benefit</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1,109</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Included in the balance of unrecognized tax benefits at December 31, 2013, are $474 of tax benefits that, if recognized, would affect the effective tax rate. The Company recognizes interest accrued related to unrecognized tax benefits and penalties as income tax expense. The Company recognized $166 of interest and penalties during the year ended December 31, 2013. The Company has $215 accrued for the payment of interest and penalties as of December 31, 2013. The Company recognized $16 of interest and penalties during the year ended December 31, 2012. The Company has $49 accrued for the payment of interest and penalties as of December 31, 2012. In 2012, the Company recognized tax benefits of ($603) for penalties and interest associated with the lapse of the statute of limitations</w:t>
      </w:r>
    </w:p>
    <w:p>
      <w:pPr>
        <w:spacing w:after="0" w:line="13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 does not anticipate a significant change in unrecognized tax positions as a result of the settlement of income tax audits or lapses in the statute of limitations during the next year.</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Company is subject to taxation in the U.S. and various state, local and foreign jurisdictions. The Company’s tax years for 2010 to present are subject to examination by the taxing authorities. The Company is currently under examination by New York City for tax years 2008 through 2010. With a few exceptions, the Company is no longer subject to U.S. federal, state, local or foreign examinations by taxing authorities for years before 2010.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Concentrations of Credit Risk</w:t>
      </w:r>
    </w:p>
    <w:p>
      <w:pPr>
        <w:spacing w:after="0" w:line="9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marketable securities, foreign government obligations and receivables from clients. The Company has placed substantially all of its Cash and Cash Equivalents in interest-bearing deposits in U.S. commercial banks and U.S. investment banks that meet certain rating and capital requirements. The Company’s foreign subsidiaries maintain substantially all of their Cash and Cash Equivalents in interest bearing accounts at large commercial banking institutions domiciled in their respective countries of operation. Concentrations of credit risk are limited due to the quality of the Company’s clients.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Risks</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maintains its cash and cash equivalents with financial institutions with high credit ratings. At times, the Company may maintain deposits in federally insured financial institutions in excess of federally insured (“FDIC”) limits. However, the Company believes that it is not exposed to significant credit risk due to the financial position of the depository institutions in which those deposits are held.</w:t>
      </w:r>
    </w:p>
    <w:p>
      <w:pPr>
        <w:spacing w:after="0" w:line="12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As of December 31, 2013, the Company has securities purchased under agreements to resell of $19,134 for which the Company has received collateral with a fair value of $19,112. Additionally, the Company has securities sold under agreements to repurchase of $75,563, for which the Company has pledged collateral with a fair value of $75,708. The Company has established risk management procedures to monitor the exposure to concentrations of credit from Securities Purchased Under Agreements to Resell. The collateral for the receivables is primarily secured by Mexican government bonds and the Company monitors the collateral pledged under these agreements against their contract value from inception to maturity date.</w:t>
      </w:r>
    </w:p>
    <w:p>
      <w:pPr>
        <w:spacing w:after="0" w:line="10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Accounts Receivable consists primarily of advisory fees and expense reimbursements billed to clients. Receivables are reported net of any allowance for doubtful accounts. The Company maintains an allowance for bad debts to provide coverage for probable losses from customer receivables and derives the estimate through specific identification for the allowance for doubtful accounts and an assessment of the client’s creditworthiness. At December 31, 2013 and 2012 total receivables amounted to $83,347 and $89,098, respectively, net of an allowance. The Investment Banking and Investment Management receivables collection periods generally are within 90 days of invoice. The collection period for restructuring transactions and private equity fee receivables may exceed 90 days. The Company recorded bad debt expense of approximately $2,099, $1,803 and $1,558 for the years ended December 31, 2013, 2012 and 2011,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With respect to the Company’s Marketable Securities portfolio, which is comprised of highly-rated corporate and municipal bonds, mutual funds and Seed Capital Investments, the Company manages its credit risk exposure by limiting concentration risk and maintaining investment grade credit quality. As of December 31, 2013, the Company had Marketable Securities of $43,407, of which 52% were corporate and municipal securities, primarily with S&amp;P ratings ranging from AAA to BB+, and 48% were Seed Capital Investments and mutual funds.</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Periodically, the Company provides compensation to new and existing employees in the form of loans and/or other cash awards, which include a requirement of either full or partial repayment of these awards based on the terms of their employment agreements with the Company. See Share-Based and Other Deferred Compensation footnote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Operating Results</w:t>
      </w:r>
    </w:p>
    <w:p>
      <w:pPr>
        <w:spacing w:after="0" w:line="9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b w:val="1"/>
          <w:bCs w:val="1"/>
          <w:i w:val="1"/>
          <w:iCs w:val="1"/>
          <w:color w:val="auto"/>
        </w:rPr>
        <w:t xml:space="preserve">Business Segments </w:t>
      </w:r>
      <w:r>
        <w:rPr>
          <w:rFonts w:ascii="Arial" w:cs="Arial" w:eastAsia="Arial" w:hAnsi="Arial"/>
          <w:sz w:val="17"/>
          <w:szCs w:val="17"/>
          <w:color w:val="auto"/>
        </w:rPr>
        <w:t>– The Company’s business results are categorized into the following two segments: Investment Banking and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Investment Banking includes providing advice to clients on significant mergers, acquisitions, divestitures and other strategic corporate transactions, as well as services related to securities underwriting, private fund placement services and commissions for agency-based equity trading services and equity research. Investment Management includes advising third-party investors in the Institutional Asset Management, Wealth Management and Private Equity sectors. On December 28, 2012, the Company, through EWM, acquired Mt. Eden, which is included in the Investment Management segment. On December 3, 2013, the Company sold its investment in Pan and the results are presented within Discontinued Operations. The following segment information reflects the Company's results from its continuing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segment information for the years ended December 31, 2013, 2012 and 2011 is prepared using the following methodology:</w:t>
      </w:r>
    </w:p>
    <w:p>
      <w:pPr>
        <w:spacing w:after="0" w:line="102" w:lineRule="exact"/>
        <w:rPr>
          <w:sz w:val="20"/>
          <w:szCs w:val="20"/>
          <w:color w:val="auto"/>
        </w:rPr>
      </w:pPr>
    </w:p>
    <w:p>
      <w:pPr>
        <w:ind w:left="640" w:right="36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expenses and income (loss) from equity method investments directly associated with each segment are included in determining pre-tax income.</w:t>
      </w:r>
    </w:p>
    <w:p>
      <w:pPr>
        <w:spacing w:after="0" w:line="35" w:lineRule="exact"/>
        <w:rPr>
          <w:rFonts w:ascii="Arial" w:cs="Arial" w:eastAsia="Arial" w:hAnsi="Arial"/>
          <w:sz w:val="18"/>
          <w:szCs w:val="18"/>
          <w:color w:val="auto"/>
        </w:rPr>
      </w:pPr>
    </w:p>
    <w:p>
      <w:pPr>
        <w:ind w:left="640" w:right="22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performance and time-based factors.</w:t>
      </w:r>
    </w:p>
    <w:p>
      <w:pPr>
        <w:spacing w:after="0" w:line="35"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those assets are allocated based on the most relevant measures applicable, including headcount and other factors.</w:t>
      </w:r>
    </w:p>
    <w:p>
      <w:pPr>
        <w:spacing w:after="0" w:line="35"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 and</w:t>
      </w:r>
    </w:p>
    <w:p>
      <w:pPr>
        <w:spacing w:after="0" w:line="46" w:lineRule="exact"/>
        <w:rPr>
          <w:sz w:val="20"/>
          <w:szCs w:val="20"/>
          <w:color w:val="auto"/>
        </w:rPr>
      </w:pPr>
    </w:p>
    <w:p>
      <w:pPr>
        <w:ind w:firstLine="8"/>
        <w:spacing w:after="0" w:line="251"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a) amortization costs associated with the modification and vesting of LP Units and certain other awards, b) charges associated with the vesting of Event-based Awards, c) the amortization of intangible assets associated with certain acquisitions, d) Special Charges incurred related to the impairment of intangible assets from Morse, Williams and Company, Inc. in 2013, Special Charges incurred in connection with exiting facilities in the UK in 2012 and Special Charges related to the Lexicon acquisition, including the exiting of facilities for office space in the UK, an introducing fee as well as other professional fees incurred by Lexicon in 2011 and e) compensation charges associated with deferred consideration, retention awards and related compensation for Lexicon employees.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evaluates segment results based on net revenues and pre-tax income, both including and excluding the impact of the Other Expenses.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presents each segment’s contribution.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Banking</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670,785</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565,219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428,124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444,510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Expenses (2)</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55,591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from 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123,030</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35,748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Identifiable Segment Assets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693,890</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624,977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530,008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Investment Management</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94,643</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77,154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96,140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89,269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Expenses (2)</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Equity Method Investments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(Loss) from 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Identifiable Segment Assets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486,893</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520,241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513,584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765,428</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642,373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524,264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523,386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427,155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Expenses (2)</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53,452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from 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138,501</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Identifiable Segment Assets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1,180,783</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1,145,218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1,043,592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revenues include Other Revenue, net, allocated to the segments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Banking (A)</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Investment Management (B)</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(3,021)</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Revenue, net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20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Banking Other Revenue, net, includes interest expense on the Senior Notes of $4,386, $4,312 and $4,238 for the years ended December 31, 2013, 2012 and 2011, respectively, and changes in amounts due pursuant to the Company's tax receivable agreement of $5,524 for the year ended December 31, 2013.</w:t>
      </w:r>
    </w:p>
    <w:p>
      <w:pPr>
        <w:ind w:left="340" w:right="1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Management Other Revenue, net, includes interest expense on the Senior Notes of $3,702, $3,643 and $3,579 for the years ended December 31, 2013, 2012 and 2011, respectively, and changes in amounts due pursuant to the Company's tax receivable agreement of $1,381 for the year ended December 31, 2013.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(2)  Other Expenses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Banking</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LP Units and Certain Other Awards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17,817</w:t>
            </w: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18,601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21,328</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Event-based Awards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Acquisition Related Compensation Charges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14,618</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Charges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6,845</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Banking</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33,740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55,591</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Investment Management</w:t>
            </w: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LP Units and Certain Other Awards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Vesting of Event-based Awards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2,483</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Charges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331</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Management</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36,447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53,452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61,297</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were derived from clients and private equity funds located and managed in the following geographical areas: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(1)</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532,615</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452,594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387,063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Other</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145,267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112,049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84,683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44,173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30,646</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762,565</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648,028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529,758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Other Revenue and Interest Expense.</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substantial majority of the Company’s long-lived assets are located in the United States and the United Kingdom.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Evercore Partners Inc. (Parent Company Only) Financial Statements</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Equity Investment in Subsidiary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531,380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490,856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Tax Asset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254,486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225,741</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792,522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716,597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Payable to Related Party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Amounts Due Pursuant to Tax Receivable Agreement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175,771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165,350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 - Notes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103,226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101,375</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289,941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288,091</w:t>
            </w:r>
          </w:p>
        </w:tc>
        <w:tc>
          <w:tcPr>
            <w:tcW w:w="0" w:type="dxa"/>
            <w:vAlign w:val="bottom"/>
          </w:tcPr>
          <w:p>
            <w:pPr>
              <w:spacing w:after="0"/>
              <w:rPr>
                <w:sz w:val="1"/>
                <w:szCs w:val="1"/>
                <w:color w:val="auto"/>
              </w:rPr>
            </w:pPr>
          </w:p>
        </w:tc>
      </w:tr>
      <w:tr>
        <w:trPr>
          <w:trHeight w:val="243"/>
        </w:trPr>
        <w:tc>
          <w:tcPr>
            <w:tcW w:w="7860" w:type="dxa"/>
            <w:vAlign w:val="bottom"/>
          </w:tcPr>
          <w:p>
            <w:pPr>
              <w:ind w:left="10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0"/>
              <w:spacing w:after="0"/>
              <w:rPr>
                <w:sz w:val="20"/>
                <w:szCs w:val="20"/>
                <w:color w:val="auto"/>
              </w:rPr>
            </w:pPr>
            <w:r>
              <w:rPr>
                <w:rFonts w:ascii="Arial" w:cs="Arial" w:eastAsia="Arial" w:hAnsi="Arial"/>
                <w:sz w:val="18"/>
                <w:szCs w:val="18"/>
                <w:color w:val="auto"/>
                <w:w w:val="88"/>
              </w:rPr>
              <w:t>Class A, par value $0.01 per share (1,000,000,000 shares authorized, 40,772,434 and 35,040,501 issued at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w w:val="90"/>
              </w:rPr>
              <w:t>December 31, 2013 and 2012, respectively, and 33,069,534 and 29,576,986 outstanding at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2013 and 2012, respectively)</w:t>
            </w:r>
          </w:p>
        </w:tc>
        <w:tc>
          <w:tcPr>
            <w:tcW w:w="4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Class B, par value $0.01 per share (1,000,000 shares authorized, 42 and 43 issued and outstanding at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2013 and 2012, respectively)</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799,233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654,275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(77,079)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Treasury Stock at Cost (7,702,900 and 5,463,515 shares at December 31, 2013 and 2012, respectively)</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(226,380)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(139,954)</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502,581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428,506</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792,522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716,597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A to E to parent company only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1" w:right="25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14,993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7,817</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14,993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7,817</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Income of Subsidiary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87,317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40,960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14,131</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53,262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28,889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6,952</w:t>
            </w: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A to E to parent company only financial statements.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122" w:right="2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53,262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28,889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Income of Subsidiary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(87,317)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(28,745)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on Long-term Debt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(Increase) Decrease in Operating Assets: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Increase (Decrease) in Operating Liabilities: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Uncombined Affiliates</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10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11,872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(54,027)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(30,397)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Subsidiary</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(53,391)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Proceeds from Equity Offering</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168,140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Evercore LP Units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(95,342)</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(30,090)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(36,922)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53,452</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EQUIVALENTS—Beginning of Year</w:t>
            </w: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EQUIVALENTS—End of Year</w:t>
            </w: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460"/>
              <w:spacing w:after="0"/>
              <w:rPr>
                <w:sz w:val="20"/>
                <w:szCs w:val="20"/>
                <w:color w:val="auto"/>
              </w:rPr>
            </w:pPr>
            <w:r>
              <w:rPr>
                <w:rFonts w:ascii="Arial" w:cs="Arial" w:eastAsia="Arial" w:hAnsi="Arial"/>
                <w:sz w:val="18"/>
                <w:szCs w:val="18"/>
                <w:color w:val="auto"/>
                <w:w w:val="88"/>
              </w:rPr>
              <w:t>See notes A to E to parent company</w:t>
            </w: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w w:val="82"/>
              </w:rPr>
              <w:t>only financial statements.</w:t>
            </w:r>
          </w:p>
        </w:tc>
        <w:tc>
          <w:tcPr>
            <w:tcW w:w="1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121" w:right="25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w:t>
      </w:r>
    </w:p>
    <w:p>
      <w:pPr>
        <w:spacing w:after="0" w:line="9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Evercore Partners Inc. (the “Company”) was incorporated as a Delaware corporation on July 21, 2005. The Company did not begin meaningful operations until the reorganization discussed below.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Statements of Financial Condition, Operations and Cash Flows have been prepared in accordance with U.S. GAAP.</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Equity in Income of Subsidiary. </w:t>
      </w:r>
      <w:r>
        <w:rPr>
          <w:rFonts w:ascii="Arial" w:cs="Arial" w:eastAsia="Arial" w:hAnsi="Arial"/>
          <w:sz w:val="18"/>
          <w:szCs w:val="18"/>
          <w:color w:val="auto"/>
        </w:rPr>
        <w:t>The Equity in Income of Subsidiary represents the Company’s share of income from Evercore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Stockholders’ Equity</w:t>
      </w:r>
    </w:p>
    <w:p>
      <w:pPr>
        <w:spacing w:after="0" w:line="94"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The Company is authorized to issue 1,000,000 Class A Shares, par value $0.01 per share, and 1,000 shares of Class B common stock, par value $0.01 per share. All Class A Shares and shares of Class B common stock vote together as a single class. At December 31, 2013, the Company has issued 40,772 Class A Shares. The Company canceled three shares and granted two shares of Class B common stock in exchange for $1.00, which were held by certain limited partners of Evercore LP during the twelve months ended December 31, 2013. During 2013, the Company purchased 983 Class A Shares primarily from employees at values ranging from $22.24 to $55.12 per share primarily for the net settlement of stock-based compensation awards and 1,298 Class A Shares at market values ranging from $36.00 to $41.00 per share pursuant to the Company’s share repurchase program. The result of these purchases was an increase in Treasury Stock of $87,620 on the Company’s Statement of Financial Condition as of December 31, 2013. During 2013, the Company issued 39 Class A Shares from treasury stock as payment of contingent consideration in connection with the MJC Associates Agreement and 3 Class A Shares to a former employee. The result of these issuances was a decrease in Treasury stock of $1,194 on the Company's Statement of Financial Condition as of December 31, 2013. During the year ended December 31, 2013, the Company declared and paid dividends of $0.91 per share, totaling $30,090 which were wholly funded by the Company’s sole subsidiary, Evercore LP.</w:t>
      </w:r>
    </w:p>
    <w:p>
      <w:pPr>
        <w:spacing w:after="0" w:line="3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discussed in Note 17 to the consolidated financial statements, both the LP Units and RSUs are exchangeable into Class A Shares on a one-for-one basis once vested.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Issuance of Notes Payable and Warrants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On August 21, 2008, the Company entered into a Purchase Agreement with Mizuho pursuant to which Mizuho purchased from the Company Senior Notes and Warrants expiring 2020. See Note 12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2013, as discussed in Note 12 to the consolidated financial statements, the Company estimates the contractual obligations related to the Senior Notes to be $163,680. Pursuant to the Senior Notes, we expect to make payments to the notes’ holder of $6,240 within one year or less, $12,480 in one to three years, $12,480 in three to five years and $132,480 after five years.</w:t>
      </w:r>
    </w:p>
    <w:p>
      <w:pPr>
        <w:spacing w:after="0" w:line="12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of December 31, 2013, as discussed in Note 18 to the consolidated financial statements, the Company estimates the contractual obligations related to the Tax Receivable Agreements to be $184,643. The company expects to pay to the counterparties to the Tax Receivable Agreement $8,872 within one year or less, $29,928 in one to three years, $33,330 in three to five years and $112,513 after five years. Interest Income on the Company's Statement of Operations includes $6,905 from changes in amounts due pursuant to the Company's tax receivable agreement for the year ended December 31, 2013.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2013 and 2012. These quarterly results were prepared in accordance with U.S. GAAP and reflect all adjustments that are, in the opinion of management, necessary for a fair statement of the results. The amounts below reflect the reclassification of the historical results of Pan to Discontinued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152,631</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155,460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168,616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136,381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Income Before Income from Equity Method Investments and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Evercore Partners Inc.</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w w:val="95"/>
              </w:rPr>
              <w:t>Basic Net Income (Loss) Per Share Attributable to Evercore Partners Inc.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From 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Per Share Attributable to Evercore Partners Inc. Common</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w w:val="93"/>
              </w:rPr>
              <w:t>Diluted Net Income (Loss) Per Share Attributable to Evercore Partners Inc.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From 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Per Share Attributable to Evercore Partners Inc. Common</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00" w:type="dxa"/>
            <w:vAlign w:val="bottom"/>
          </w:tcPr>
          <w:p>
            <w:pPr>
              <w:ind w:left="20"/>
              <w:spacing w:after="0"/>
              <w:rPr>
                <w:sz w:val="20"/>
                <w:szCs w:val="20"/>
                <w:color w:val="auto"/>
              </w:rPr>
            </w:pPr>
            <w:r>
              <w:rPr>
                <w:rFonts w:ascii="Arial" w:cs="Arial" w:eastAsia="Arial" w:hAnsi="Arial"/>
                <w:sz w:val="18"/>
                <w:szCs w:val="18"/>
                <w:color w:val="auto"/>
              </w:rPr>
              <w:t>Dividends Declared Per Share of Class A Common Stock</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95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3"/>
        </w:trPr>
        <w:tc>
          <w:tcPr>
            <w:tcW w:w="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171,811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138,784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151,302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Income (Loss) Before Income from Equity Method Investments and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Evercore Partners Inc.</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Basic Net Income (Loss) Per Share Attributable to Evercore Partners Inc.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From 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Evercore Partners Inc.</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Diluted Net Income (Loss) Per Share Attributable to Evercore Partners Inc.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From Discontinued Operations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Evercore Partners Inc.</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Dividends Declared Per Share of Class A Common Stock</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96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3" w:right="259" w:bottom="1440" w:gutter="0" w:footer="0" w:header="0"/>
        </w:sectPr>
      </w:pPr>
    </w:p>
    <w:bookmarkStart w:id="99" w:name="page100"/>
    <w:bookmarkEnd w:id="99"/>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5"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identified in Exchange Act Rules 13a-15(f). Management has assessed the effectiveness of its internal control over financial reporting as of December 31, 2013 based on criteria established in Internal Control-Integrated Framework (1992) issued by the Committee of Sponsoring Organizations of the Treadway Commission.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making the assessment, management used the framework in “Internal Control – Integrated Framework” (1992) promulgated by the Committee of Sponsoring Organizations of the Treadway Commission, commonly referred to as the “COSO” criteria. Based on that evaluation, our Chief Executive Officer and Chief Financial Officer have concluded that our internal controls over financial reporting were effective as of December 31, 2013.</w:t>
      </w:r>
    </w:p>
    <w:p>
      <w:pPr>
        <w:spacing w:after="0" w:line="1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independent registered public accounting firm has issued its written attestation report on the Company’s internal control over financial reporting, as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526" w:right="25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Evercore Partners Inc. and subsidiaries (the "Company") as of December 31, 2013, based on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28, 2014 expressed an unqualified opinion on those consolidated financial statements.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have not made any changes during the three months ended December 31, 2013, that have materially affected, or are reasonably likely to materially affect, our internal control over financial reporting (as defined in Rule 13a-15(f) under the Exchange Act).</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80"/>
          </w:cols>
          <w:pgMar w:left="240" w:top="122" w:right="37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information regarding directors and executive officers set forth under the caption “Election of Directors” and “Executive Officers” in the Proxy Statement is incorporated herein by reference.</w:t>
      </w:r>
    </w:p>
    <w:p>
      <w:pPr>
        <w:spacing w:after="0" w:line="116"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1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posts its Code of Business Conduct and Ethics on the Corporate Governance webpage within the Investor Relations section of its website at http://ir.evercore.com under the link “Governance Documents”. The Company’s Code of Business Conduct and Ethics applies to all directors, officers and employees, including our chairmans, president and chief executive officer, our chief financial officer and our principal accounting officer. We will post any amendments to the Code of Business Conduct and Ethics, and any waivers that are required to be disclosed by the rules of either the SEC or the NYSE, on our website within the required periods.</w:t>
      </w:r>
    </w:p>
    <w:p>
      <w:pPr>
        <w:spacing w:after="0" w:line="34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120" w:firstLine="432"/>
        <w:spacing w:after="0" w:line="277" w:lineRule="auto"/>
        <w:rPr>
          <w:sz w:val="20"/>
          <w:szCs w:val="20"/>
          <w:color w:val="auto"/>
        </w:rPr>
      </w:pPr>
      <w:r>
        <w:rPr>
          <w:rFonts w:ascii="Arial" w:cs="Arial" w:eastAsia="Arial" w:hAnsi="Arial"/>
          <w:sz w:val="18"/>
          <w:szCs w:val="18"/>
          <w:color w:val="auto"/>
        </w:rPr>
        <w:t>The information contained in the sections captioned “Compensation of Our Named Executive Officers”, “Directors’ Compensation” and “Compensation Committee Report” of the Proxy Statement is incorporated herein by reference.</w:t>
      </w:r>
    </w:p>
    <w:p>
      <w:pPr>
        <w:spacing w:after="0" w:line="116"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Information regarding our compensation committee under “Committees of the Board – Compensation Committee” and compensation committee interlocks under the caption “Corporate Governance – Committees of the Board – Compensation Committee” is incorporated herein by reference.</w:t>
      </w:r>
    </w:p>
    <w:p>
      <w:pPr>
        <w:spacing w:after="0" w:line="282" w:lineRule="exact"/>
        <w:rPr>
          <w:sz w:val="20"/>
          <w:szCs w:val="20"/>
          <w:color w:val="auto"/>
        </w:rPr>
      </w:pPr>
    </w:p>
    <w:p>
      <w:pPr>
        <w:ind w:right="2300" w:firstLine="27"/>
        <w:spacing w:after="0" w:line="40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 at December 31, 2013</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Shares</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Number of Shares</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Available for Future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1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Options, Warrants and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Rights(1)</w:t>
            </w:r>
          </w:p>
        </w:tc>
        <w:tc>
          <w:tcPr>
            <w:tcW w:w="1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First Column)</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shareholders</w:t>
            </w:r>
          </w:p>
        </w:tc>
        <w:tc>
          <w:tcPr>
            <w:tcW w:w="2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7,225,366</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7,323,104</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shareholders</w:t>
            </w:r>
          </w:p>
        </w:tc>
        <w:tc>
          <w:tcPr>
            <w:tcW w:w="2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7,225,366</w:t>
            </w:r>
          </w:p>
        </w:tc>
        <w:tc>
          <w:tcPr>
            <w:tcW w:w="14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7,323,104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date, we have issued RSUs which by their nature have no exercise price.</w:t>
      </w:r>
    </w:p>
    <w:p>
      <w:pPr>
        <w:spacing w:after="0" w:line="15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information contained in the section captioned “Security Ownership of Certain Beneficial Owners and Management” of the Proxy Statement is incorporated herein by reference.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information contained in the sections captioned “Related Party Transactions and Other Information” and “Corporate Governance-Director Independence” in the Proxy Statement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regarding our independent registered public accounting firm fees and services in the section captioned “Independent Registered Public Accounting Firm” of the Proxy Statement is incorporated herein by reference.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121" w:right="31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98" w:lineRule="exact"/>
        <w:rPr>
          <w:sz w:val="20"/>
          <w:szCs w:val="20"/>
          <w:color w:val="auto"/>
        </w:rPr>
      </w:pPr>
    </w:p>
    <w:p>
      <w:pPr>
        <w:ind w:left="1300" w:hanging="1265"/>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financial statements required to be filed in the Form 10-K are listed in Part II, Item 8 hereof.</w:t>
      </w:r>
    </w:p>
    <w:p>
      <w:pPr>
        <w:spacing w:after="0" w:line="167" w:lineRule="exact"/>
        <w:rPr>
          <w:sz w:val="20"/>
          <w:szCs w:val="20"/>
          <w:color w:val="auto"/>
        </w:rPr>
      </w:pPr>
    </w:p>
    <w:p>
      <w:pPr>
        <w:ind w:left="1300" w:hanging="1265"/>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Data Schedules</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All schedules have been omitted because they are not applicable, not required, or the information required is included in the financial statements or notes thereto.</w:t>
      </w:r>
    </w:p>
    <w:p>
      <w:pPr>
        <w:spacing w:after="0" w:line="112" w:lineRule="exact"/>
        <w:rPr>
          <w:sz w:val="20"/>
          <w:szCs w:val="20"/>
          <w:color w:val="auto"/>
        </w:rPr>
      </w:pPr>
    </w:p>
    <w:p>
      <w:pPr>
        <w:ind w:left="1300" w:hanging="1265"/>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700" w:type="dxa"/>
            <w:vAlign w:val="bottom"/>
          </w:tcPr>
          <w:p>
            <w:pPr>
              <w:spacing w:after="0"/>
              <w:rPr>
                <w:sz w:val="18"/>
                <w:szCs w:val="18"/>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46"/>
        </w:trPr>
        <w:tc>
          <w:tcPr>
            <w:tcW w:w="1380" w:type="dxa"/>
            <w:vAlign w:val="bottom"/>
          </w:tcPr>
          <w:p>
            <w:pPr>
              <w:ind w:lef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88"/>
              </w:rPr>
              <w:t>Deed, dated as of June 7, 2011, by and between Evercore Partners Inc. and the Sellers named therein, regarding the sale and purchase</w:t>
            </w:r>
          </w:p>
        </w:tc>
      </w:tr>
      <w:tr>
        <w:trPr>
          <w:trHeight w:val="230"/>
        </w:trPr>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of The Lexicon Partnership LLP(22)</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Certificate of Incorporation of the Registrant(1)</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Bylaws of the Registrant(13)</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Equity Holders Agreement by and between Evercore Partners Inc. and Mizuho Corporate Bank, dated as of August 21, 2008(10)</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9"/>
              </w:rPr>
              <w:t>Indenture between Evercore Partners Inc. and The Bank of New York Mellon, as trustee, dated as of August 28, 2008(11)</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Warrant, dated as of August 28, 2008(11)</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Second Amended and Restated Limited Partnership Agreement of Evercore LP, dated as of July 27, 2009(14)</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2006(2)</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7"/>
              </w:rPr>
              <w:t>Amendment No. 1 to the Second Amended and Restated Limited Partnership Agreement dated as of February 11, 2010 (18)</w:t>
            </w:r>
          </w:p>
        </w:tc>
      </w:tr>
      <w:tr>
        <w:trPr>
          <w:trHeight w:val="594"/>
        </w:trPr>
        <w:tc>
          <w:tcPr>
            <w:tcW w:w="138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Tax Receivable Agreement, dated as of August 10, 2006(2)</w:t>
            </w:r>
          </w:p>
        </w:tc>
      </w:tr>
      <w:tr>
        <w:trPr>
          <w:trHeight w:val="810"/>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tcPr>
          <w:p>
            <w:pPr>
              <w:ind w:left="386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9420" w:type="dxa"/>
            <w:vAlign w:val="bottom"/>
          </w:tcPr>
          <w:p>
            <w:pPr>
              <w:ind w:left="600"/>
              <w:spacing w:after="0"/>
              <w:rPr>
                <w:sz w:val="20"/>
                <w:szCs w:val="20"/>
                <w:color w:val="auto"/>
              </w:rPr>
            </w:pPr>
            <w:r>
              <w:rPr>
                <w:rFonts w:ascii="Arial" w:cs="Arial" w:eastAsia="Arial" w:hAnsi="Arial"/>
                <w:sz w:val="18"/>
                <w:szCs w:val="18"/>
                <w:color w:val="auto"/>
              </w:rPr>
              <w:t>Registration Rights Agreement, dated as of August 10, 2006(2)</w:t>
            </w:r>
          </w:p>
        </w:tc>
      </w:tr>
      <w:tr>
        <w:trPr>
          <w:trHeight w:val="594"/>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9420" w:type="dxa"/>
            <w:vAlign w:val="bottom"/>
          </w:tcPr>
          <w:p>
            <w:pPr>
              <w:ind w:left="600"/>
              <w:spacing w:after="0"/>
              <w:rPr>
                <w:sz w:val="20"/>
                <w:szCs w:val="20"/>
                <w:color w:val="auto"/>
              </w:rPr>
            </w:pPr>
            <w:r>
              <w:rPr>
                <w:rFonts w:ascii="Arial" w:cs="Arial" w:eastAsia="Arial" w:hAnsi="Arial"/>
                <w:sz w:val="18"/>
                <w:szCs w:val="18"/>
                <w:color w:val="auto"/>
              </w:rPr>
              <w:t>*Employment Agreement between the Registrant and Roger C. Altman(2)</w:t>
            </w:r>
          </w:p>
        </w:tc>
      </w:tr>
      <w:tr>
        <w:trPr>
          <w:trHeight w:val="594"/>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9420" w:type="dxa"/>
            <w:vAlign w:val="bottom"/>
          </w:tcPr>
          <w:p>
            <w:pPr>
              <w:ind w:left="600"/>
              <w:spacing w:after="0"/>
              <w:rPr>
                <w:sz w:val="20"/>
                <w:szCs w:val="20"/>
                <w:color w:val="auto"/>
              </w:rPr>
            </w:pPr>
            <w:r>
              <w:rPr>
                <w:rFonts w:ascii="Arial" w:cs="Arial" w:eastAsia="Arial" w:hAnsi="Arial"/>
                <w:sz w:val="18"/>
                <w:szCs w:val="18"/>
                <w:color w:val="auto"/>
              </w:rPr>
              <w:t>*Employment Agreement between the Registrant and Pedro Aspe(2)</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9420" w:type="dxa"/>
            <w:vAlign w:val="bottom"/>
          </w:tcPr>
          <w:p>
            <w:pPr>
              <w:ind w:left="600"/>
              <w:spacing w:after="0"/>
              <w:rPr>
                <w:sz w:val="20"/>
                <w:szCs w:val="20"/>
                <w:color w:val="auto"/>
              </w:rPr>
            </w:pPr>
            <w:r>
              <w:rPr>
                <w:rFonts w:ascii="Arial" w:cs="Arial" w:eastAsia="Arial" w:hAnsi="Arial"/>
                <w:sz w:val="18"/>
                <w:szCs w:val="18"/>
                <w:color w:val="auto"/>
              </w:rPr>
              <w:t>*Employment Agreement between the Registrant and Robert B. Walsh(6)</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420" w:type="dxa"/>
            <w:vAlign w:val="bottom"/>
          </w:tcPr>
          <w:p>
            <w:pPr>
              <w:ind w:left="600"/>
              <w:spacing w:after="0"/>
              <w:rPr>
                <w:sz w:val="20"/>
                <w:szCs w:val="20"/>
                <w:color w:val="auto"/>
              </w:rPr>
            </w:pPr>
            <w:r>
              <w:rPr>
                <w:rFonts w:ascii="Arial" w:cs="Arial" w:eastAsia="Arial" w:hAnsi="Arial"/>
                <w:sz w:val="18"/>
                <w:szCs w:val="18"/>
                <w:color w:val="auto"/>
              </w:rPr>
              <w:t>*Evercore Partners Inc. 2006 Stock Incentive Plan(1)</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9420" w:type="dxa"/>
            <w:vAlign w:val="bottom"/>
          </w:tcPr>
          <w:p>
            <w:pPr>
              <w:ind w:left="600"/>
              <w:spacing w:after="0"/>
              <w:rPr>
                <w:sz w:val="20"/>
                <w:szCs w:val="20"/>
                <w:color w:val="auto"/>
              </w:rPr>
            </w:pPr>
            <w:r>
              <w:rPr>
                <w:rFonts w:ascii="Arial" w:cs="Arial" w:eastAsia="Arial" w:hAnsi="Arial"/>
                <w:sz w:val="18"/>
                <w:szCs w:val="18"/>
                <w:color w:val="auto"/>
              </w:rPr>
              <w:t>*Evercore Partners Inc. 2006 Stock Incentive Plan(3)</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9420" w:type="dxa"/>
            <w:vAlign w:val="bottom"/>
          </w:tcPr>
          <w:p>
            <w:pPr>
              <w:ind w:left="600"/>
              <w:spacing w:after="0"/>
              <w:rPr>
                <w:sz w:val="20"/>
                <w:szCs w:val="20"/>
                <w:color w:val="auto"/>
              </w:rPr>
            </w:pPr>
            <w:r>
              <w:rPr>
                <w:rFonts w:ascii="Arial" w:cs="Arial" w:eastAsia="Arial" w:hAnsi="Arial"/>
                <w:sz w:val="18"/>
                <w:szCs w:val="18"/>
                <w:color w:val="auto"/>
              </w:rPr>
              <w:t>*Evercore Partners Inc. 2006 Annual Incentive Plan(1)</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9420" w:type="dxa"/>
            <w:vAlign w:val="bottom"/>
          </w:tcPr>
          <w:p>
            <w:pPr>
              <w:ind w:left="600"/>
              <w:spacing w:after="0"/>
              <w:rPr>
                <w:sz w:val="20"/>
                <w:szCs w:val="20"/>
                <w:color w:val="auto"/>
              </w:rPr>
            </w:pPr>
            <w:r>
              <w:rPr>
                <w:rFonts w:ascii="Arial" w:cs="Arial" w:eastAsia="Arial" w:hAnsi="Arial"/>
                <w:sz w:val="18"/>
                <w:szCs w:val="18"/>
                <w:color w:val="auto"/>
              </w:rPr>
              <w:t>*Employment Agreement between the Registrant and Adam B. Frankel(1)</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9420" w:type="dxa"/>
            <w:vAlign w:val="bottom"/>
          </w:tcPr>
          <w:p>
            <w:pPr>
              <w:ind w:left="600"/>
              <w:spacing w:after="0"/>
              <w:rPr>
                <w:sz w:val="20"/>
                <w:szCs w:val="20"/>
                <w:color w:val="auto"/>
              </w:rPr>
            </w:pPr>
            <w:r>
              <w:rPr>
                <w:rFonts w:ascii="Arial" w:cs="Arial" w:eastAsia="Arial" w:hAnsi="Arial"/>
                <w:sz w:val="18"/>
                <w:szCs w:val="18"/>
                <w:color w:val="auto"/>
              </w:rPr>
              <w:t>Form of Indemnification Agreement between the Registrant and each of its directors(1)</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420" w:type="dxa"/>
            <w:vAlign w:val="bottom"/>
          </w:tcPr>
          <w:p>
            <w:pPr>
              <w:ind w:left="600"/>
              <w:spacing w:after="0"/>
              <w:rPr>
                <w:sz w:val="20"/>
                <w:szCs w:val="20"/>
                <w:color w:val="auto"/>
              </w:rPr>
            </w:pPr>
            <w:r>
              <w:rPr>
                <w:rFonts w:ascii="Arial" w:cs="Arial" w:eastAsia="Arial" w:hAnsi="Arial"/>
                <w:sz w:val="18"/>
                <w:szCs w:val="18"/>
                <w:color w:val="auto"/>
              </w:rPr>
              <w:t>Evercore Partners II L.L.C. Limited Liability Company Agreement(1)</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9420" w:type="dxa"/>
            <w:vAlign w:val="bottom"/>
          </w:tcPr>
          <w:p>
            <w:pPr>
              <w:ind w:left="600"/>
              <w:spacing w:after="0"/>
              <w:rPr>
                <w:sz w:val="20"/>
                <w:szCs w:val="20"/>
                <w:color w:val="auto"/>
              </w:rPr>
            </w:pPr>
            <w:r>
              <w:rPr>
                <w:rFonts w:ascii="Arial" w:cs="Arial" w:eastAsia="Arial" w:hAnsi="Arial"/>
                <w:sz w:val="18"/>
                <w:szCs w:val="18"/>
                <w:color w:val="auto"/>
                <w:w w:val="92"/>
              </w:rPr>
              <w:t>*Service Agreement between Bernard J. Taylor and Braveheart Financial Services Limited, dated as of July 31, 2006(9)</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9420" w:type="dxa"/>
            <w:vAlign w:val="bottom"/>
          </w:tcPr>
          <w:p>
            <w:pPr>
              <w:ind w:left="600"/>
              <w:spacing w:after="0"/>
              <w:rPr>
                <w:sz w:val="20"/>
                <w:szCs w:val="20"/>
                <w:color w:val="auto"/>
              </w:rPr>
            </w:pPr>
            <w:r>
              <w:rPr>
                <w:rFonts w:ascii="Arial" w:cs="Arial" w:eastAsia="Arial" w:hAnsi="Arial"/>
                <w:sz w:val="18"/>
                <w:szCs w:val="18"/>
                <w:color w:val="auto"/>
              </w:rPr>
              <w:t>*2007 Form Restricted Stock Unit Award Agreement(9)</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9420" w:type="dxa"/>
            <w:vAlign w:val="bottom"/>
          </w:tcPr>
          <w:p>
            <w:pPr>
              <w:ind w:left="600"/>
              <w:spacing w:after="0"/>
              <w:rPr>
                <w:sz w:val="20"/>
                <w:szCs w:val="20"/>
                <w:color w:val="auto"/>
              </w:rPr>
            </w:pPr>
            <w:r>
              <w:rPr>
                <w:rFonts w:ascii="Arial" w:cs="Arial" w:eastAsia="Arial" w:hAnsi="Arial"/>
                <w:sz w:val="18"/>
                <w:szCs w:val="18"/>
                <w:color w:val="auto"/>
              </w:rPr>
              <w:t>*2008 Form Restricted Stock Unit Award Agreement(15)</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9420" w:type="dxa"/>
            <w:vAlign w:val="bottom"/>
          </w:tcPr>
          <w:p>
            <w:pPr>
              <w:ind w:left="600"/>
              <w:spacing w:after="0"/>
              <w:rPr>
                <w:sz w:val="20"/>
                <w:szCs w:val="20"/>
                <w:color w:val="auto"/>
              </w:rPr>
            </w:pPr>
            <w:r>
              <w:rPr>
                <w:rFonts w:ascii="Arial" w:cs="Arial" w:eastAsia="Arial" w:hAnsi="Arial"/>
                <w:sz w:val="18"/>
                <w:szCs w:val="18"/>
                <w:color w:val="auto"/>
              </w:rPr>
              <w:t>Amended and Restated Limited Partnership Agreement with Evercore Mexico Partners II, L.P.(15)</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9420" w:type="dxa"/>
            <w:vAlign w:val="bottom"/>
          </w:tcPr>
          <w:p>
            <w:pPr>
              <w:ind w:left="600"/>
              <w:spacing w:after="0"/>
              <w:rPr>
                <w:sz w:val="20"/>
                <w:szCs w:val="20"/>
                <w:color w:val="auto"/>
              </w:rPr>
            </w:pPr>
            <w:r>
              <w:rPr>
                <w:rFonts w:ascii="Arial" w:cs="Arial" w:eastAsia="Arial" w:hAnsi="Arial"/>
                <w:sz w:val="18"/>
                <w:szCs w:val="18"/>
                <w:color w:val="auto"/>
              </w:rPr>
              <w:t>*Amendment to Employment Agreement dated November 7, 2008 with Dr. Pedro Carlos Aspe Armella(12)</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10.27</w:t>
            </w:r>
          </w:p>
        </w:tc>
        <w:tc>
          <w:tcPr>
            <w:tcW w:w="9420" w:type="dxa"/>
            <w:vAlign w:val="bottom"/>
          </w:tcPr>
          <w:p>
            <w:pPr>
              <w:ind w:left="600"/>
              <w:spacing w:after="0"/>
              <w:rPr>
                <w:sz w:val="20"/>
                <w:szCs w:val="20"/>
                <w:color w:val="auto"/>
              </w:rPr>
            </w:pPr>
            <w:r>
              <w:rPr>
                <w:rFonts w:ascii="Arial" w:cs="Arial" w:eastAsia="Arial" w:hAnsi="Arial"/>
                <w:sz w:val="18"/>
                <w:szCs w:val="18"/>
                <w:color w:val="auto"/>
              </w:rPr>
              <w:t>*Amendment to Employment Agreement dated February 12, 2008 with Roger C. Altman(8)</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10.28</w:t>
            </w:r>
          </w:p>
        </w:tc>
        <w:tc>
          <w:tcPr>
            <w:tcW w:w="9420" w:type="dxa"/>
            <w:vAlign w:val="bottom"/>
          </w:tcPr>
          <w:p>
            <w:pPr>
              <w:ind w:left="600"/>
              <w:spacing w:after="0"/>
              <w:rPr>
                <w:sz w:val="20"/>
                <w:szCs w:val="20"/>
                <w:color w:val="auto"/>
              </w:rPr>
            </w:pPr>
            <w:r>
              <w:rPr>
                <w:rFonts w:ascii="Arial" w:cs="Arial" w:eastAsia="Arial" w:hAnsi="Arial"/>
                <w:sz w:val="18"/>
                <w:szCs w:val="18"/>
                <w:color w:val="auto"/>
              </w:rPr>
              <w:t>*Amendment to Employment Agreement dated February 12, 2008 with Austin M. Beutner(8)</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10.29</w:t>
            </w:r>
          </w:p>
        </w:tc>
        <w:tc>
          <w:tcPr>
            <w:tcW w:w="9420" w:type="dxa"/>
            <w:vAlign w:val="bottom"/>
          </w:tcPr>
          <w:p>
            <w:pPr>
              <w:ind w:left="600"/>
              <w:spacing w:after="0"/>
              <w:rPr>
                <w:sz w:val="20"/>
                <w:szCs w:val="20"/>
                <w:color w:val="auto"/>
              </w:rPr>
            </w:pPr>
            <w:r>
              <w:rPr>
                <w:rFonts w:ascii="Arial" w:cs="Arial" w:eastAsia="Arial" w:hAnsi="Arial"/>
                <w:sz w:val="18"/>
                <w:szCs w:val="18"/>
                <w:color w:val="auto"/>
              </w:rPr>
              <w:t>* Amendment to Restricted Stock Unit Award Agreement with Adam B. Frankel(15)</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10.31</w:t>
            </w:r>
          </w:p>
        </w:tc>
        <w:tc>
          <w:tcPr>
            <w:tcW w:w="9420" w:type="dxa"/>
            <w:vAlign w:val="bottom"/>
          </w:tcPr>
          <w:p>
            <w:pPr>
              <w:ind w:left="600"/>
              <w:spacing w:after="0"/>
              <w:rPr>
                <w:sz w:val="20"/>
                <w:szCs w:val="20"/>
                <w:color w:val="auto"/>
              </w:rPr>
            </w:pPr>
            <w:r>
              <w:rPr>
                <w:rFonts w:ascii="Arial" w:cs="Arial" w:eastAsia="Arial" w:hAnsi="Arial"/>
                <w:sz w:val="18"/>
                <w:szCs w:val="18"/>
                <w:color w:val="auto"/>
                <w:w w:val="89"/>
              </w:rPr>
              <w:t>Purchase Agreement by and between Evercore Partners Inc. and Mizuho Corporate Bank, dated as of August 21, 2008(10)</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10.32</w:t>
            </w:r>
          </w:p>
        </w:tc>
        <w:tc>
          <w:tcPr>
            <w:tcW w:w="9420" w:type="dxa"/>
            <w:vAlign w:val="bottom"/>
          </w:tcPr>
          <w:p>
            <w:pPr>
              <w:ind w:left="600"/>
              <w:spacing w:after="0"/>
              <w:rPr>
                <w:sz w:val="20"/>
                <w:szCs w:val="20"/>
                <w:color w:val="auto"/>
              </w:rPr>
            </w:pPr>
            <w:r>
              <w:rPr>
                <w:rFonts w:ascii="Arial" w:cs="Arial" w:eastAsia="Arial" w:hAnsi="Arial"/>
                <w:sz w:val="18"/>
                <w:szCs w:val="18"/>
                <w:color w:val="auto"/>
              </w:rPr>
              <w:t>*Amendment to Employment Agreement dated March 26, 2009 with Roger C. Altman and Pedro Aspe(16)</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10.33</w:t>
            </w:r>
          </w:p>
        </w:tc>
        <w:tc>
          <w:tcPr>
            <w:tcW w:w="9420" w:type="dxa"/>
            <w:vAlign w:val="bottom"/>
          </w:tcPr>
          <w:p>
            <w:pPr>
              <w:ind w:left="600"/>
              <w:spacing w:after="0"/>
              <w:rPr>
                <w:sz w:val="20"/>
                <w:szCs w:val="20"/>
                <w:color w:val="auto"/>
              </w:rPr>
            </w:pPr>
            <w:r>
              <w:rPr>
                <w:rFonts w:ascii="Arial" w:cs="Arial" w:eastAsia="Arial" w:hAnsi="Arial"/>
                <w:sz w:val="18"/>
                <w:szCs w:val="18"/>
                <w:color w:val="auto"/>
              </w:rPr>
              <w:t>Subscription Agreement between the Registrant and Ralph L. Schlosstein(17)</w:t>
            </w:r>
          </w:p>
        </w:tc>
      </w:tr>
      <w:tr>
        <w:trPr>
          <w:trHeight w:val="567"/>
        </w:trPr>
        <w:tc>
          <w:tcPr>
            <w:tcW w:w="1120" w:type="dxa"/>
            <w:vAlign w:val="bottom"/>
          </w:tcPr>
          <w:p>
            <w:pPr>
              <w:spacing w:after="0"/>
              <w:rPr>
                <w:sz w:val="20"/>
                <w:szCs w:val="20"/>
                <w:color w:val="auto"/>
              </w:rPr>
            </w:pPr>
            <w:r>
              <w:rPr>
                <w:rFonts w:ascii="Arial" w:cs="Arial" w:eastAsia="Arial" w:hAnsi="Arial"/>
                <w:sz w:val="18"/>
                <w:szCs w:val="18"/>
                <w:color w:val="auto"/>
              </w:rPr>
              <w:t>10.33.1</w:t>
            </w:r>
          </w:p>
        </w:tc>
        <w:tc>
          <w:tcPr>
            <w:tcW w:w="9420" w:type="dxa"/>
            <w:vAlign w:val="bottom"/>
          </w:tcPr>
          <w:p>
            <w:pPr>
              <w:ind w:left="600"/>
              <w:spacing w:after="0"/>
              <w:rPr>
                <w:sz w:val="20"/>
                <w:szCs w:val="20"/>
                <w:color w:val="auto"/>
              </w:rPr>
            </w:pPr>
            <w:r>
              <w:rPr>
                <w:rFonts w:ascii="Arial" w:cs="Arial" w:eastAsia="Arial" w:hAnsi="Arial"/>
                <w:sz w:val="18"/>
                <w:szCs w:val="18"/>
                <w:color w:val="auto"/>
              </w:rPr>
              <w:t>*Employment Agreement between the Registrant and Ralph L. Schlosstein(17)</w:t>
            </w:r>
          </w:p>
        </w:tc>
      </w:tr>
    </w:tbl>
    <w:p>
      <w:pPr>
        <w:spacing w:after="0" w:line="200" w:lineRule="exact"/>
        <w:rPr>
          <w:sz w:val="20"/>
          <w:szCs w:val="20"/>
          <w:color w:val="auto"/>
        </w:rPr>
      </w:pPr>
    </w:p>
    <w:p>
      <w:pPr>
        <w:sectPr>
          <w:pgSz w:w="11900" w:h="16838" w:orient="portrait"/>
          <w:cols w:equalWidth="0" w:num="1">
            <w:col w:w="10580"/>
          </w:cols>
          <w:pgMar w:left="240" w:top="121" w:right="1079" w:bottom="1440" w:gutter="0" w:footer="0" w:header="0"/>
        </w:sect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580"/>
          </w:cols>
          <w:pgMar w:left="240" w:top="121" w:right="107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Contribution and Exchange Agreement, dated February 11, 2010(18)</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3"/>
              </w:rPr>
              <w:t>Purchase and Sale Agreement, dated as of March 4, 2010, by and among Evercore Partners Inc., Atalanta Sosnoff Capital LLC</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(“Atalanta Sosnoff”), Representative, LLC, in its capacity as the representative, the sellers and Martin T. Sosnoff(19)</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Registration Rights Agreement, dated May 28, 2010(20)</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*2011 Form Cash Unit Award Agreement(21)</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7"/>
              </w:rPr>
              <w:t>Amended and Restated Limited Liability Partnership Deed In Relation to Evercore Partners International LLP and Lexicon</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Partnership LLP, dated August 19, 2011(23)</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Purchase and Sale Agreement, dated as of November 11, 2011, by and among Evercore, the Company, the Representative, in its</w:t>
            </w:r>
          </w:p>
        </w:tc>
      </w:tr>
      <w:tr>
        <w:trPr>
          <w:trHeight w:val="216"/>
        </w:trPr>
        <w:tc>
          <w:tcPr>
            <w:tcW w:w="106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89"/>
              </w:rPr>
              <w:t>capacity as the representative and the Sellers, regarding the purchase of a non-controlling interest in ABS Investment Management,</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LLC(24)</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*2012</w:t>
            </w:r>
          </w:p>
        </w:tc>
        <w:tc>
          <w:tcPr>
            <w:tcW w:w="9000" w:type="dxa"/>
            <w:vAlign w:val="bottom"/>
          </w:tcPr>
          <w:p>
            <w:pPr>
              <w:ind w:left="20"/>
              <w:spacing w:after="0"/>
              <w:rPr>
                <w:sz w:val="20"/>
                <w:szCs w:val="20"/>
                <w:color w:val="auto"/>
              </w:rPr>
            </w:pPr>
            <w:r>
              <w:rPr>
                <w:rFonts w:ascii="Arial" w:cs="Arial" w:eastAsia="Arial" w:hAnsi="Arial"/>
                <w:sz w:val="18"/>
                <w:szCs w:val="18"/>
                <w:color w:val="auto"/>
              </w:rPr>
              <w:t>Form Restricted Stock Unit Award Agreement for U.S. Employees(25)</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10.41</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*2012</w:t>
            </w:r>
          </w:p>
        </w:tc>
        <w:tc>
          <w:tcPr>
            <w:tcW w:w="9000" w:type="dxa"/>
            <w:vAlign w:val="bottom"/>
          </w:tcPr>
          <w:p>
            <w:pPr>
              <w:ind w:left="20"/>
              <w:spacing w:after="0"/>
              <w:rPr>
                <w:sz w:val="20"/>
                <w:szCs w:val="20"/>
                <w:color w:val="auto"/>
              </w:rPr>
            </w:pPr>
            <w:r>
              <w:rPr>
                <w:rFonts w:ascii="Arial" w:cs="Arial" w:eastAsia="Arial" w:hAnsi="Arial"/>
                <w:sz w:val="18"/>
                <w:szCs w:val="18"/>
                <w:color w:val="auto"/>
              </w:rPr>
              <w:t>Form Restricted Stock Unit Award Agreement for the members of Evercore Partners International LLP(25)</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10.42</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*2012</w:t>
            </w:r>
          </w:p>
        </w:tc>
        <w:tc>
          <w:tcPr>
            <w:tcW w:w="9000" w:type="dxa"/>
            <w:vAlign w:val="bottom"/>
          </w:tcPr>
          <w:p>
            <w:pPr>
              <w:ind w:left="20"/>
              <w:spacing w:after="0"/>
              <w:rPr>
                <w:sz w:val="20"/>
                <w:szCs w:val="20"/>
                <w:color w:val="auto"/>
              </w:rPr>
            </w:pPr>
            <w:r>
              <w:rPr>
                <w:rFonts w:ascii="Arial" w:cs="Arial" w:eastAsia="Arial" w:hAnsi="Arial"/>
                <w:sz w:val="18"/>
                <w:szCs w:val="18"/>
                <w:color w:val="auto"/>
                <w:w w:val="90"/>
              </w:rPr>
              <w:t>Form Restricted Stock Unit Award Agreement for non-U.S. Employees and non-members of Evercore Partners International</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LLP(25)</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10.43</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*2012</w:t>
            </w:r>
          </w:p>
        </w:tc>
        <w:tc>
          <w:tcPr>
            <w:tcW w:w="9000" w:type="dxa"/>
            <w:vAlign w:val="bottom"/>
          </w:tcPr>
          <w:p>
            <w:pPr>
              <w:ind w:left="20"/>
              <w:spacing w:after="0"/>
              <w:rPr>
                <w:sz w:val="20"/>
                <w:szCs w:val="20"/>
                <w:color w:val="auto"/>
              </w:rPr>
            </w:pPr>
            <w:r>
              <w:rPr>
                <w:rFonts w:ascii="Arial" w:cs="Arial" w:eastAsia="Arial" w:hAnsi="Arial"/>
                <w:sz w:val="18"/>
                <w:szCs w:val="18"/>
                <w:color w:val="auto"/>
              </w:rPr>
              <w:t>Confidentiality, Non-Solicitation and Proprietary Information Agreement for Senior Managing Directors(25)</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10.44</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*2012</w:t>
            </w:r>
          </w:p>
        </w:tc>
        <w:tc>
          <w:tcPr>
            <w:tcW w:w="9000" w:type="dxa"/>
            <w:vAlign w:val="bottom"/>
          </w:tcPr>
          <w:p>
            <w:pPr>
              <w:ind w:left="20"/>
              <w:spacing w:after="0"/>
              <w:rPr>
                <w:sz w:val="20"/>
                <w:szCs w:val="20"/>
                <w:color w:val="auto"/>
              </w:rPr>
            </w:pPr>
            <w:r>
              <w:rPr>
                <w:rFonts w:ascii="Arial" w:cs="Arial" w:eastAsia="Arial" w:hAnsi="Arial"/>
                <w:sz w:val="18"/>
                <w:szCs w:val="18"/>
                <w:color w:val="auto"/>
              </w:rPr>
              <w:t>Form Cash Unit Award Agreement(25)</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*Employment Agreement between the Registrant and Andrew Sibbald(27)</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10.46</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Second Amended and Restated Limited Partnership Agreement with Evercore Mexico Partners III, L.P. (filed herewith)</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10.47</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9"/>
              </w:rPr>
              <w:t>*Restricted Stock Unit Award Agreement effective as of January 29, 2013 between Evercore Partners Inc. and Ralph L.</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Schlosstein(26)</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10.48</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*Amended and Restated Evercore Partners Inc. 2006 Stock Incentive Plan(28)</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10.49</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*2014</w:t>
            </w:r>
          </w:p>
        </w:tc>
        <w:tc>
          <w:tcPr>
            <w:tcW w:w="9000" w:type="dxa"/>
            <w:vAlign w:val="bottom"/>
          </w:tcPr>
          <w:p>
            <w:pPr>
              <w:ind w:left="20"/>
              <w:spacing w:after="0"/>
              <w:rPr>
                <w:sz w:val="20"/>
                <w:szCs w:val="20"/>
                <w:color w:val="auto"/>
              </w:rPr>
            </w:pPr>
            <w:r>
              <w:rPr>
                <w:rFonts w:ascii="Arial" w:cs="Arial" w:eastAsia="Arial" w:hAnsi="Arial"/>
                <w:sz w:val="18"/>
                <w:szCs w:val="18"/>
                <w:color w:val="auto"/>
              </w:rPr>
              <w:t>Form Restricted Stock Unit Award Agreement for U.S. Employees (filed herewith)</w:t>
            </w:r>
          </w:p>
        </w:tc>
      </w:tr>
      <w:tr>
        <w:trPr>
          <w:trHeight w:val="567"/>
        </w:trPr>
        <w:tc>
          <w:tcPr>
            <w:tcW w:w="1060" w:type="dxa"/>
            <w:vAlign w:val="bottom"/>
          </w:tcPr>
          <w:p>
            <w:pPr>
              <w:spacing w:after="0"/>
              <w:rPr>
                <w:sz w:val="20"/>
                <w:szCs w:val="20"/>
                <w:color w:val="auto"/>
              </w:rPr>
            </w:pPr>
            <w:r>
              <w:rPr>
                <w:rFonts w:ascii="Arial" w:cs="Arial" w:eastAsia="Arial" w:hAnsi="Arial"/>
                <w:sz w:val="18"/>
                <w:szCs w:val="18"/>
                <w:color w:val="auto"/>
              </w:rPr>
              <w:t>10.50</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*2014</w:t>
            </w:r>
          </w:p>
        </w:tc>
        <w:tc>
          <w:tcPr>
            <w:tcW w:w="9000" w:type="dxa"/>
            <w:vAlign w:val="bottom"/>
          </w:tcPr>
          <w:p>
            <w:pPr>
              <w:ind w:left="20"/>
              <w:spacing w:after="0"/>
              <w:rPr>
                <w:sz w:val="20"/>
                <w:szCs w:val="20"/>
                <w:color w:val="auto"/>
              </w:rPr>
            </w:pPr>
            <w:r>
              <w:rPr>
                <w:rFonts w:ascii="Arial" w:cs="Arial" w:eastAsia="Arial" w:hAnsi="Arial"/>
                <w:sz w:val="18"/>
                <w:szCs w:val="18"/>
                <w:color w:val="auto"/>
                <w:w w:val="95"/>
              </w:rPr>
              <w:t>Form Restricted Stock Unit Award Agreement for the members of Evercore Partners International LLP (filed herewith)</w:t>
            </w:r>
          </w:p>
        </w:tc>
      </w:tr>
      <w:tr>
        <w:trPr>
          <w:trHeight w:val="769"/>
        </w:trPr>
        <w:tc>
          <w:tcPr>
            <w:tcW w:w="1060" w:type="dxa"/>
            <w:vAlign w:val="bottom"/>
          </w:tcPr>
          <w:p>
            <w:pPr>
              <w:spacing w:after="0"/>
              <w:rPr>
                <w:sz w:val="20"/>
                <w:szCs w:val="20"/>
                <w:color w:val="auto"/>
              </w:rPr>
            </w:pPr>
            <w:r>
              <w:rPr>
                <w:rFonts w:ascii="Arial" w:cs="Arial" w:eastAsia="Arial" w:hAnsi="Arial"/>
                <w:sz w:val="18"/>
                <w:szCs w:val="18"/>
                <w:color w:val="auto"/>
              </w:rPr>
              <w:t>10.51</w:t>
            </w: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*2014</w:t>
            </w:r>
          </w:p>
        </w:tc>
        <w:tc>
          <w:tcPr>
            <w:tcW w:w="9000" w:type="dxa"/>
            <w:vAlign w:val="bottom"/>
          </w:tcPr>
          <w:p>
            <w:pPr>
              <w:ind w:left="20"/>
              <w:spacing w:after="0"/>
              <w:rPr>
                <w:sz w:val="20"/>
                <w:szCs w:val="20"/>
                <w:color w:val="auto"/>
              </w:rPr>
            </w:pPr>
            <w:r>
              <w:rPr>
                <w:rFonts w:ascii="Arial" w:cs="Arial" w:eastAsia="Arial" w:hAnsi="Arial"/>
                <w:sz w:val="18"/>
                <w:szCs w:val="18"/>
                <w:color w:val="auto"/>
                <w:w w:val="90"/>
              </w:rPr>
              <w:t>Form Restricted Stock Unit Award Agreement for non-U.S. Employees and non-members of Evercore Partners International</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LLP (filed herewith)</w:t>
            </w:r>
          </w:p>
        </w:tc>
      </w:tr>
      <w:tr>
        <w:trPr>
          <w:trHeight w:val="769"/>
        </w:trPr>
        <w:tc>
          <w:tcPr>
            <w:tcW w:w="1060" w:type="dxa"/>
            <w:vAlign w:val="bottom"/>
          </w:tcPr>
          <w:p>
            <w:pPr>
              <w:spacing w:after="0"/>
              <w:rPr>
                <w:sz w:val="20"/>
                <w:szCs w:val="20"/>
                <w:color w:val="auto"/>
              </w:rPr>
            </w:pPr>
            <w:r>
              <w:rPr>
                <w:rFonts w:ascii="Arial" w:cs="Arial" w:eastAsia="Arial" w:hAnsi="Arial"/>
                <w:sz w:val="18"/>
                <w:szCs w:val="18"/>
                <w:color w:val="auto"/>
              </w:rPr>
              <w:t>11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2"/>
              </w:rPr>
              <w:t>Not included as a separate exhibit - earnings per share can be determined from Note 16 to the consolidated financial statements</w:t>
            </w:r>
          </w:p>
        </w:tc>
      </w:tr>
      <w:tr>
        <w:trPr>
          <w:trHeight w:val="230"/>
        </w:trPr>
        <w:tc>
          <w:tcPr>
            <w:tcW w:w="1060" w:type="dxa"/>
            <w:vAlign w:val="bottom"/>
          </w:tcPr>
          <w:p>
            <w:pPr>
              <w:spacing w:after="0"/>
              <w:rPr>
                <w:sz w:val="20"/>
                <w:szCs w:val="20"/>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included in Item 8 – Financial Statements and Supplemental Data.</w:t>
            </w:r>
          </w:p>
        </w:tc>
      </w:tr>
    </w:tbl>
    <w:p>
      <w:pPr>
        <w:spacing w:after="0" w:line="200" w:lineRule="exact"/>
        <w:rPr>
          <w:sz w:val="20"/>
          <w:szCs w:val="20"/>
          <w:color w:val="auto"/>
        </w:rPr>
      </w:pPr>
    </w:p>
    <w:p>
      <w:pPr>
        <w:sectPr>
          <w:pgSz w:w="11900" w:h="16838" w:orient="portrait"/>
          <w:cols w:equalWidth="0" w:num="1">
            <w:col w:w="11220"/>
          </w:cols>
          <w:pgMar w:left="240" w:top="122" w:right="439" w:bottom="1440" w:gutter="0" w:footer="0" w:header="0"/>
        </w:sectPr>
      </w:pP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20"/>
          </w:cols>
          <w:pgMar w:left="240" w:top="122" w:right="43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240" w:type="dxa"/>
            <w:vAlign w:val="bottom"/>
          </w:tcPr>
          <w:p>
            <w:pPr>
              <w:ind w:left="700"/>
              <w:spacing w:after="0"/>
              <w:rPr>
                <w:sz w:val="20"/>
                <w:szCs w:val="20"/>
                <w:color w:val="auto"/>
              </w:rPr>
            </w:pPr>
            <w:r>
              <w:rPr>
                <w:rFonts w:ascii="Arial" w:cs="Arial" w:eastAsia="Arial" w:hAnsi="Arial"/>
                <w:sz w:val="18"/>
                <w:szCs w:val="18"/>
                <w:color w:val="auto"/>
              </w:rPr>
              <w:t>Subsidiaries of the Registrant (filed herewith)</w:t>
            </w:r>
          </w:p>
        </w:tc>
      </w:tr>
      <w:tr>
        <w:trPr>
          <w:trHeight w:val="567"/>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tcPr>
          <w:p>
            <w:pPr>
              <w:ind w:left="700"/>
              <w:spacing w:after="0"/>
              <w:rPr>
                <w:sz w:val="20"/>
                <w:szCs w:val="20"/>
                <w:color w:val="auto"/>
              </w:rPr>
            </w:pPr>
            <w:r>
              <w:rPr>
                <w:rFonts w:ascii="Arial" w:cs="Arial" w:eastAsia="Arial" w:hAnsi="Arial"/>
                <w:sz w:val="18"/>
                <w:szCs w:val="18"/>
                <w:color w:val="auto"/>
              </w:rPr>
              <w:t>Consent of Deloitte &amp; Touche LLP (filed herewith)</w:t>
            </w:r>
          </w:p>
        </w:tc>
      </w:tr>
      <w:tr>
        <w:trPr>
          <w:trHeight w:val="567"/>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10240" w:type="dxa"/>
            <w:vAlign w:val="bottom"/>
          </w:tcPr>
          <w:p>
            <w:pPr>
              <w:ind w:left="700"/>
              <w:spacing w:after="0"/>
              <w:rPr>
                <w:sz w:val="20"/>
                <w:szCs w:val="20"/>
                <w:color w:val="auto"/>
              </w:rPr>
            </w:pPr>
            <w:r>
              <w:rPr>
                <w:rFonts w:ascii="Arial" w:cs="Arial" w:eastAsia="Arial" w:hAnsi="Arial"/>
                <w:sz w:val="18"/>
                <w:szCs w:val="18"/>
                <w:color w:val="auto"/>
              </w:rPr>
              <w:t>Power of Attorney (included on signature page hereto)</w:t>
            </w:r>
          </w:p>
        </w:tc>
      </w:tr>
      <w:tr>
        <w:trPr>
          <w:trHeight w:val="56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70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567"/>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70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70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w:t>
            </w:r>
          </w:p>
        </w:tc>
      </w:tr>
      <w:tr>
        <w:trPr>
          <w:trHeight w:val="230"/>
        </w:trPr>
        <w:tc>
          <w:tcPr>
            <w:tcW w:w="1020" w:type="dxa"/>
            <w:vAlign w:val="bottom"/>
          </w:tcPr>
          <w:p>
            <w:pPr>
              <w:spacing w:after="0"/>
              <w:rPr>
                <w:sz w:val="20"/>
                <w:szCs w:val="20"/>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rPr>
              <w:t>Oxley Act of 2002 (furnished herewith)</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700"/>
              <w:spacing w:after="0"/>
              <w:rPr>
                <w:sz w:val="20"/>
                <w:szCs w:val="20"/>
                <w:color w:val="auto"/>
              </w:rPr>
            </w:pPr>
            <w:r>
              <w:rPr>
                <w:rFonts w:ascii="Arial" w:cs="Arial" w:eastAsia="Arial" w:hAnsi="Arial"/>
                <w:sz w:val="18"/>
                <w:szCs w:val="18"/>
                <w:color w:val="auto"/>
                <w:w w:val="90"/>
              </w:rPr>
              <w:t>Certification of the Chief Financial Officer pursuant to 18 U.S.C. Section 1350, as adopted pursuant to Section 906 of the Sarbanes-</w:t>
            </w:r>
          </w:p>
        </w:tc>
      </w:tr>
      <w:tr>
        <w:trPr>
          <w:trHeight w:val="230"/>
        </w:trPr>
        <w:tc>
          <w:tcPr>
            <w:tcW w:w="1020" w:type="dxa"/>
            <w:vAlign w:val="bottom"/>
          </w:tcPr>
          <w:p>
            <w:pPr>
              <w:spacing w:after="0"/>
              <w:rPr>
                <w:sz w:val="20"/>
                <w:szCs w:val="20"/>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rPr>
              <w:t>Oxley Act of 2002 (furnished herewith)</w:t>
            </w:r>
          </w:p>
        </w:tc>
      </w:tr>
      <w:tr>
        <w:trPr>
          <w:trHeight w:val="5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Pr>
          <w:p>
            <w:pPr>
              <w:ind w:left="700"/>
              <w:spacing w:after="0"/>
              <w:rPr>
                <w:sz w:val="20"/>
                <w:szCs w:val="20"/>
                <w:color w:val="auto"/>
              </w:rPr>
            </w:pPr>
            <w:r>
              <w:rPr>
                <w:rFonts w:ascii="Arial" w:cs="Arial" w:eastAsia="Arial" w:hAnsi="Arial"/>
                <w:sz w:val="18"/>
                <w:szCs w:val="18"/>
                <w:color w:val="auto"/>
                <w:w w:val="91"/>
              </w:rPr>
              <w:t>The following materials from the Registrant's Annual Report on Form 10-K for the year ended December 31, 2013, are formatted in</w:t>
            </w:r>
          </w:p>
        </w:tc>
      </w:tr>
      <w:tr>
        <w:trPr>
          <w:trHeight w:val="216"/>
        </w:trPr>
        <w:tc>
          <w:tcPr>
            <w:tcW w:w="1020" w:type="dxa"/>
            <w:vAlign w:val="bottom"/>
          </w:tcPr>
          <w:p>
            <w:pPr>
              <w:spacing w:after="0"/>
              <w:rPr>
                <w:sz w:val="18"/>
                <w:szCs w:val="18"/>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w w:val="90"/>
              </w:rPr>
              <w:t>XBRL (eXtensible Business Reporting Language); (i) Consolidated Statements of Financial Condition as of December 31, 2013 and</w:t>
            </w:r>
          </w:p>
        </w:tc>
      </w:tr>
      <w:tr>
        <w:trPr>
          <w:trHeight w:val="216"/>
        </w:trPr>
        <w:tc>
          <w:tcPr>
            <w:tcW w:w="1020" w:type="dxa"/>
            <w:vAlign w:val="bottom"/>
          </w:tcPr>
          <w:p>
            <w:pPr>
              <w:spacing w:after="0"/>
              <w:rPr>
                <w:sz w:val="18"/>
                <w:szCs w:val="18"/>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w w:val="96"/>
              </w:rPr>
              <w:t>2012, (ii) Consolidated Statements of Operations for the years ended December 31, 2013, 2012 and 2011, (iii) Consolidated</w:t>
            </w:r>
          </w:p>
        </w:tc>
      </w:tr>
      <w:tr>
        <w:trPr>
          <w:trHeight w:val="230"/>
        </w:trPr>
        <w:tc>
          <w:tcPr>
            <w:tcW w:w="1020" w:type="dxa"/>
            <w:vAlign w:val="bottom"/>
          </w:tcPr>
          <w:p>
            <w:pPr>
              <w:spacing w:after="0"/>
              <w:rPr>
                <w:sz w:val="20"/>
                <w:szCs w:val="20"/>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w w:val="93"/>
              </w:rPr>
              <w:t>Statements of Comprehensive Income for the years ended December 31, 2013, 2012 and 2011, (iv) Consolidated Statements of</w:t>
            </w:r>
          </w:p>
        </w:tc>
      </w:tr>
    </w:tbl>
    <w:p>
      <w:pPr>
        <w:ind w:left="1760" w:right="120"/>
        <w:spacing w:after="0" w:line="290" w:lineRule="auto"/>
        <w:rPr>
          <w:sz w:val="20"/>
          <w:szCs w:val="20"/>
          <w:color w:val="auto"/>
        </w:rPr>
      </w:pPr>
      <w:r>
        <w:rPr>
          <w:rFonts w:ascii="Arial" w:cs="Arial" w:eastAsia="Arial" w:hAnsi="Arial"/>
          <w:sz w:val="17"/>
          <w:szCs w:val="17"/>
          <w:color w:val="auto"/>
        </w:rPr>
        <w:t>Changes In Equity for the years ended December 31, 2013, 2012 and 2011, (v) Consolidated Statements of Cash Flows for the years ended December 31, 2013, 2012 and 2011, and (vi) Notes to Consolidated Financial Statements (filed herewith)</w:t>
      </w:r>
    </w:p>
    <w:p>
      <w:pPr>
        <w:spacing w:after="0" w:line="189" w:lineRule="exact"/>
        <w:rPr>
          <w:sz w:val="20"/>
          <w:szCs w:val="20"/>
          <w:color w:val="auto"/>
        </w:rPr>
      </w:pPr>
    </w:p>
    <w:p>
      <w:pPr>
        <w:ind w:left="420" w:right="60" w:hanging="412"/>
        <w:spacing w:after="0" w:line="258"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(Registration No. 333-134087), as amended, originally filed with the SEC on May 12, 2006.</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June 30, 2006.</w:t>
      </w:r>
    </w:p>
    <w:p>
      <w:pPr>
        <w:spacing w:after="0" w:line="32" w:lineRule="exact"/>
        <w:rPr>
          <w:rFonts w:ascii="Arial" w:cs="Arial" w:eastAsia="Arial" w:hAnsi="Arial"/>
          <w:sz w:val="16"/>
          <w:szCs w:val="16"/>
          <w:color w:val="auto"/>
        </w:rPr>
      </w:pPr>
    </w:p>
    <w:p>
      <w:pPr>
        <w:ind w:left="420" w:right="200" w:hanging="412"/>
        <w:spacing w:after="0" w:line="250"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2006.</w:t>
      </w: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December 21, 2006.</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March 31, 2007.</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Registrant’s Current Report on Form 8-K (Commission File No. 001-32975), filed with the SEC on June 8, 2007.</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Registrant’s Current Report on Form 8-K (Commission File No. 001-32975), filed with the SEC on July 6, 2007.</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12, 2008.</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14, 2008.</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21, 2008.</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28, 2008.</w:t>
      </w:r>
    </w:p>
    <w:p>
      <w:pPr>
        <w:spacing w:after="0" w:line="32" w:lineRule="exact"/>
        <w:rPr>
          <w:rFonts w:ascii="Arial" w:cs="Arial" w:eastAsia="Arial" w:hAnsi="Arial"/>
          <w:sz w:val="16"/>
          <w:szCs w:val="16"/>
          <w:color w:val="auto"/>
        </w:rPr>
      </w:pPr>
    </w:p>
    <w:p>
      <w:pPr>
        <w:ind w:left="420" w:right="200" w:hanging="412"/>
        <w:spacing w:after="0" w:line="250"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2008.</w:t>
      </w: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6, 2009.</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Registrant’s Current Report on Form 8-K (Commission File No. 001-32975), filed with the SEC on July 27, 2009.</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2" w:right="25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13, 2009.</w:t>
      </w:r>
    </w:p>
    <w:p>
      <w:pPr>
        <w:spacing w:after="0" w:line="46" w:lineRule="exact"/>
        <w:rPr>
          <w:rFonts w:ascii="Arial" w:cs="Arial" w:eastAsia="Arial" w:hAnsi="Arial"/>
          <w:sz w:val="16"/>
          <w:szCs w:val="16"/>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27, 2009.</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Registrant’s Current Report on Form 8-K (Commission File No. 001-32975), filed with the SEC on May 22, 2009.</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16, 2010.</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5, 2010.</w:t>
      </w:r>
    </w:p>
    <w:p>
      <w:pPr>
        <w:spacing w:after="0" w:line="32" w:lineRule="exact"/>
        <w:rPr>
          <w:rFonts w:ascii="Arial" w:cs="Arial" w:eastAsia="Arial" w:hAnsi="Arial"/>
          <w:sz w:val="16"/>
          <w:szCs w:val="16"/>
          <w:color w:val="auto"/>
        </w:rPr>
      </w:pPr>
    </w:p>
    <w:p>
      <w:pPr>
        <w:ind w:left="420" w:right="60" w:hanging="412"/>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S-3 (Registration No. 833-171487), as amended, originally filed with the SEC on December 30, 2010.</w:t>
      </w: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9, 2011.</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Registrant’s Current Report on Form 8-K (Commission File No. 001-32975), filed with the SEC on June 9, 2011.</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25, 2011.</w:t>
      </w:r>
    </w:p>
    <w:p>
      <w:pPr>
        <w:spacing w:after="0" w:line="32" w:lineRule="exact"/>
        <w:rPr>
          <w:rFonts w:ascii="Arial" w:cs="Arial" w:eastAsia="Arial" w:hAnsi="Arial"/>
          <w:sz w:val="16"/>
          <w:szCs w:val="16"/>
          <w:color w:val="auto"/>
        </w:rPr>
      </w:pPr>
    </w:p>
    <w:p>
      <w:pPr>
        <w:ind w:left="420" w:right="340" w:hanging="412"/>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(Commission File No. 001-32975), filed with the SEC on November 14, 2011.</w:t>
      </w:r>
    </w:p>
    <w:p>
      <w:pPr>
        <w:ind w:left="420" w:right="380" w:hanging="412"/>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(Commission File No. 001-32975), filed with the SEC on February 29, 2012.</w:t>
      </w: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January 29, 2013.</w:t>
      </w:r>
    </w:p>
    <w:p>
      <w:pPr>
        <w:spacing w:after="0" w:line="32" w:lineRule="exact"/>
        <w:rPr>
          <w:rFonts w:ascii="Arial" w:cs="Arial" w:eastAsia="Arial" w:hAnsi="Arial"/>
          <w:sz w:val="16"/>
          <w:szCs w:val="16"/>
          <w:color w:val="auto"/>
        </w:rPr>
      </w:pPr>
    </w:p>
    <w:p>
      <w:pPr>
        <w:ind w:left="420" w:right="380" w:hanging="412"/>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(Commission File No. 001-32975), filed with the SEC on February 27, 2013.</w:t>
      </w: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20, 2013.</w:t>
      </w:r>
    </w:p>
    <w:p>
      <w:pPr>
        <w:spacing w:after="0" w:line="396" w:lineRule="exact"/>
        <w:rPr>
          <w:sz w:val="20"/>
          <w:szCs w:val="20"/>
          <w:color w:val="auto"/>
        </w:rPr>
      </w:pPr>
    </w:p>
    <w:p>
      <w:pPr>
        <w:ind w:left="1360" w:hanging="125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1" w:right="25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Evercore Partners Inc.</w:t>
      </w:r>
    </w:p>
    <w:p>
      <w:pPr>
        <w:spacing w:after="0" w:line="38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B. W</w:t>
            </w:r>
            <w:r>
              <w:rPr>
                <w:rFonts w:ascii="Arial" w:cs="Arial" w:eastAsia="Arial" w:hAnsi="Arial"/>
                <w:sz w:val="14"/>
                <w:szCs w:val="14"/>
                <w:color w:val="auto"/>
              </w:rPr>
              <w:t>ALSH</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60" w:type="dxa"/>
            <w:vAlign w:val="bottom"/>
            <w:vMerge w:val="continue"/>
          </w:tcPr>
          <w:p>
            <w:pPr>
              <w:spacing w:after="0"/>
              <w:rPr>
                <w:sz w:val="14"/>
                <w:szCs w:val="14"/>
                <w:color w:val="auto"/>
              </w:rPr>
            </w:pPr>
          </w:p>
        </w:tc>
        <w:tc>
          <w:tcPr>
            <w:tcW w:w="4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Robert B. Walsh</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28, 2014</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Each of the officers and directors of Evercore Partners Inc. whose signature appears below, in so signing, also makes, constitutes and appoints each of Ralph Schlosstein, Roger C. Altman, Robert B. Walsh, Adam B. Frankel and Paul Pensa,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0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28th day of February,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1973"/>
              <w:spacing w:after="0"/>
              <w:rPr>
                <w:sz w:val="20"/>
                <w:szCs w:val="20"/>
                <w:color w:val="auto"/>
              </w:rPr>
            </w:pPr>
            <w:r>
              <w:rPr>
                <w:rFonts w:ascii="Arial" w:cs="Arial" w:eastAsia="Arial" w:hAnsi="Arial"/>
                <w:sz w:val="13"/>
                <w:szCs w:val="13"/>
                <w:b w:val="1"/>
                <w:bCs w:val="1"/>
                <w:color w:val="auto"/>
                <w:w w:val="86"/>
              </w:rPr>
              <w:t>Signature</w:t>
            </w:r>
          </w:p>
        </w:tc>
        <w:tc>
          <w:tcPr>
            <w:tcW w:w="220" w:type="dxa"/>
            <w:vAlign w:val="bottom"/>
          </w:tcPr>
          <w:p>
            <w:pPr>
              <w:spacing w:after="0"/>
              <w:rPr>
                <w:sz w:val="16"/>
                <w:szCs w:val="16"/>
                <w:color w:val="auto"/>
              </w:rPr>
            </w:pPr>
          </w:p>
        </w:tc>
        <w:tc>
          <w:tcPr>
            <w:tcW w:w="61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Title</w:t>
            </w:r>
          </w:p>
        </w:tc>
      </w:tr>
      <w:tr>
        <w:trPr>
          <w:trHeight w:val="399"/>
        </w:trPr>
        <w:tc>
          <w:tcPr>
            <w:tcW w:w="1820" w:type="dxa"/>
            <w:vAlign w:val="bottom"/>
            <w:gridSpan w:val="2"/>
          </w:tcPr>
          <w:p>
            <w:pPr>
              <w:ind w:left="1540"/>
              <w:spacing w:after="0"/>
              <w:rPr>
                <w:sz w:val="20"/>
                <w:szCs w:val="20"/>
                <w:color w:val="auto"/>
              </w:rPr>
            </w:pPr>
            <w:r>
              <w:rPr>
                <w:rFonts w:ascii="Arial" w:cs="Arial" w:eastAsia="Arial" w:hAnsi="Arial"/>
                <w:sz w:val="16"/>
                <w:szCs w:val="16"/>
                <w:color w:val="auto"/>
              </w:rPr>
              <w:t>/s/</w:t>
            </w:r>
          </w:p>
        </w:tc>
        <w:tc>
          <w:tcPr>
            <w:tcW w:w="3220" w:type="dxa"/>
            <w:vAlign w:val="bottom"/>
            <w:gridSpan w:val="2"/>
          </w:tcPr>
          <w:p>
            <w:pPr>
              <w:jc w:val="center"/>
              <w:ind w:right="1433"/>
              <w:spacing w:after="0"/>
              <w:rPr>
                <w:sz w:val="20"/>
                <w:szCs w:val="20"/>
                <w:color w:val="auto"/>
              </w:rPr>
            </w:pPr>
            <w:r>
              <w:rPr>
                <w:rFonts w:ascii="Arial" w:cs="Arial" w:eastAsia="Arial" w:hAnsi="Arial"/>
                <w:sz w:val="16"/>
                <w:szCs w:val="16"/>
                <w:color w:val="auto"/>
                <w:w w:val="96"/>
              </w:rPr>
              <w:t>RALPH SCHLOSSTEIN</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 and 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85"/>
              </w:rPr>
              <w:t>Ralph Schlosstein</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4"/>
              </w:rPr>
              <w:t>/s/</w:t>
            </w:r>
          </w:p>
        </w:tc>
        <w:tc>
          <w:tcPr>
            <w:tcW w:w="3220" w:type="dxa"/>
            <w:vAlign w:val="bottom"/>
            <w:gridSpan w:val="2"/>
          </w:tcPr>
          <w:p>
            <w:pPr>
              <w:jc w:val="center"/>
              <w:ind w:right="1453"/>
              <w:spacing w:after="0"/>
              <w:rPr>
                <w:sz w:val="20"/>
                <w:szCs w:val="20"/>
                <w:color w:val="auto"/>
              </w:rPr>
            </w:pPr>
            <w:r>
              <w:rPr>
                <w:rFonts w:ascii="Arial" w:cs="Arial" w:eastAsia="Arial" w:hAnsi="Arial"/>
                <w:sz w:val="16"/>
                <w:szCs w:val="16"/>
                <w:color w:val="auto"/>
                <w:w w:val="98"/>
              </w:rPr>
              <w:t>ROGER C. ALTMAN</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Co-Chairman</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90"/>
              </w:rPr>
              <w:t>Roger C. Altman</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2"/>
              </w:rPr>
              <w:t>/s/</w:t>
            </w:r>
          </w:p>
        </w:tc>
        <w:tc>
          <w:tcPr>
            <w:tcW w:w="3000" w:type="dxa"/>
            <w:vAlign w:val="bottom"/>
          </w:tcPr>
          <w:p>
            <w:pPr>
              <w:jc w:val="center"/>
              <w:ind w:right="1653"/>
              <w:spacing w:after="0"/>
              <w:rPr>
                <w:sz w:val="20"/>
                <w:szCs w:val="20"/>
                <w:color w:val="auto"/>
              </w:rPr>
            </w:pPr>
            <w:r>
              <w:rPr>
                <w:rFonts w:ascii="Arial" w:cs="Arial" w:eastAsia="Arial" w:hAnsi="Arial"/>
                <w:sz w:val="16"/>
                <w:szCs w:val="16"/>
                <w:color w:val="auto"/>
                <w:w w:val="92"/>
              </w:rPr>
              <w:t>PEDRO ASPE</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Co-Chairman</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82"/>
              </w:rPr>
              <w:t>Pedro Aspe</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820" w:type="dxa"/>
            <w:vAlign w:val="bottom"/>
            <w:gridSpan w:val="2"/>
          </w:tcPr>
          <w:p>
            <w:pPr>
              <w:ind w:left="1580"/>
              <w:spacing w:after="0"/>
              <w:rPr>
                <w:sz w:val="20"/>
                <w:szCs w:val="20"/>
                <w:color w:val="auto"/>
              </w:rPr>
            </w:pPr>
            <w:r>
              <w:rPr>
                <w:rFonts w:ascii="Arial" w:cs="Arial" w:eastAsia="Arial" w:hAnsi="Arial"/>
                <w:sz w:val="16"/>
                <w:szCs w:val="16"/>
                <w:color w:val="auto"/>
              </w:rPr>
              <w:t>/s/</w:t>
            </w:r>
          </w:p>
        </w:tc>
        <w:tc>
          <w:tcPr>
            <w:tcW w:w="3220" w:type="dxa"/>
            <w:vAlign w:val="bottom"/>
            <w:gridSpan w:val="2"/>
          </w:tcPr>
          <w:p>
            <w:pPr>
              <w:jc w:val="center"/>
              <w:ind w:right="1433"/>
              <w:spacing w:after="0"/>
              <w:rPr>
                <w:sz w:val="20"/>
                <w:szCs w:val="20"/>
                <w:color w:val="auto"/>
              </w:rPr>
            </w:pPr>
            <w:r>
              <w:rPr>
                <w:rFonts w:ascii="Arial" w:cs="Arial" w:eastAsia="Arial" w:hAnsi="Arial"/>
                <w:sz w:val="16"/>
                <w:szCs w:val="16"/>
                <w:color w:val="auto"/>
                <w:w w:val="99"/>
              </w:rPr>
              <w:t>RICHARD I. BEATTIE</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90"/>
              </w:rPr>
              <w:t>Richard I. Beattie</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ind w:left="1380"/>
              <w:spacing w:after="0"/>
              <w:rPr>
                <w:sz w:val="20"/>
                <w:szCs w:val="20"/>
                <w:color w:val="auto"/>
              </w:rPr>
            </w:pPr>
            <w:r>
              <w:rPr>
                <w:rFonts w:ascii="Arial" w:cs="Arial" w:eastAsia="Arial" w:hAnsi="Arial"/>
                <w:sz w:val="16"/>
                <w:szCs w:val="16"/>
                <w:color w:val="auto"/>
              </w:rPr>
              <w:t>/s/</w:t>
            </w:r>
          </w:p>
        </w:tc>
        <w:tc>
          <w:tcPr>
            <w:tcW w:w="3420" w:type="dxa"/>
            <w:vAlign w:val="bottom"/>
            <w:gridSpan w:val="3"/>
          </w:tcPr>
          <w:p>
            <w:pPr>
              <w:jc w:val="center"/>
              <w:ind w:right="1253"/>
              <w:spacing w:after="0"/>
              <w:rPr>
                <w:sz w:val="20"/>
                <w:szCs w:val="20"/>
                <w:color w:val="auto"/>
              </w:rPr>
            </w:pPr>
            <w:r>
              <w:rPr>
                <w:rFonts w:ascii="Arial" w:cs="Arial" w:eastAsia="Arial" w:hAnsi="Arial"/>
                <w:sz w:val="16"/>
                <w:szCs w:val="16"/>
                <w:color w:val="auto"/>
                <w:w w:val="96"/>
              </w:rPr>
              <w:t>FRANCOIS DE ST. PHALLE</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
          </w:tcPr>
          <w:p>
            <w:pPr>
              <w:jc w:val="center"/>
              <w:ind w:right="1753"/>
              <w:spacing w:after="0"/>
              <w:rPr>
                <w:sz w:val="20"/>
                <w:szCs w:val="20"/>
                <w:color w:val="auto"/>
              </w:rPr>
            </w:pPr>
            <w:r>
              <w:rPr>
                <w:rFonts w:ascii="Arial" w:cs="Arial" w:eastAsia="Arial" w:hAnsi="Arial"/>
                <w:sz w:val="13"/>
                <w:szCs w:val="13"/>
                <w:b w:val="1"/>
                <w:bCs w:val="1"/>
                <w:color w:val="auto"/>
                <w:w w:val="85"/>
              </w:rPr>
              <w:t>Francois de St. Phalle</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820" w:type="dxa"/>
            <w:vAlign w:val="bottom"/>
            <w:gridSpan w:val="2"/>
          </w:tcPr>
          <w:p>
            <w:pPr>
              <w:ind w:left="1560"/>
              <w:spacing w:after="0"/>
              <w:rPr>
                <w:sz w:val="20"/>
                <w:szCs w:val="20"/>
                <w:color w:val="auto"/>
              </w:rPr>
            </w:pPr>
            <w:r>
              <w:rPr>
                <w:rFonts w:ascii="Arial" w:cs="Arial" w:eastAsia="Arial" w:hAnsi="Arial"/>
                <w:sz w:val="16"/>
                <w:szCs w:val="16"/>
                <w:color w:val="auto"/>
              </w:rPr>
              <w:t>/s/</w:t>
            </w:r>
          </w:p>
        </w:tc>
        <w:tc>
          <w:tcPr>
            <w:tcW w:w="3220" w:type="dxa"/>
            <w:vAlign w:val="bottom"/>
            <w:gridSpan w:val="2"/>
          </w:tcPr>
          <w:p>
            <w:pPr>
              <w:jc w:val="center"/>
              <w:ind w:right="1433"/>
              <w:spacing w:after="0"/>
              <w:rPr>
                <w:sz w:val="20"/>
                <w:szCs w:val="20"/>
                <w:color w:val="auto"/>
              </w:rPr>
            </w:pPr>
            <w:r>
              <w:rPr>
                <w:rFonts w:ascii="Arial" w:cs="Arial" w:eastAsia="Arial" w:hAnsi="Arial"/>
                <w:sz w:val="16"/>
                <w:szCs w:val="16"/>
                <w:color w:val="auto"/>
                <w:w w:val="99"/>
              </w:rPr>
              <w:t>GAIL BLOCK HARRIS</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91"/>
              </w:rPr>
              <w:t>Gail Block Harris</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spacing w:after="0"/>
              <w:rPr>
                <w:sz w:val="24"/>
                <w:szCs w:val="24"/>
                <w:color w:val="auto"/>
              </w:rPr>
            </w:pPr>
          </w:p>
        </w:tc>
        <w:tc>
          <w:tcPr>
            <w:tcW w:w="420" w:type="dxa"/>
            <w:vAlign w:val="bottom"/>
            <w:gridSpan w:val="2"/>
          </w:tcPr>
          <w:p>
            <w:pPr>
              <w:ind w:left="160"/>
              <w:spacing w:after="0"/>
              <w:rPr>
                <w:sz w:val="20"/>
                <w:szCs w:val="20"/>
                <w:color w:val="auto"/>
              </w:rPr>
            </w:pPr>
            <w:r>
              <w:rPr>
                <w:rFonts w:ascii="Arial" w:cs="Arial" w:eastAsia="Arial" w:hAnsi="Arial"/>
                <w:sz w:val="16"/>
                <w:szCs w:val="16"/>
                <w:color w:val="auto"/>
              </w:rPr>
              <w:t>/s/</w:t>
            </w:r>
          </w:p>
        </w:tc>
        <w:tc>
          <w:tcPr>
            <w:tcW w:w="3000" w:type="dxa"/>
            <w:vAlign w:val="bottom"/>
          </w:tcPr>
          <w:p>
            <w:pPr>
              <w:jc w:val="center"/>
              <w:ind w:right="1653"/>
              <w:spacing w:after="0"/>
              <w:rPr>
                <w:sz w:val="20"/>
                <w:szCs w:val="20"/>
                <w:color w:val="auto"/>
              </w:rPr>
            </w:pPr>
            <w:r>
              <w:rPr>
                <w:rFonts w:ascii="Arial" w:cs="Arial" w:eastAsia="Arial" w:hAnsi="Arial"/>
                <w:sz w:val="16"/>
                <w:szCs w:val="16"/>
                <w:color w:val="auto"/>
                <w:w w:val="93"/>
              </w:rPr>
              <w:t>CURT HESSLER</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87"/>
              </w:rPr>
              <w:t>Curt Hessler</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820" w:type="dxa"/>
            <w:vAlign w:val="bottom"/>
            <w:gridSpan w:val="2"/>
          </w:tcPr>
          <w:p>
            <w:pPr>
              <w:ind w:left="1560"/>
              <w:spacing w:after="0"/>
              <w:rPr>
                <w:sz w:val="20"/>
                <w:szCs w:val="20"/>
                <w:color w:val="auto"/>
              </w:rPr>
            </w:pPr>
            <w:r>
              <w:rPr>
                <w:rFonts w:ascii="Arial" w:cs="Arial" w:eastAsia="Arial" w:hAnsi="Arial"/>
                <w:sz w:val="16"/>
                <w:szCs w:val="16"/>
                <w:color w:val="auto"/>
              </w:rPr>
              <w:t>/s/</w:t>
            </w:r>
          </w:p>
        </w:tc>
        <w:tc>
          <w:tcPr>
            <w:tcW w:w="3220" w:type="dxa"/>
            <w:vAlign w:val="bottom"/>
            <w:gridSpan w:val="2"/>
          </w:tcPr>
          <w:p>
            <w:pPr>
              <w:jc w:val="center"/>
              <w:ind w:right="1433"/>
              <w:spacing w:after="0"/>
              <w:rPr>
                <w:sz w:val="20"/>
                <w:szCs w:val="20"/>
                <w:color w:val="auto"/>
              </w:rPr>
            </w:pPr>
            <w:r>
              <w:rPr>
                <w:rFonts w:ascii="Arial" w:cs="Arial" w:eastAsia="Arial" w:hAnsi="Arial"/>
                <w:sz w:val="16"/>
                <w:szCs w:val="16"/>
                <w:color w:val="auto"/>
                <w:w w:val="99"/>
              </w:rPr>
              <w:t>ROBERT B. MILLARD</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92"/>
              </w:rPr>
              <w:t>Robert B. Millard</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ind w:left="1460"/>
              <w:spacing w:after="0"/>
              <w:rPr>
                <w:sz w:val="20"/>
                <w:szCs w:val="20"/>
                <w:color w:val="auto"/>
              </w:rPr>
            </w:pPr>
            <w:r>
              <w:rPr>
                <w:rFonts w:ascii="Arial" w:cs="Arial" w:eastAsia="Arial" w:hAnsi="Arial"/>
                <w:sz w:val="16"/>
                <w:szCs w:val="16"/>
                <w:color w:val="auto"/>
                <w:w w:val="82"/>
              </w:rPr>
              <w:t>/s/</w:t>
            </w:r>
          </w:p>
        </w:tc>
        <w:tc>
          <w:tcPr>
            <w:tcW w:w="3420" w:type="dxa"/>
            <w:vAlign w:val="bottom"/>
            <w:gridSpan w:val="3"/>
          </w:tcPr>
          <w:p>
            <w:pPr>
              <w:jc w:val="center"/>
              <w:ind w:right="1253"/>
              <w:spacing w:after="0"/>
              <w:rPr>
                <w:sz w:val="20"/>
                <w:szCs w:val="20"/>
                <w:color w:val="auto"/>
              </w:rPr>
            </w:pPr>
            <w:r>
              <w:rPr>
                <w:rFonts w:ascii="Arial" w:cs="Arial" w:eastAsia="Arial" w:hAnsi="Arial"/>
                <w:sz w:val="16"/>
                <w:szCs w:val="16"/>
                <w:color w:val="auto"/>
                <w:w w:val="99"/>
              </w:rPr>
              <w:t>ANTHONY N. PRITZKER</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
          </w:tcPr>
          <w:p>
            <w:pPr>
              <w:jc w:val="center"/>
              <w:ind w:right="1753"/>
              <w:spacing w:after="0"/>
              <w:rPr>
                <w:sz w:val="20"/>
                <w:szCs w:val="20"/>
                <w:color w:val="auto"/>
              </w:rPr>
            </w:pPr>
            <w:r>
              <w:rPr>
                <w:rFonts w:ascii="Arial" w:cs="Arial" w:eastAsia="Arial" w:hAnsi="Arial"/>
                <w:sz w:val="13"/>
                <w:szCs w:val="13"/>
                <w:b w:val="1"/>
                <w:bCs w:val="1"/>
                <w:color w:val="auto"/>
                <w:w w:val="92"/>
              </w:rPr>
              <w:t>Anthony N. Pritzker</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2"/>
              </w:rPr>
              <w:t>/s/</w:t>
            </w:r>
          </w:p>
        </w:tc>
        <w:tc>
          <w:tcPr>
            <w:tcW w:w="3220" w:type="dxa"/>
            <w:vAlign w:val="bottom"/>
            <w:gridSpan w:val="2"/>
          </w:tcPr>
          <w:p>
            <w:pPr>
              <w:jc w:val="center"/>
              <w:ind w:right="1453"/>
              <w:spacing w:after="0"/>
              <w:rPr>
                <w:sz w:val="20"/>
                <w:szCs w:val="20"/>
                <w:color w:val="auto"/>
              </w:rPr>
            </w:pPr>
            <w:r>
              <w:rPr>
                <w:rFonts w:ascii="Arial" w:cs="Arial" w:eastAsia="Arial" w:hAnsi="Arial"/>
                <w:sz w:val="16"/>
                <w:szCs w:val="16"/>
                <w:color w:val="auto"/>
                <w:w w:val="96"/>
              </w:rPr>
              <w:t>ROBERT B. WALSH</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87"/>
              </w:rPr>
              <w:t>Robert B. Walsh</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15"/>
        </w:trPr>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2"/>
              </w:rPr>
              <w:t>/s/</w:t>
            </w:r>
          </w:p>
        </w:tc>
        <w:tc>
          <w:tcPr>
            <w:tcW w:w="3000" w:type="dxa"/>
            <w:vAlign w:val="bottom"/>
          </w:tcPr>
          <w:p>
            <w:pPr>
              <w:jc w:val="center"/>
              <w:ind w:right="1653"/>
              <w:spacing w:after="0"/>
              <w:rPr>
                <w:sz w:val="20"/>
                <w:szCs w:val="20"/>
                <w:color w:val="auto"/>
              </w:rPr>
            </w:pPr>
            <w:r>
              <w:rPr>
                <w:rFonts w:ascii="Arial" w:cs="Arial" w:eastAsia="Arial" w:hAnsi="Arial"/>
                <w:sz w:val="16"/>
                <w:szCs w:val="16"/>
                <w:color w:val="auto"/>
                <w:w w:val="95"/>
              </w:rPr>
              <w:t>PAUL PENSA</w:t>
            </w:r>
          </w:p>
        </w:tc>
        <w:tc>
          <w:tcPr>
            <w:tcW w:w="2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6"/>
                <w:szCs w:val="16"/>
                <w:color w:val="auto"/>
              </w:rPr>
              <w:t>Controller (Principal Accounting Officer)</w:t>
            </w: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jc w:val="center"/>
              <w:ind w:right="1973"/>
              <w:spacing w:after="0"/>
              <w:rPr>
                <w:sz w:val="20"/>
                <w:szCs w:val="20"/>
                <w:color w:val="auto"/>
              </w:rPr>
            </w:pPr>
            <w:r>
              <w:rPr>
                <w:rFonts w:ascii="Arial" w:cs="Arial" w:eastAsia="Arial" w:hAnsi="Arial"/>
                <w:sz w:val="13"/>
                <w:szCs w:val="13"/>
                <w:b w:val="1"/>
                <w:bCs w:val="1"/>
                <w:color w:val="auto"/>
                <w:w w:val="86"/>
              </w:rPr>
              <w:t>Paul Pensa</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10.46</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EVERCORE MEXICO PARTNERS III, L.P.</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 Ontario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Second Amended and Restated</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Limited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June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NOTICE</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NEITHER EVERCORE MEXICO PARTNERS III, L.P. NOR THE LIMITED PARTNER INTERESTS THEREIN HAVE BEEN OR WILL BE REGISTERED UNDER THE U.S. SECURITIES ACT OF 1933, AS AMENDED, THE U.S. INVESTMENT PARTNERSHIP ACT OF 1940, AS AMENDED, THE SECURITIES LAWS OF ANY OF THE STATES OF THE UNITED STATES OR THE SECURITIES LAWS OF ANY FOREIGN JURISDICTION.</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DELIVERY OF THIS LIMITED PARTNERSHIP AGREEMENT SHALL NOT CONSTITUTE AN OFFER TO SELL OR THE SOLICITATION OF AN OFFER TO BUY NOR SHALL THERE BE ANY OFFER, SOLICITATION OR SALE OF LIMITED PARTNER INTERESTS IN EVERCORE MEXICO PARTNERS III, L.P. IN ANY JURISDICTION IN WHICH SUCH OFFER, SOLICITATION OR SALE IS NOT AUTHORIZED OR TO ANY PERSON TO WHOM IT IS UNLAWFUL TO MAKE SUCH OFFER, SOLICITATION OR SALE.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LIMITED PARTNER INTERESTS IN EVERCORE MEXICO PARTNERS III, L.P. ARE SUBJECT TO RESTRICTIONS ON TRANSFERABILITY AND RESALE, MAY NOT BE TRANSFERRED OR RESOLD EXCEPT AS PERMITTED UNDER APPLICABLE FEDERAL, STATE OR FOREIGN SECURITIES LAWS AND MAY NOT BE SOLD OR OTHERWISE TRANSFERRED EXCEPT IN ACCORDANCE WITH THE REQUIREMENTS AND CONDITIONS SET FORTH IN THIS LIMITED PARTNERSHIP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47" w:right="239" w:bottom="1440" w:gutter="0" w:footer="0" w:header="0"/>
        </w:sectPr>
      </w:pPr>
    </w:p>
    <w:bookmarkStart w:id="112" w:name="page113"/>
    <w:bookmarkEnd w:id="112"/>
    <w:tbl>
      <w:tblPr>
        <w:tblLayout w:type="fixed"/>
        <w:tblInd w:w="40" w:type="dxa"/>
        <w:tblCellMar>
          <w:top w:w="0" w:type="dxa"/>
          <w:left w:w="0" w:type="dxa"/>
          <w:bottom w:w="0" w:type="dxa"/>
          <w:right w:w="0" w:type="dxa"/>
        </w:tblCellMar>
      </w:tblPr>
      <w:tr>
        <w:trPr>
          <w:trHeight w:val="281"/>
        </w:trPr>
        <w:tc>
          <w:tcPr>
            <w:tcW w:w="2480" w:type="dxa"/>
            <w:vAlign w:val="bottom"/>
          </w:tcPr>
          <w:p>
            <w:pPr>
              <w:spacing w:after="0"/>
              <w:rPr>
                <w:sz w:val="24"/>
                <w:szCs w:val="24"/>
                <w:color w:val="auto"/>
              </w:rPr>
            </w:pPr>
          </w:p>
        </w:tc>
        <w:tc>
          <w:tcPr>
            <w:tcW w:w="7720" w:type="dxa"/>
            <w:vAlign w:val="bottom"/>
          </w:tcPr>
          <w:p>
            <w:pPr>
              <w:ind w:left="2040"/>
              <w:spacing w:after="0"/>
              <w:rPr>
                <w:sz w:val="20"/>
                <w:szCs w:val="20"/>
                <w:color w:val="auto"/>
              </w:rPr>
            </w:pPr>
            <w:r>
              <w:rPr>
                <w:rFonts w:ascii="Arial" w:cs="Arial" w:eastAsia="Arial" w:hAnsi="Arial"/>
                <w:sz w:val="22"/>
                <w:szCs w:val="22"/>
                <w:b w:val="1"/>
                <w:bCs w:val="1"/>
                <w:color w:val="auto"/>
              </w:rPr>
              <w:t>TABLE OF CONTENTS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8"/>
        </w:trPr>
        <w:tc>
          <w:tcPr>
            <w:tcW w:w="24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520"/>
        </w:trPr>
        <w:tc>
          <w:tcPr>
            <w:tcW w:w="2480" w:type="dxa"/>
            <w:vAlign w:val="bottom"/>
          </w:tcPr>
          <w:p>
            <w:pPr>
              <w:ind w:left="320"/>
              <w:spacing w:after="0"/>
              <w:rPr>
                <w:sz w:val="20"/>
                <w:szCs w:val="20"/>
                <w:color w:val="auto"/>
              </w:rPr>
            </w:pPr>
            <w:r>
              <w:rPr>
                <w:rFonts w:ascii="Arial" w:cs="Arial" w:eastAsia="Arial" w:hAnsi="Arial"/>
                <w:sz w:val="18"/>
                <w:szCs w:val="18"/>
                <w:color w:val="auto"/>
              </w:rPr>
              <w:t>ARTICLE I DEFINITIONS</w:t>
            </w:r>
          </w:p>
        </w:tc>
        <w:tc>
          <w:tcPr>
            <w:tcW w:w="77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500"/>
        </w:trPr>
        <w:tc>
          <w:tcPr>
            <w:tcW w:w="2480" w:type="dxa"/>
            <w:vAlign w:val="bottom"/>
          </w:tcPr>
          <w:p>
            <w:pPr>
              <w:spacing w:after="0"/>
              <w:rPr>
                <w:sz w:val="20"/>
                <w:szCs w:val="20"/>
                <w:color w:val="auto"/>
              </w:rPr>
            </w:pPr>
            <w:r>
              <w:rPr>
                <w:rFonts w:ascii="Arial" w:cs="Arial" w:eastAsia="Arial" w:hAnsi="Arial"/>
                <w:sz w:val="18"/>
                <w:szCs w:val="18"/>
                <w:color w:val="auto"/>
              </w:rPr>
              <w:t>SECTION 1.1</w:t>
            </w:r>
          </w:p>
        </w:tc>
        <w:tc>
          <w:tcPr>
            <w:tcW w:w="77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1.2</w:t>
            </w:r>
          </w:p>
        </w:tc>
        <w:tc>
          <w:tcPr>
            <w:tcW w:w="7720" w:type="dxa"/>
            <w:vAlign w:val="bottom"/>
          </w:tcPr>
          <w:p>
            <w:pPr>
              <w:ind w:left="140"/>
              <w:spacing w:after="0"/>
              <w:rPr>
                <w:sz w:val="20"/>
                <w:szCs w:val="20"/>
                <w:color w:val="auto"/>
              </w:rPr>
            </w:pPr>
            <w:r>
              <w:rPr>
                <w:rFonts w:ascii="Arial" w:cs="Arial" w:eastAsia="Arial" w:hAnsi="Arial"/>
                <w:sz w:val="18"/>
                <w:szCs w:val="18"/>
                <w:color w:val="auto"/>
              </w:rPr>
              <w:t>Terms Generally.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10200" w:type="dxa"/>
            <w:vAlign w:val="bottom"/>
            <w:gridSpan w:val="2"/>
          </w:tcPr>
          <w:p>
            <w:pPr>
              <w:ind w:left="320"/>
              <w:spacing w:after="0"/>
              <w:rPr>
                <w:sz w:val="20"/>
                <w:szCs w:val="20"/>
                <w:color w:val="auto"/>
              </w:rPr>
            </w:pPr>
            <w:r>
              <w:rPr>
                <w:rFonts w:ascii="Arial" w:cs="Arial" w:eastAsia="Arial" w:hAnsi="Arial"/>
                <w:sz w:val="18"/>
                <w:szCs w:val="18"/>
                <w:color w:val="auto"/>
              </w:rPr>
              <w:t>ARTICLE II GENERAL PROVISIONS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2480" w:type="dxa"/>
            <w:vAlign w:val="bottom"/>
          </w:tcPr>
          <w:p>
            <w:pPr>
              <w:spacing w:after="0"/>
              <w:rPr>
                <w:sz w:val="20"/>
                <w:szCs w:val="20"/>
                <w:color w:val="auto"/>
              </w:rPr>
            </w:pPr>
            <w:r>
              <w:rPr>
                <w:rFonts w:ascii="Arial" w:cs="Arial" w:eastAsia="Arial" w:hAnsi="Arial"/>
                <w:sz w:val="18"/>
                <w:szCs w:val="18"/>
                <w:color w:val="auto"/>
              </w:rPr>
              <w:t>SECTION 2.1</w:t>
            </w:r>
          </w:p>
        </w:tc>
        <w:tc>
          <w:tcPr>
            <w:tcW w:w="7720" w:type="dxa"/>
            <w:vAlign w:val="bottom"/>
          </w:tcPr>
          <w:p>
            <w:pPr>
              <w:ind w:left="140"/>
              <w:spacing w:after="0"/>
              <w:rPr>
                <w:sz w:val="20"/>
                <w:szCs w:val="20"/>
                <w:color w:val="auto"/>
              </w:rPr>
            </w:pPr>
            <w:r>
              <w:rPr>
                <w:rFonts w:ascii="Arial" w:cs="Arial" w:eastAsia="Arial" w:hAnsi="Arial"/>
                <w:sz w:val="18"/>
                <w:szCs w:val="18"/>
                <w:color w:val="auto"/>
              </w:rPr>
              <w:t>Formation.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2.2</w:t>
            </w:r>
          </w:p>
        </w:tc>
        <w:tc>
          <w:tcPr>
            <w:tcW w:w="7720" w:type="dxa"/>
            <w:vAlign w:val="bottom"/>
          </w:tcPr>
          <w:p>
            <w:pPr>
              <w:ind w:left="140"/>
              <w:spacing w:after="0"/>
              <w:rPr>
                <w:sz w:val="20"/>
                <w:szCs w:val="20"/>
                <w:color w:val="auto"/>
              </w:rPr>
            </w:pPr>
            <w:r>
              <w:rPr>
                <w:rFonts w:ascii="Arial" w:cs="Arial" w:eastAsia="Arial" w:hAnsi="Arial"/>
                <w:sz w:val="18"/>
                <w:szCs w:val="18"/>
                <w:color w:val="auto"/>
              </w:rPr>
              <w:t>Partners.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2.3</w:t>
            </w:r>
          </w:p>
        </w:tc>
        <w:tc>
          <w:tcPr>
            <w:tcW w:w="7720" w:type="dxa"/>
            <w:vAlign w:val="bottom"/>
          </w:tcPr>
          <w:p>
            <w:pPr>
              <w:ind w:left="140"/>
              <w:spacing w:after="0"/>
              <w:rPr>
                <w:sz w:val="20"/>
                <w:szCs w:val="20"/>
                <w:color w:val="auto"/>
              </w:rPr>
            </w:pPr>
            <w:r>
              <w:rPr>
                <w:rFonts w:ascii="Arial" w:cs="Arial" w:eastAsia="Arial" w:hAnsi="Arial"/>
                <w:sz w:val="18"/>
                <w:szCs w:val="18"/>
                <w:color w:val="auto"/>
              </w:rPr>
              <w:t>Name.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2.4</w:t>
            </w:r>
          </w:p>
        </w:tc>
        <w:tc>
          <w:tcPr>
            <w:tcW w:w="7720" w:type="dxa"/>
            <w:vAlign w:val="bottom"/>
          </w:tcPr>
          <w:p>
            <w:pPr>
              <w:ind w:left="140"/>
              <w:spacing w:after="0"/>
              <w:rPr>
                <w:sz w:val="20"/>
                <w:szCs w:val="20"/>
                <w:color w:val="auto"/>
              </w:rPr>
            </w:pPr>
            <w:r>
              <w:rPr>
                <w:rFonts w:ascii="Arial" w:cs="Arial" w:eastAsia="Arial" w:hAnsi="Arial"/>
                <w:sz w:val="18"/>
                <w:szCs w:val="18"/>
                <w:color w:val="auto"/>
              </w:rPr>
              <w:t>Liability of the Partners Generally.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2.5</w:t>
            </w:r>
          </w:p>
        </w:tc>
        <w:tc>
          <w:tcPr>
            <w:tcW w:w="7720" w:type="dxa"/>
            <w:vAlign w:val="bottom"/>
          </w:tcPr>
          <w:p>
            <w:pPr>
              <w:ind w:left="140"/>
              <w:spacing w:after="0"/>
              <w:rPr>
                <w:sz w:val="20"/>
                <w:szCs w:val="20"/>
                <w:color w:val="auto"/>
              </w:rPr>
            </w:pPr>
            <w:r>
              <w:rPr>
                <w:rFonts w:ascii="Arial" w:cs="Arial" w:eastAsia="Arial" w:hAnsi="Arial"/>
                <w:sz w:val="18"/>
                <w:szCs w:val="18"/>
                <w:color w:val="auto"/>
              </w:rPr>
              <w:t>Term.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2.6</w:t>
            </w:r>
          </w:p>
        </w:tc>
        <w:tc>
          <w:tcPr>
            <w:tcW w:w="7720" w:type="dxa"/>
            <w:vAlign w:val="bottom"/>
          </w:tcPr>
          <w:p>
            <w:pPr>
              <w:ind w:left="140"/>
              <w:spacing w:after="0"/>
              <w:rPr>
                <w:sz w:val="20"/>
                <w:szCs w:val="20"/>
                <w:color w:val="auto"/>
              </w:rPr>
            </w:pPr>
            <w:r>
              <w:rPr>
                <w:rFonts w:ascii="Arial" w:cs="Arial" w:eastAsia="Arial" w:hAnsi="Arial"/>
                <w:sz w:val="18"/>
                <w:szCs w:val="18"/>
                <w:color w:val="auto"/>
              </w:rPr>
              <w:t>Purpose; Powers.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2.7</w:t>
            </w:r>
          </w:p>
        </w:tc>
        <w:tc>
          <w:tcPr>
            <w:tcW w:w="7720" w:type="dxa"/>
            <w:vAlign w:val="bottom"/>
          </w:tcPr>
          <w:p>
            <w:pPr>
              <w:ind w:left="140"/>
              <w:spacing w:after="0"/>
              <w:rPr>
                <w:sz w:val="20"/>
                <w:szCs w:val="20"/>
                <w:color w:val="auto"/>
              </w:rPr>
            </w:pPr>
            <w:r>
              <w:rPr>
                <w:rFonts w:ascii="Arial" w:cs="Arial" w:eastAsia="Arial" w:hAnsi="Arial"/>
                <w:sz w:val="18"/>
                <w:szCs w:val="18"/>
                <w:color w:val="auto"/>
              </w:rPr>
              <w:t>Principal Place of Business.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2.8</w:t>
            </w:r>
          </w:p>
        </w:tc>
        <w:tc>
          <w:tcPr>
            <w:tcW w:w="7720" w:type="dxa"/>
            <w:vAlign w:val="bottom"/>
          </w:tcPr>
          <w:p>
            <w:pPr>
              <w:ind w:left="140"/>
              <w:spacing w:after="0"/>
              <w:rPr>
                <w:sz w:val="20"/>
                <w:szCs w:val="20"/>
                <w:color w:val="auto"/>
              </w:rPr>
            </w:pPr>
            <w:r>
              <w:rPr>
                <w:rFonts w:ascii="Arial" w:cs="Arial" w:eastAsia="Arial" w:hAnsi="Arial"/>
                <w:sz w:val="18"/>
                <w:szCs w:val="18"/>
                <w:color w:val="auto"/>
              </w:rPr>
              <w:t>Office.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2.9</w:t>
            </w:r>
          </w:p>
        </w:tc>
        <w:tc>
          <w:tcPr>
            <w:tcW w:w="7720" w:type="dxa"/>
            <w:vAlign w:val="bottom"/>
          </w:tcPr>
          <w:p>
            <w:pPr>
              <w:ind w:left="140"/>
              <w:spacing w:after="0"/>
              <w:rPr>
                <w:sz w:val="20"/>
                <w:szCs w:val="20"/>
                <w:color w:val="auto"/>
              </w:rPr>
            </w:pPr>
            <w:r>
              <w:rPr>
                <w:rFonts w:ascii="Arial" w:cs="Arial" w:eastAsia="Arial" w:hAnsi="Arial"/>
                <w:sz w:val="18"/>
                <w:szCs w:val="18"/>
                <w:color w:val="auto"/>
              </w:rPr>
              <w:t>Admission of Limited Partners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500"/>
        </w:trPr>
        <w:tc>
          <w:tcPr>
            <w:tcW w:w="10200" w:type="dxa"/>
            <w:vAlign w:val="bottom"/>
            <w:gridSpan w:val="2"/>
          </w:tcPr>
          <w:p>
            <w:pPr>
              <w:ind w:left="320"/>
              <w:spacing w:after="0"/>
              <w:rPr>
                <w:sz w:val="20"/>
                <w:szCs w:val="20"/>
                <w:color w:val="auto"/>
              </w:rPr>
            </w:pPr>
            <w:r>
              <w:rPr>
                <w:rFonts w:ascii="Arial" w:cs="Arial" w:eastAsia="Arial" w:hAnsi="Arial"/>
                <w:sz w:val="18"/>
                <w:szCs w:val="18"/>
                <w:color w:val="auto"/>
              </w:rPr>
              <w:t>ARTICLE III MANAGEMENT AND OPERATION OF THE PARTNERSHIP</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500"/>
        </w:trPr>
        <w:tc>
          <w:tcPr>
            <w:tcW w:w="2480" w:type="dxa"/>
            <w:vAlign w:val="bottom"/>
          </w:tcPr>
          <w:p>
            <w:pPr>
              <w:spacing w:after="0"/>
              <w:rPr>
                <w:sz w:val="20"/>
                <w:szCs w:val="20"/>
                <w:color w:val="auto"/>
              </w:rPr>
            </w:pPr>
            <w:r>
              <w:rPr>
                <w:rFonts w:ascii="Arial" w:cs="Arial" w:eastAsia="Arial" w:hAnsi="Arial"/>
                <w:sz w:val="18"/>
                <w:szCs w:val="18"/>
                <w:color w:val="auto"/>
              </w:rPr>
              <w:t>SECTION 3.1</w:t>
            </w:r>
          </w:p>
        </w:tc>
        <w:tc>
          <w:tcPr>
            <w:tcW w:w="7720" w:type="dxa"/>
            <w:vAlign w:val="bottom"/>
          </w:tcPr>
          <w:p>
            <w:pPr>
              <w:ind w:left="140"/>
              <w:spacing w:after="0"/>
              <w:rPr>
                <w:sz w:val="20"/>
                <w:szCs w:val="20"/>
                <w:color w:val="auto"/>
              </w:rPr>
            </w:pPr>
            <w:r>
              <w:rPr>
                <w:rFonts w:ascii="Arial" w:cs="Arial" w:eastAsia="Arial" w:hAnsi="Arial"/>
                <w:sz w:val="18"/>
                <w:szCs w:val="18"/>
                <w:color w:val="auto"/>
              </w:rPr>
              <w:t>General Partner.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3.2</w:t>
            </w:r>
          </w:p>
        </w:tc>
        <w:tc>
          <w:tcPr>
            <w:tcW w:w="7720" w:type="dxa"/>
            <w:vAlign w:val="bottom"/>
          </w:tcPr>
          <w:p>
            <w:pPr>
              <w:ind w:left="140"/>
              <w:spacing w:after="0"/>
              <w:rPr>
                <w:sz w:val="20"/>
                <w:szCs w:val="20"/>
                <w:color w:val="auto"/>
              </w:rPr>
            </w:pPr>
            <w:r>
              <w:rPr>
                <w:rFonts w:ascii="Arial" w:cs="Arial" w:eastAsia="Arial" w:hAnsi="Arial"/>
                <w:sz w:val="18"/>
                <w:szCs w:val="18"/>
                <w:color w:val="auto"/>
              </w:rPr>
              <w:t>Exculpation and Indemnification.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3.3</w:t>
            </w:r>
          </w:p>
        </w:tc>
        <w:tc>
          <w:tcPr>
            <w:tcW w:w="7720" w:type="dxa"/>
            <w:vAlign w:val="bottom"/>
          </w:tcPr>
          <w:p>
            <w:pPr>
              <w:ind w:left="140"/>
              <w:spacing w:after="0"/>
              <w:rPr>
                <w:sz w:val="20"/>
                <w:szCs w:val="20"/>
                <w:color w:val="auto"/>
              </w:rPr>
            </w:pPr>
            <w:r>
              <w:rPr>
                <w:rFonts w:ascii="Arial" w:cs="Arial" w:eastAsia="Arial" w:hAnsi="Arial"/>
                <w:sz w:val="18"/>
                <w:szCs w:val="18"/>
                <w:color w:val="auto"/>
              </w:rPr>
              <w:t>Officers.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500"/>
        </w:trPr>
        <w:tc>
          <w:tcPr>
            <w:tcW w:w="10200" w:type="dxa"/>
            <w:vAlign w:val="bottom"/>
            <w:gridSpan w:val="2"/>
          </w:tcPr>
          <w:p>
            <w:pPr>
              <w:ind w:left="320"/>
              <w:spacing w:after="0"/>
              <w:rPr>
                <w:sz w:val="20"/>
                <w:szCs w:val="20"/>
                <w:color w:val="auto"/>
              </w:rPr>
            </w:pPr>
            <w:r>
              <w:rPr>
                <w:rFonts w:ascii="Arial" w:cs="Arial" w:eastAsia="Arial" w:hAnsi="Arial"/>
                <w:sz w:val="18"/>
                <w:szCs w:val="18"/>
                <w:color w:val="auto"/>
              </w:rPr>
              <w:t>ARTICLE IV DISTRIBUTIONS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500"/>
        </w:trPr>
        <w:tc>
          <w:tcPr>
            <w:tcW w:w="2480" w:type="dxa"/>
            <w:vAlign w:val="bottom"/>
          </w:tcPr>
          <w:p>
            <w:pPr>
              <w:spacing w:after="0"/>
              <w:rPr>
                <w:sz w:val="20"/>
                <w:szCs w:val="20"/>
                <w:color w:val="auto"/>
              </w:rPr>
            </w:pPr>
            <w:r>
              <w:rPr>
                <w:rFonts w:ascii="Arial" w:cs="Arial" w:eastAsia="Arial" w:hAnsi="Arial"/>
                <w:sz w:val="18"/>
                <w:szCs w:val="18"/>
                <w:color w:val="auto"/>
              </w:rPr>
              <w:t>SECTION 4.1</w:t>
            </w:r>
          </w:p>
        </w:tc>
        <w:tc>
          <w:tcPr>
            <w:tcW w:w="7720" w:type="dxa"/>
            <w:vAlign w:val="bottom"/>
          </w:tcPr>
          <w:p>
            <w:pPr>
              <w:ind w:left="140"/>
              <w:spacing w:after="0"/>
              <w:rPr>
                <w:sz w:val="20"/>
                <w:szCs w:val="20"/>
                <w:color w:val="auto"/>
              </w:rPr>
            </w:pPr>
            <w:r>
              <w:rPr>
                <w:rFonts w:ascii="Arial" w:cs="Arial" w:eastAsia="Arial" w:hAnsi="Arial"/>
                <w:sz w:val="18"/>
                <w:szCs w:val="18"/>
                <w:color w:val="auto"/>
              </w:rPr>
              <w:t>Distributions — General Principles and Definitions.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4.2</w:t>
            </w:r>
          </w:p>
        </w:tc>
        <w:tc>
          <w:tcPr>
            <w:tcW w:w="7720" w:type="dxa"/>
            <w:vAlign w:val="bottom"/>
          </w:tcPr>
          <w:p>
            <w:pPr>
              <w:ind w:left="140"/>
              <w:spacing w:after="0"/>
              <w:rPr>
                <w:sz w:val="20"/>
                <w:szCs w:val="20"/>
                <w:color w:val="auto"/>
              </w:rPr>
            </w:pPr>
            <w:r>
              <w:rPr>
                <w:rFonts w:ascii="Arial" w:cs="Arial" w:eastAsia="Arial" w:hAnsi="Arial"/>
                <w:sz w:val="18"/>
                <w:szCs w:val="18"/>
                <w:color w:val="auto"/>
              </w:rPr>
              <w:t>Amounts and Priority of Distributions.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4.3</w:t>
            </w:r>
          </w:p>
        </w:tc>
        <w:tc>
          <w:tcPr>
            <w:tcW w:w="7720" w:type="dxa"/>
            <w:vAlign w:val="bottom"/>
          </w:tcPr>
          <w:p>
            <w:pPr>
              <w:ind w:left="140"/>
              <w:spacing w:after="0"/>
              <w:rPr>
                <w:sz w:val="20"/>
                <w:szCs w:val="20"/>
                <w:color w:val="auto"/>
              </w:rPr>
            </w:pPr>
            <w:r>
              <w:rPr>
                <w:rFonts w:ascii="Arial" w:cs="Arial" w:eastAsia="Arial" w:hAnsi="Arial"/>
                <w:sz w:val="18"/>
                <w:szCs w:val="18"/>
                <w:color w:val="auto"/>
              </w:rPr>
              <w:t>Certain Adjustments in Profit Sharing Percentages.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56"/>
        </w:trPr>
        <w:tc>
          <w:tcPr>
            <w:tcW w:w="2480" w:type="dxa"/>
            <w:vAlign w:val="bottom"/>
          </w:tcPr>
          <w:p>
            <w:pPr>
              <w:spacing w:after="0"/>
              <w:rPr>
                <w:sz w:val="22"/>
                <w:szCs w:val="22"/>
                <w:color w:val="auto"/>
              </w:rPr>
            </w:pPr>
          </w:p>
        </w:tc>
        <w:tc>
          <w:tcPr>
            <w:tcW w:w="7720" w:type="dxa"/>
            <w:vAlign w:val="bottom"/>
          </w:tcPr>
          <w:p>
            <w:pPr>
              <w:ind w:left="140"/>
              <w:spacing w:after="0"/>
              <w:rPr>
                <w:sz w:val="20"/>
                <w:szCs w:val="20"/>
                <w:color w:val="auto"/>
              </w:rPr>
            </w:pPr>
            <w:r>
              <w:rPr>
                <w:rFonts w:ascii="Arial" w:cs="Arial" w:eastAsia="Arial" w:hAnsi="Arial"/>
                <w:sz w:val="18"/>
                <w:szCs w:val="18"/>
                <w:color w:val="auto"/>
              </w:rPr>
              <w:t>Repurchase Rights Following Termination of Employment and Default with Respect to Capital</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SECTION 4.4</w:t>
            </w:r>
          </w:p>
        </w:tc>
        <w:tc>
          <w:tcPr>
            <w:tcW w:w="772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4.5</w:t>
            </w:r>
          </w:p>
        </w:tc>
        <w:tc>
          <w:tcPr>
            <w:tcW w:w="7720" w:type="dxa"/>
            <w:vAlign w:val="bottom"/>
          </w:tcPr>
          <w:p>
            <w:pPr>
              <w:ind w:left="140"/>
              <w:spacing w:after="0"/>
              <w:rPr>
                <w:sz w:val="20"/>
                <w:szCs w:val="20"/>
                <w:color w:val="auto"/>
              </w:rPr>
            </w:pPr>
            <w:r>
              <w:rPr>
                <w:rFonts w:ascii="Arial" w:cs="Arial" w:eastAsia="Arial" w:hAnsi="Arial"/>
                <w:sz w:val="18"/>
                <w:szCs w:val="18"/>
                <w:color w:val="auto"/>
              </w:rPr>
              <w:t>Holdback Account; Payment of Give-Back Obligation to the Fund.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0200" w:type="dxa"/>
            <w:vAlign w:val="bottom"/>
            <w:gridSpan w:val="2"/>
          </w:tcPr>
          <w:p>
            <w:pPr>
              <w:ind w:left="320"/>
              <w:spacing w:after="0"/>
              <w:rPr>
                <w:sz w:val="20"/>
                <w:szCs w:val="20"/>
                <w:color w:val="auto"/>
              </w:rPr>
            </w:pPr>
            <w:r>
              <w:rPr>
                <w:rFonts w:ascii="Arial" w:cs="Arial" w:eastAsia="Arial" w:hAnsi="Arial"/>
                <w:sz w:val="18"/>
                <w:szCs w:val="18"/>
                <w:color w:val="auto"/>
              </w:rPr>
              <w:t>ARTICLE V CAPITAL CONTRIBUTIONS AND CAPITAL COMMITMENTS; ALLOCATIONS; EXPENSES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2480" w:type="dxa"/>
            <w:vAlign w:val="bottom"/>
          </w:tcPr>
          <w:p>
            <w:pPr>
              <w:spacing w:after="0"/>
              <w:rPr>
                <w:sz w:val="20"/>
                <w:szCs w:val="20"/>
                <w:color w:val="auto"/>
              </w:rPr>
            </w:pPr>
            <w:r>
              <w:rPr>
                <w:rFonts w:ascii="Arial" w:cs="Arial" w:eastAsia="Arial" w:hAnsi="Arial"/>
                <w:sz w:val="18"/>
                <w:szCs w:val="18"/>
                <w:color w:val="auto"/>
              </w:rPr>
              <w:t>SECTION 5.1</w:t>
            </w:r>
          </w:p>
        </w:tc>
        <w:tc>
          <w:tcPr>
            <w:tcW w:w="7720" w:type="dxa"/>
            <w:vAlign w:val="bottom"/>
          </w:tcPr>
          <w:p>
            <w:pPr>
              <w:ind w:left="140"/>
              <w:spacing w:after="0"/>
              <w:rPr>
                <w:sz w:val="20"/>
                <w:szCs w:val="20"/>
                <w:color w:val="auto"/>
              </w:rPr>
            </w:pPr>
            <w:r>
              <w:rPr>
                <w:rFonts w:ascii="Arial" w:cs="Arial" w:eastAsia="Arial" w:hAnsi="Arial"/>
                <w:sz w:val="18"/>
                <w:szCs w:val="18"/>
                <w:color w:val="auto"/>
              </w:rPr>
              <w:t>Capital Contributions.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5.2</w:t>
            </w:r>
          </w:p>
        </w:tc>
        <w:tc>
          <w:tcPr>
            <w:tcW w:w="7720" w:type="dxa"/>
            <w:vAlign w:val="bottom"/>
          </w:tcPr>
          <w:p>
            <w:pPr>
              <w:ind w:left="140"/>
              <w:spacing w:after="0"/>
              <w:rPr>
                <w:sz w:val="20"/>
                <w:szCs w:val="20"/>
                <w:color w:val="auto"/>
              </w:rPr>
            </w:pPr>
            <w:r>
              <w:rPr>
                <w:rFonts w:ascii="Arial" w:cs="Arial" w:eastAsia="Arial" w:hAnsi="Arial"/>
                <w:sz w:val="18"/>
                <w:szCs w:val="18"/>
                <w:color w:val="auto"/>
              </w:rPr>
              <w:t>Capital Accounts.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5.3</w:t>
            </w:r>
          </w:p>
        </w:tc>
        <w:tc>
          <w:tcPr>
            <w:tcW w:w="7720" w:type="dxa"/>
            <w:vAlign w:val="bottom"/>
          </w:tcPr>
          <w:p>
            <w:pPr>
              <w:ind w:left="140"/>
              <w:spacing w:after="0"/>
              <w:rPr>
                <w:sz w:val="20"/>
                <w:szCs w:val="20"/>
                <w:color w:val="auto"/>
              </w:rPr>
            </w:pPr>
            <w:r>
              <w:rPr>
                <w:rFonts w:ascii="Arial" w:cs="Arial" w:eastAsia="Arial" w:hAnsi="Arial"/>
                <w:sz w:val="18"/>
                <w:szCs w:val="18"/>
                <w:color w:val="auto"/>
              </w:rPr>
              <w:t>Allocations of Profits and Losses.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5.4</w:t>
            </w:r>
          </w:p>
        </w:tc>
        <w:tc>
          <w:tcPr>
            <w:tcW w:w="7720" w:type="dxa"/>
            <w:vAlign w:val="bottom"/>
          </w:tcPr>
          <w:p>
            <w:pPr>
              <w:ind w:left="140"/>
              <w:spacing w:after="0"/>
              <w:rPr>
                <w:sz w:val="20"/>
                <w:szCs w:val="20"/>
                <w:color w:val="auto"/>
              </w:rPr>
            </w:pPr>
            <w:r>
              <w:rPr>
                <w:rFonts w:ascii="Arial" w:cs="Arial" w:eastAsia="Arial" w:hAnsi="Arial"/>
                <w:sz w:val="18"/>
                <w:szCs w:val="18"/>
                <w:color w:val="auto"/>
              </w:rPr>
              <w:t>Special Allocations.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5.5</w:t>
            </w:r>
          </w:p>
        </w:tc>
        <w:tc>
          <w:tcPr>
            <w:tcW w:w="7720" w:type="dxa"/>
            <w:vAlign w:val="bottom"/>
          </w:tcPr>
          <w:p>
            <w:pPr>
              <w:ind w:left="140"/>
              <w:spacing w:after="0"/>
              <w:rPr>
                <w:sz w:val="20"/>
                <w:szCs w:val="20"/>
                <w:color w:val="auto"/>
              </w:rPr>
            </w:pPr>
            <w:r>
              <w:rPr>
                <w:rFonts w:ascii="Arial" w:cs="Arial" w:eastAsia="Arial" w:hAnsi="Arial"/>
                <w:sz w:val="18"/>
                <w:szCs w:val="18"/>
                <w:color w:val="auto"/>
              </w:rPr>
              <w:t>Tax Allocations.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5.6</w:t>
            </w:r>
          </w:p>
        </w:tc>
        <w:tc>
          <w:tcPr>
            <w:tcW w:w="7720" w:type="dxa"/>
            <w:vAlign w:val="bottom"/>
          </w:tcPr>
          <w:p>
            <w:pPr>
              <w:ind w:left="140"/>
              <w:spacing w:after="0"/>
              <w:rPr>
                <w:sz w:val="20"/>
                <w:szCs w:val="20"/>
                <w:color w:val="auto"/>
              </w:rPr>
            </w:pPr>
            <w:r>
              <w:rPr>
                <w:rFonts w:ascii="Arial" w:cs="Arial" w:eastAsia="Arial" w:hAnsi="Arial"/>
                <w:sz w:val="18"/>
                <w:szCs w:val="18"/>
                <w:color w:val="auto"/>
              </w:rPr>
              <w:t>Tax Advances.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SECTION 5.7</w:t>
            </w:r>
          </w:p>
        </w:tc>
        <w:tc>
          <w:tcPr>
            <w:tcW w:w="772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320"/>
          </w:cols>
          <w:pgMar w:left="240" w:top="841" w:right="339" w:bottom="1440" w:gutter="0" w:footer="0" w:header="0"/>
        </w:sectPr>
      </w:pPr>
    </w:p>
    <w:bookmarkStart w:id="113" w:name="page114"/>
    <w:bookmarkEnd w:id="113"/>
    <w:p>
      <w:pPr>
        <w:ind w:left="48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40" w:type="dxa"/>
            <w:vAlign w:val="bottom"/>
            <w:gridSpan w:val="2"/>
          </w:tcPr>
          <w:p>
            <w:pPr>
              <w:ind w:left="320"/>
              <w:spacing w:after="0"/>
              <w:rPr>
                <w:sz w:val="20"/>
                <w:szCs w:val="20"/>
                <w:color w:val="auto"/>
              </w:rPr>
            </w:pPr>
            <w:r>
              <w:rPr>
                <w:rFonts w:ascii="Arial" w:cs="Arial" w:eastAsia="Arial" w:hAnsi="Arial"/>
                <w:sz w:val="18"/>
                <w:szCs w:val="18"/>
                <w:color w:val="auto"/>
              </w:rPr>
              <w:t>ARTICLE VI BOOKS AND REPORTS; TAX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SECTION 6.1</w:t>
            </w:r>
          </w:p>
        </w:tc>
        <w:tc>
          <w:tcPr>
            <w:tcW w:w="6620" w:type="dxa"/>
            <w:vAlign w:val="bottom"/>
          </w:tcPr>
          <w:p>
            <w:pPr>
              <w:spacing w:after="0"/>
              <w:rPr>
                <w:sz w:val="20"/>
                <w:szCs w:val="20"/>
                <w:color w:val="auto"/>
              </w:rPr>
            </w:pPr>
            <w:r>
              <w:rPr>
                <w:rFonts w:ascii="Arial" w:cs="Arial" w:eastAsia="Arial" w:hAnsi="Arial"/>
                <w:sz w:val="18"/>
                <w:szCs w:val="18"/>
                <w:color w:val="auto"/>
              </w:rPr>
              <w:t>General Accounting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6.2</w:t>
            </w:r>
          </w:p>
        </w:tc>
        <w:tc>
          <w:tcPr>
            <w:tcW w:w="6620" w:type="dxa"/>
            <w:vAlign w:val="bottom"/>
          </w:tcPr>
          <w:p>
            <w:pPr>
              <w:spacing w:after="0"/>
              <w:rPr>
                <w:sz w:val="20"/>
                <w:szCs w:val="20"/>
                <w:color w:val="auto"/>
              </w:rPr>
            </w:pPr>
            <w:r>
              <w:rPr>
                <w:rFonts w:ascii="Arial" w:cs="Arial" w:eastAsia="Arial" w:hAnsi="Arial"/>
                <w:sz w:val="18"/>
                <w:szCs w:val="18"/>
                <w:color w:val="auto"/>
              </w:rPr>
              <w:t>Fiscal Year.</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6.3</w:t>
            </w:r>
          </w:p>
        </w:tc>
        <w:tc>
          <w:tcPr>
            <w:tcW w:w="6620" w:type="dxa"/>
            <w:vAlign w:val="bottom"/>
          </w:tcPr>
          <w:p>
            <w:pPr>
              <w:spacing w:after="0"/>
              <w:rPr>
                <w:sz w:val="20"/>
                <w:szCs w:val="20"/>
                <w:color w:val="auto"/>
              </w:rPr>
            </w:pPr>
            <w:r>
              <w:rPr>
                <w:rFonts w:ascii="Arial" w:cs="Arial" w:eastAsia="Arial" w:hAnsi="Arial"/>
                <w:sz w:val="18"/>
                <w:szCs w:val="18"/>
                <w:color w:val="auto"/>
              </w:rPr>
              <w:t>Certain Tax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00"/>
        </w:trPr>
        <w:tc>
          <w:tcPr>
            <w:tcW w:w="2620" w:type="dxa"/>
            <w:vAlign w:val="bottom"/>
          </w:tcPr>
          <w:p>
            <w:pPr>
              <w:ind w:left="320"/>
              <w:spacing w:after="0"/>
              <w:rPr>
                <w:sz w:val="20"/>
                <w:szCs w:val="20"/>
                <w:color w:val="auto"/>
              </w:rPr>
            </w:pPr>
            <w:r>
              <w:rPr>
                <w:rFonts w:ascii="Arial" w:cs="Arial" w:eastAsia="Arial" w:hAnsi="Arial"/>
                <w:sz w:val="18"/>
                <w:szCs w:val="18"/>
                <w:color w:val="auto"/>
                <w:w w:val="99"/>
              </w:rPr>
              <w:t>ARTICLE VII DISSOLUTION</w:t>
            </w:r>
          </w:p>
        </w:tc>
        <w:tc>
          <w:tcPr>
            <w:tcW w:w="66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SECTION 7.1</w:t>
            </w:r>
          </w:p>
        </w:tc>
        <w:tc>
          <w:tcPr>
            <w:tcW w:w="6620" w:type="dxa"/>
            <w:vAlign w:val="bottom"/>
          </w:tcPr>
          <w:p>
            <w:pPr>
              <w:spacing w:after="0"/>
              <w:rPr>
                <w:sz w:val="20"/>
                <w:szCs w:val="20"/>
                <w:color w:val="auto"/>
              </w:rPr>
            </w:pPr>
            <w:r>
              <w:rPr>
                <w:rFonts w:ascii="Arial" w:cs="Arial" w:eastAsia="Arial" w:hAnsi="Arial"/>
                <w:sz w:val="18"/>
                <w:szCs w:val="18"/>
                <w:color w:val="auto"/>
              </w:rPr>
              <w:t>Dissolution.</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7.2</w:t>
            </w:r>
          </w:p>
        </w:tc>
        <w:tc>
          <w:tcPr>
            <w:tcW w:w="6620" w:type="dxa"/>
            <w:vAlign w:val="bottom"/>
          </w:tcPr>
          <w:p>
            <w:pPr>
              <w:spacing w:after="0"/>
              <w:rPr>
                <w:sz w:val="20"/>
                <w:szCs w:val="20"/>
                <w:color w:val="auto"/>
              </w:rPr>
            </w:pPr>
            <w:r>
              <w:rPr>
                <w:rFonts w:ascii="Arial" w:cs="Arial" w:eastAsia="Arial" w:hAnsi="Arial"/>
                <w:sz w:val="18"/>
                <w:szCs w:val="18"/>
                <w:color w:val="auto"/>
              </w:rPr>
              <w:t>Winding-up.</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7.3</w:t>
            </w:r>
          </w:p>
        </w:tc>
        <w:tc>
          <w:tcPr>
            <w:tcW w:w="6620" w:type="dxa"/>
            <w:vAlign w:val="bottom"/>
          </w:tcPr>
          <w:p>
            <w:pPr>
              <w:spacing w:after="0"/>
              <w:rPr>
                <w:sz w:val="20"/>
                <w:szCs w:val="20"/>
                <w:color w:val="auto"/>
              </w:rPr>
            </w:pPr>
            <w:r>
              <w:rPr>
                <w:rFonts w:ascii="Arial" w:cs="Arial" w:eastAsia="Arial" w:hAnsi="Arial"/>
                <w:sz w:val="18"/>
                <w:szCs w:val="18"/>
                <w:color w:val="auto"/>
              </w:rPr>
              <w:t>Final Distribution.</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7.4</w:t>
            </w:r>
          </w:p>
        </w:tc>
        <w:tc>
          <w:tcPr>
            <w:tcW w:w="6620" w:type="dxa"/>
            <w:vAlign w:val="bottom"/>
          </w:tcPr>
          <w:p>
            <w:pPr>
              <w:spacing w:after="0"/>
              <w:rPr>
                <w:sz w:val="20"/>
                <w:szCs w:val="20"/>
                <w:color w:val="auto"/>
              </w:rPr>
            </w:pPr>
            <w:r>
              <w:rPr>
                <w:rFonts w:ascii="Arial" w:cs="Arial" w:eastAsia="Arial" w:hAnsi="Arial"/>
                <w:sz w:val="18"/>
                <w:szCs w:val="18"/>
                <w:color w:val="auto"/>
              </w:rPr>
              <w:t>No Obligation to Restore Capital Accounts.</w:t>
            </w:r>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500"/>
        </w:trPr>
        <w:tc>
          <w:tcPr>
            <w:tcW w:w="9240" w:type="dxa"/>
            <w:vAlign w:val="bottom"/>
            <w:gridSpan w:val="2"/>
          </w:tcPr>
          <w:p>
            <w:pPr>
              <w:ind w:left="320"/>
              <w:spacing w:after="0"/>
              <w:rPr>
                <w:sz w:val="20"/>
                <w:szCs w:val="20"/>
                <w:color w:val="auto"/>
              </w:rPr>
            </w:pPr>
            <w:r>
              <w:rPr>
                <w:rFonts w:ascii="Arial" w:cs="Arial" w:eastAsia="Arial" w:hAnsi="Arial"/>
                <w:sz w:val="18"/>
                <w:szCs w:val="18"/>
                <w:color w:val="auto"/>
              </w:rPr>
              <w:t>ARTICLE VIII TRANSFER OF PARTNERS' INTERESTS</w:t>
            </w:r>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SECTION 8.1</w:t>
            </w:r>
          </w:p>
        </w:tc>
        <w:tc>
          <w:tcPr>
            <w:tcW w:w="6620" w:type="dxa"/>
            <w:vAlign w:val="bottom"/>
          </w:tcPr>
          <w:p>
            <w:pPr>
              <w:spacing w:after="0"/>
              <w:rPr>
                <w:sz w:val="20"/>
                <w:szCs w:val="20"/>
                <w:color w:val="auto"/>
              </w:rPr>
            </w:pPr>
            <w:r>
              <w:rPr>
                <w:rFonts w:ascii="Arial" w:cs="Arial" w:eastAsia="Arial" w:hAnsi="Arial"/>
                <w:sz w:val="18"/>
                <w:szCs w:val="18"/>
                <w:color w:val="auto"/>
              </w:rPr>
              <w:t>Transfer of Partnership Interests.</w:t>
            </w:r>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500"/>
        </w:trPr>
        <w:tc>
          <w:tcPr>
            <w:tcW w:w="9240" w:type="dxa"/>
            <w:vAlign w:val="bottom"/>
            <w:gridSpan w:val="2"/>
          </w:tcPr>
          <w:p>
            <w:pPr>
              <w:ind w:left="320"/>
              <w:spacing w:after="0"/>
              <w:rPr>
                <w:sz w:val="20"/>
                <w:szCs w:val="20"/>
                <w:color w:val="auto"/>
              </w:rPr>
            </w:pPr>
            <w:r>
              <w:rPr>
                <w:rFonts w:ascii="Arial" w:cs="Arial" w:eastAsia="Arial" w:hAnsi="Arial"/>
                <w:sz w:val="18"/>
                <w:szCs w:val="18"/>
                <w:color w:val="auto"/>
              </w:rPr>
              <w:t>ARTICLE IX ADDITIONAL PARTNERS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SECTION 9.1</w:t>
            </w:r>
          </w:p>
        </w:tc>
        <w:tc>
          <w:tcPr>
            <w:tcW w:w="6620" w:type="dxa"/>
            <w:vAlign w:val="bottom"/>
          </w:tcPr>
          <w:p>
            <w:pPr>
              <w:spacing w:after="0"/>
              <w:rPr>
                <w:sz w:val="20"/>
                <w:szCs w:val="20"/>
                <w:color w:val="auto"/>
              </w:rPr>
            </w:pPr>
            <w:r>
              <w:rPr>
                <w:rFonts w:ascii="Arial" w:cs="Arial" w:eastAsia="Arial" w:hAnsi="Arial"/>
                <w:sz w:val="18"/>
                <w:szCs w:val="18"/>
                <w:color w:val="auto"/>
              </w:rPr>
              <w:t>Admission of Additional Partners.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00"/>
        </w:trPr>
        <w:tc>
          <w:tcPr>
            <w:tcW w:w="9240" w:type="dxa"/>
            <w:vAlign w:val="bottom"/>
            <w:gridSpan w:val="2"/>
          </w:tcPr>
          <w:p>
            <w:pPr>
              <w:ind w:left="320"/>
              <w:spacing w:after="0"/>
              <w:rPr>
                <w:sz w:val="20"/>
                <w:szCs w:val="20"/>
                <w:color w:val="auto"/>
              </w:rPr>
            </w:pPr>
            <w:r>
              <w:rPr>
                <w:rFonts w:ascii="Arial" w:cs="Arial" w:eastAsia="Arial" w:hAnsi="Arial"/>
                <w:sz w:val="18"/>
                <w:szCs w:val="18"/>
                <w:color w:val="auto"/>
              </w:rPr>
              <w:t>ARTICLE X MISCELLANEOUS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SECTION 10.1</w:t>
            </w:r>
          </w:p>
        </w:tc>
        <w:tc>
          <w:tcPr>
            <w:tcW w:w="6620" w:type="dxa"/>
            <w:vAlign w:val="bottom"/>
          </w:tcPr>
          <w:p>
            <w:pPr>
              <w:spacing w:after="0"/>
              <w:rPr>
                <w:sz w:val="20"/>
                <w:szCs w:val="20"/>
                <w:color w:val="auto"/>
              </w:rPr>
            </w:pPr>
            <w:r>
              <w:rPr>
                <w:rFonts w:ascii="Arial" w:cs="Arial" w:eastAsia="Arial" w:hAnsi="Arial"/>
                <w:sz w:val="18"/>
                <w:szCs w:val="18"/>
                <w:color w:val="auto"/>
              </w:rPr>
              <w:t>Arbitration; Waiver of Partition/Action for Accounting.</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10.2</w:t>
            </w:r>
          </w:p>
        </w:tc>
        <w:tc>
          <w:tcPr>
            <w:tcW w:w="6620" w:type="dxa"/>
            <w:vAlign w:val="bottom"/>
          </w:tcPr>
          <w:p>
            <w:pPr>
              <w:spacing w:after="0"/>
              <w:rPr>
                <w:sz w:val="20"/>
                <w:szCs w:val="20"/>
                <w:color w:val="auto"/>
              </w:rPr>
            </w:pPr>
            <w:r>
              <w:rPr>
                <w:rFonts w:ascii="Arial" w:cs="Arial" w:eastAsia="Arial" w:hAnsi="Arial"/>
                <w:sz w:val="18"/>
                <w:szCs w:val="18"/>
                <w:color w:val="auto"/>
              </w:rPr>
              <w:t>Successors and Assigns.</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10.3</w:t>
            </w:r>
          </w:p>
        </w:tc>
        <w:tc>
          <w:tcPr>
            <w:tcW w:w="6620" w:type="dxa"/>
            <w:vAlign w:val="bottom"/>
          </w:tcPr>
          <w:p>
            <w:pPr>
              <w:spacing w:after="0"/>
              <w:rPr>
                <w:sz w:val="20"/>
                <w:szCs w:val="20"/>
                <w:color w:val="auto"/>
              </w:rPr>
            </w:pPr>
            <w:r>
              <w:rPr>
                <w:rFonts w:ascii="Arial" w:cs="Arial" w:eastAsia="Arial" w:hAnsi="Arial"/>
                <w:sz w:val="18"/>
                <w:szCs w:val="18"/>
                <w:color w:val="auto"/>
              </w:rPr>
              <w:t>Other Covenants of the Partners.</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10.4</w:t>
            </w:r>
          </w:p>
        </w:tc>
        <w:tc>
          <w:tcPr>
            <w:tcW w:w="6620" w:type="dxa"/>
            <w:vAlign w:val="bottom"/>
          </w:tcPr>
          <w:p>
            <w:pPr>
              <w:spacing w:after="0"/>
              <w:rPr>
                <w:sz w:val="20"/>
                <w:szCs w:val="20"/>
                <w:color w:val="auto"/>
              </w:rPr>
            </w:pPr>
            <w:r>
              <w:rPr>
                <w:rFonts w:ascii="Arial" w:cs="Arial" w:eastAsia="Arial" w:hAnsi="Arial"/>
                <w:sz w:val="18"/>
                <w:szCs w:val="18"/>
                <w:color w:val="auto"/>
              </w:rPr>
              <w:t>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10.5</w:t>
            </w:r>
          </w:p>
        </w:tc>
        <w:tc>
          <w:tcPr>
            <w:tcW w:w="6620" w:type="dxa"/>
            <w:vAlign w:val="bottom"/>
          </w:tcPr>
          <w:p>
            <w:pPr>
              <w:spacing w:after="0"/>
              <w:rPr>
                <w:sz w:val="20"/>
                <w:szCs w:val="20"/>
                <w:color w:val="auto"/>
              </w:rPr>
            </w:pPr>
            <w:r>
              <w:rPr>
                <w:rFonts w:ascii="Arial" w:cs="Arial" w:eastAsia="Arial" w:hAnsi="Arial"/>
                <w:sz w:val="18"/>
                <w:szCs w:val="18"/>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10.6</w:t>
            </w:r>
          </w:p>
        </w:tc>
        <w:tc>
          <w:tcPr>
            <w:tcW w:w="6620" w:type="dxa"/>
            <w:vAlign w:val="bottom"/>
          </w:tcPr>
          <w:p>
            <w:pPr>
              <w:spacing w:after="0"/>
              <w:rPr>
                <w:sz w:val="20"/>
                <w:szCs w:val="20"/>
                <w:color w:val="auto"/>
              </w:rPr>
            </w:pPr>
            <w:r>
              <w:rPr>
                <w:rFonts w:ascii="Arial" w:cs="Arial" w:eastAsia="Arial" w:hAnsi="Arial"/>
                <w:sz w:val="18"/>
                <w:szCs w:val="18"/>
                <w:color w:val="auto"/>
              </w:rPr>
              <w:t>Entire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10.7</w:t>
            </w:r>
          </w:p>
        </w:tc>
        <w:tc>
          <w:tcPr>
            <w:tcW w:w="6620" w:type="dxa"/>
            <w:vAlign w:val="bottom"/>
          </w:tcPr>
          <w:p>
            <w:pPr>
              <w:spacing w:after="0"/>
              <w:rPr>
                <w:sz w:val="20"/>
                <w:szCs w:val="20"/>
                <w:color w:val="auto"/>
              </w:rPr>
            </w:pPr>
            <w:r>
              <w:rPr>
                <w:rFonts w:ascii="Arial" w:cs="Arial" w:eastAsia="Arial" w:hAnsi="Arial"/>
                <w:sz w:val="18"/>
                <w:szCs w:val="18"/>
                <w:color w:val="auto"/>
              </w:rPr>
              <w:t>Amendments; Power of Attorney.</w:t>
            </w:r>
          </w:p>
        </w:tc>
        <w:tc>
          <w:tcPr>
            <w:tcW w:w="2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10.8</w:t>
            </w:r>
          </w:p>
        </w:tc>
        <w:tc>
          <w:tcPr>
            <w:tcW w:w="6620" w:type="dxa"/>
            <w:vAlign w:val="bottom"/>
          </w:tcPr>
          <w:p>
            <w:pPr>
              <w:spacing w:after="0"/>
              <w:rPr>
                <w:sz w:val="20"/>
                <w:szCs w:val="20"/>
                <w:color w:val="auto"/>
              </w:rPr>
            </w:pPr>
            <w:r>
              <w:rPr>
                <w:rFonts w:ascii="Arial" w:cs="Arial" w:eastAsia="Arial" w:hAnsi="Arial"/>
                <w:sz w:val="18"/>
                <w:szCs w:val="18"/>
                <w:color w:val="auto"/>
              </w:rPr>
              <w:t>Headings.</w:t>
            </w:r>
          </w:p>
        </w:tc>
        <w:tc>
          <w:tcPr>
            <w:tcW w:w="2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10.9</w:t>
            </w:r>
          </w:p>
        </w:tc>
        <w:tc>
          <w:tcPr>
            <w:tcW w:w="662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10.10</w:t>
            </w:r>
          </w:p>
        </w:tc>
        <w:tc>
          <w:tcPr>
            <w:tcW w:w="6620" w:type="dxa"/>
            <w:vAlign w:val="bottom"/>
          </w:tcPr>
          <w:p>
            <w:pPr>
              <w:spacing w:after="0"/>
              <w:rPr>
                <w:sz w:val="20"/>
                <w:szCs w:val="20"/>
                <w:color w:val="auto"/>
              </w:rPr>
            </w:pPr>
            <w:r>
              <w:rPr>
                <w:rFonts w:ascii="Arial" w:cs="Arial" w:eastAsia="Arial" w:hAnsi="Arial"/>
                <w:sz w:val="18"/>
                <w:szCs w:val="18"/>
                <w:color w:val="auto"/>
              </w:rPr>
              <w:t>Division of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10.11</w:t>
            </w:r>
          </w:p>
        </w:tc>
        <w:tc>
          <w:tcPr>
            <w:tcW w:w="6620" w:type="dxa"/>
            <w:vAlign w:val="bottom"/>
          </w:tcPr>
          <w:p>
            <w:pPr>
              <w:spacing w:after="0"/>
              <w:rPr>
                <w:sz w:val="20"/>
                <w:szCs w:val="20"/>
                <w:color w:val="auto"/>
              </w:rPr>
            </w:pPr>
            <w:r>
              <w:rPr>
                <w:rFonts w:ascii="Arial" w:cs="Arial" w:eastAsia="Arial" w:hAnsi="Arial"/>
                <w:sz w:val="18"/>
                <w:szCs w:val="18"/>
                <w:color w:val="auto"/>
              </w:rPr>
              <w:t>Other Covenants of the Partners.</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10.12</w:t>
            </w:r>
          </w:p>
        </w:tc>
        <w:tc>
          <w:tcPr>
            <w:tcW w:w="6620" w:type="dxa"/>
            <w:vAlign w:val="bottom"/>
          </w:tcPr>
          <w:p>
            <w:pPr>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10.13</w:t>
            </w:r>
          </w:p>
        </w:tc>
        <w:tc>
          <w:tcPr>
            <w:tcW w:w="6620" w:type="dxa"/>
            <w:vAlign w:val="bottom"/>
          </w:tcPr>
          <w:p>
            <w:pPr>
              <w:spacing w:after="0"/>
              <w:rPr>
                <w:sz w:val="20"/>
                <w:szCs w:val="20"/>
                <w:color w:val="auto"/>
              </w:rPr>
            </w:pPr>
            <w:r>
              <w:rPr>
                <w:rFonts w:ascii="Arial" w:cs="Arial" w:eastAsia="Arial" w:hAnsi="Arial"/>
                <w:sz w:val="18"/>
                <w:szCs w:val="18"/>
                <w:color w:val="auto"/>
              </w:rPr>
              <w:t>Irreparable Harm.</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10.14</w:t>
            </w:r>
          </w:p>
        </w:tc>
        <w:tc>
          <w:tcPr>
            <w:tcW w:w="6620" w:type="dxa"/>
            <w:vAlign w:val="bottom"/>
          </w:tcPr>
          <w:p>
            <w:pPr>
              <w:spacing w:after="0"/>
              <w:rPr>
                <w:sz w:val="20"/>
                <w:szCs w:val="20"/>
                <w:color w:val="auto"/>
              </w:rPr>
            </w:pPr>
            <w:r>
              <w:rPr>
                <w:rFonts w:ascii="Arial" w:cs="Arial" w:eastAsia="Arial" w:hAnsi="Arial"/>
                <w:sz w:val="18"/>
                <w:szCs w:val="18"/>
                <w:color w:val="auto"/>
              </w:rPr>
              <w:t>Partnership Tax Treatment.</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10.15</w:t>
            </w:r>
          </w:p>
        </w:tc>
        <w:tc>
          <w:tcPr>
            <w:tcW w:w="6620" w:type="dxa"/>
            <w:vAlign w:val="bottom"/>
          </w:tcPr>
          <w:p>
            <w:pPr>
              <w:spacing w:after="0"/>
              <w:rPr>
                <w:sz w:val="20"/>
                <w:szCs w:val="20"/>
                <w:color w:val="auto"/>
              </w:rPr>
            </w:pPr>
            <w:r>
              <w:rPr>
                <w:rFonts w:ascii="Arial" w:cs="Arial" w:eastAsia="Arial" w:hAnsi="Arial"/>
                <w:sz w:val="18"/>
                <w:szCs w:val="18"/>
                <w:color w:val="auto"/>
              </w:rPr>
              <w:t>Joint and Several Liability of EPI Limited Partners and Family.</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10.16</w:t>
            </w:r>
          </w:p>
        </w:tc>
        <w:tc>
          <w:tcPr>
            <w:tcW w:w="6620" w:type="dxa"/>
            <w:vAlign w:val="bottom"/>
          </w:tcPr>
          <w:p>
            <w:pPr>
              <w:spacing w:after="0"/>
              <w:rPr>
                <w:sz w:val="20"/>
                <w:szCs w:val="20"/>
                <w:color w:val="auto"/>
              </w:rPr>
            </w:pPr>
            <w:r>
              <w:rPr>
                <w:rFonts w:ascii="Arial" w:cs="Arial" w:eastAsia="Arial" w:hAnsi="Arial"/>
                <w:sz w:val="18"/>
                <w:szCs w:val="18"/>
                <w:color w:val="auto"/>
              </w:rPr>
              <w:t>Consistent Treatment for Family Related Limited Partners.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SECTION 10.17</w:t>
            </w:r>
          </w:p>
        </w:tc>
        <w:tc>
          <w:tcPr>
            <w:tcW w:w="6620" w:type="dxa"/>
            <w:vAlign w:val="bottom"/>
          </w:tcPr>
          <w:p>
            <w:pPr>
              <w:spacing w:after="0"/>
              <w:rPr>
                <w:sz w:val="20"/>
                <w:szCs w:val="20"/>
                <w:color w:val="auto"/>
              </w:rPr>
            </w:pPr>
            <w:r>
              <w:rPr>
                <w:rFonts w:ascii="Arial" w:cs="Arial" w:eastAsia="Arial" w:hAnsi="Arial"/>
                <w:sz w:val="18"/>
                <w:szCs w:val="18"/>
                <w:color w:val="auto"/>
              </w:rPr>
              <w:t>No Third-Party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Annex A</w:t>
            </w:r>
          </w:p>
        </w:tc>
        <w:tc>
          <w:tcPr>
            <w:tcW w:w="6620" w:type="dxa"/>
            <w:vAlign w:val="bottom"/>
          </w:tcPr>
          <w:p>
            <w:pPr>
              <w:spacing w:after="0"/>
              <w:rPr>
                <w:sz w:val="20"/>
                <w:szCs w:val="20"/>
                <w:color w:val="auto"/>
              </w:rPr>
            </w:pPr>
            <w:r>
              <w:rPr>
                <w:rFonts w:ascii="Arial" w:cs="Arial" w:eastAsia="Arial" w:hAnsi="Arial"/>
                <w:sz w:val="18"/>
                <w:szCs w:val="18"/>
                <w:color w:val="auto"/>
              </w:rPr>
              <w:t>Names of General Partner and Limited Partners of the Partnership</w:t>
            </w: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20"/>
          </w:cols>
          <w:pgMar w:left="240" w:top="558"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101306536.9</w:t>
      </w:r>
    </w:p>
    <w:p>
      <w:pPr>
        <w:sectPr>
          <w:pgSz w:w="11900" w:h="16838" w:orient="portrait"/>
          <w:cols w:equalWidth="0" w:num="1">
            <w:col w:w="11320"/>
          </w:cols>
          <w:pgMar w:left="240" w:top="558" w:right="339" w:bottom="1440" w:gutter="0" w:footer="0" w:header="0"/>
          <w:type w:val="continuous"/>
        </w:sectPr>
      </w:pPr>
    </w:p>
    <w:bookmarkStart w:id="114" w:name="page115"/>
    <w:bookmarkEnd w:id="114"/>
    <w:p>
      <w:pPr>
        <w:jc w:val="both"/>
        <w:ind w:firstLine="1297"/>
        <w:spacing w:after="0" w:line="261" w:lineRule="auto"/>
        <w:rPr>
          <w:sz w:val="20"/>
          <w:szCs w:val="20"/>
          <w:color w:val="auto"/>
        </w:rPr>
      </w:pPr>
      <w:r>
        <w:rPr>
          <w:rFonts w:ascii="Arial" w:cs="Arial" w:eastAsia="Arial" w:hAnsi="Arial"/>
          <w:sz w:val="20"/>
          <w:szCs w:val="20"/>
          <w:color w:val="auto"/>
        </w:rPr>
        <w:t>This SECOND AMENDED AND RESTATED LIMITED PARTNERSHIP AGREEMENT of EVERCORE MEXICO PARTNERS III, L.P., a limited partnership organized under the laws of the Province of Ontario, Canada (the “</w:t>
      </w:r>
      <w:r>
        <w:rPr>
          <w:rFonts w:ascii="Arial" w:cs="Arial" w:eastAsia="Arial" w:hAnsi="Arial"/>
          <w:sz w:val="20"/>
          <w:szCs w:val="20"/>
          <w:u w:val="single" w:color="auto"/>
          <w:color w:val="auto"/>
        </w:rPr>
        <w:t>Partnership</w:t>
      </w:r>
      <w:r>
        <w:rPr>
          <w:rFonts w:ascii="Arial" w:cs="Arial" w:eastAsia="Arial" w:hAnsi="Arial"/>
          <w:sz w:val="20"/>
          <w:szCs w:val="20"/>
          <w:color w:val="auto"/>
        </w:rPr>
        <w:t>”), dated as of June 4, 2013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entered into by and among Evercore Mexico GP Holdings LLC, a Delaware limited liability company (the “</w:t>
      </w:r>
      <w:r>
        <w:rPr>
          <w:rFonts w:ascii="Arial" w:cs="Arial" w:eastAsia="Arial" w:hAnsi="Arial"/>
          <w:sz w:val="20"/>
          <w:szCs w:val="20"/>
          <w:u w:val="single" w:color="auto"/>
          <w:color w:val="auto"/>
        </w:rPr>
        <w:t>General Partner</w:t>
      </w:r>
      <w:r>
        <w:rPr>
          <w:rFonts w:ascii="Arial" w:cs="Arial" w:eastAsia="Arial" w:hAnsi="Arial"/>
          <w:sz w:val="20"/>
          <w:szCs w:val="20"/>
          <w:color w:val="auto"/>
        </w:rPr>
        <w:t>”), Evercore Mexico Management Limited, a Cayman Islands exempted limited company acting as the investment manager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the limited partners named in Annex A hereto and such other parties which may from time to time be admitted as limited partners in accordance with this agreement (the “</w:t>
      </w:r>
      <w:r>
        <w:rPr>
          <w:rFonts w:ascii="Arial" w:cs="Arial" w:eastAsia="Arial" w:hAnsi="Arial"/>
          <w:sz w:val="20"/>
          <w:szCs w:val="20"/>
          <w:u w:val="single" w:color="auto"/>
          <w:color w:val="auto"/>
        </w:rPr>
        <w:t>Limited Partners</w:t>
      </w:r>
      <w:r>
        <w:rPr>
          <w:rFonts w:ascii="Arial" w:cs="Arial" w:eastAsia="Arial" w:hAnsi="Arial"/>
          <w:sz w:val="20"/>
          <w:szCs w:val="20"/>
          <w:color w:val="auto"/>
        </w:rPr>
        <w:t>”).</w:t>
      </w:r>
    </w:p>
    <w:p>
      <w:pPr>
        <w:spacing w:after="0" w:line="17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WHEREAS, the Partnership was formed pursuant to a Declaration of Limited Partnership, which was executed by the General Partner and filed for recordation in the office of the Registrar under the </w:t>
      </w:r>
      <w:r>
        <w:rPr>
          <w:rFonts w:ascii="Arial" w:cs="Arial" w:eastAsia="Arial" w:hAnsi="Arial"/>
          <w:sz w:val="21"/>
          <w:szCs w:val="21"/>
          <w:i w:val="1"/>
          <w:iCs w:val="1"/>
          <w:color w:val="auto"/>
        </w:rPr>
        <w:t>Limited Partnerships Act</w:t>
      </w:r>
      <w:r>
        <w:rPr>
          <w:rFonts w:ascii="Arial" w:cs="Arial" w:eastAsia="Arial" w:hAnsi="Arial"/>
          <w:sz w:val="21"/>
          <w:szCs w:val="21"/>
          <w:color w:val="auto"/>
        </w:rPr>
        <w:t xml:space="preserve"> (Ontario) on March 29, 2012 and the entering into a Limited Partnership Agreement dated as of March 29, 2012 between the General Partner and Jason Klurfeld, which agreement was replaced in its entirety with the Amended and Restated Limited Partnership Agreement, dated as of June 4, 2012 (the “</w:t>
      </w:r>
      <w:r>
        <w:rPr>
          <w:rFonts w:ascii="Arial" w:cs="Arial" w:eastAsia="Arial" w:hAnsi="Arial"/>
          <w:sz w:val="21"/>
          <w:szCs w:val="21"/>
          <w:u w:val="single" w:color="auto"/>
          <w:color w:val="auto"/>
        </w:rPr>
        <w:t>First Amended Agreement</w:t>
      </w:r>
      <w:r>
        <w:rPr>
          <w:rFonts w:ascii="Arial" w:cs="Arial" w:eastAsia="Arial" w:hAnsi="Arial"/>
          <w:sz w:val="21"/>
          <w:szCs w:val="21"/>
          <w:color w:val="auto"/>
        </w:rPr>
        <w:t>”); and</w:t>
      </w:r>
    </w:p>
    <w:p>
      <w:pPr>
        <w:spacing w:after="0" w:line="18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color w:val="auto"/>
        </w:rPr>
        <w:t>WHEREAS, the parties hereto desire to amend and restate the First Amended Agreement and enter into this Second Amended and Restated Limited Partnership Agreement of the Partnership to permit the admission of additional Limited Partners and further to make the modifications hereinafter set forth;</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NOW, THEREFORE, the parties hereto agree as follows:</w:t>
      </w:r>
    </w:p>
    <w:p>
      <w:pPr>
        <w:spacing w:after="0" w:line="218"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I</w:t>
      </w:r>
    </w:p>
    <w:p>
      <w:pPr>
        <w:spacing w:after="0" w:line="218"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Definitions</w:t>
      </w:r>
    </w:p>
    <w:p>
      <w:pPr>
        <w:spacing w:after="0" w:line="218"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1.1</w:t>
      </w:r>
      <w:r>
        <w:rPr>
          <w:sz w:val="20"/>
          <w:szCs w:val="20"/>
          <w:color w:val="auto"/>
        </w:rPr>
        <w:tab/>
      </w:r>
      <w:r>
        <w:rPr>
          <w:rFonts w:ascii="Arial" w:cs="Arial" w:eastAsia="Arial" w:hAnsi="Arial"/>
          <w:sz w:val="20"/>
          <w:szCs w:val="20"/>
          <w:u w:val="single" w:color="auto"/>
          <w:color w:val="auto"/>
        </w:rPr>
        <w:t>Definitions.</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Unless the context otherwise requires, the following terms shall have the following meanings for purposes of this</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w:t>
      </w:r>
      <w:r>
        <w:rPr>
          <w:rFonts w:ascii="Arial" w:cs="Arial" w:eastAsia="Arial" w:hAnsi="Arial"/>
          <w:sz w:val="21"/>
          <w:szCs w:val="21"/>
          <w:color w:val="auto"/>
        </w:rPr>
        <w:t xml:space="preserve">” means the </w:t>
      </w:r>
      <w:r>
        <w:rPr>
          <w:rFonts w:ascii="Arial" w:cs="Arial" w:eastAsia="Arial" w:hAnsi="Arial"/>
          <w:sz w:val="21"/>
          <w:szCs w:val="21"/>
          <w:i w:val="1"/>
          <w:iCs w:val="1"/>
          <w:color w:val="auto"/>
        </w:rPr>
        <w:t>Limited Partnerships Act</w:t>
      </w:r>
      <w:r>
        <w:rPr>
          <w:rFonts w:ascii="Arial" w:cs="Arial" w:eastAsia="Arial" w:hAnsi="Arial"/>
          <w:sz w:val="21"/>
          <w:szCs w:val="21"/>
          <w:color w:val="auto"/>
        </w:rPr>
        <w:t xml:space="preserve"> (Ontario) as amended from time to time.</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Payment</w:t>
      </w:r>
      <w:r>
        <w:rPr>
          <w:rFonts w:ascii="Arial" w:cs="Arial" w:eastAsia="Arial" w:hAnsi="Arial"/>
          <w:sz w:val="21"/>
          <w:szCs w:val="21"/>
          <w:color w:val="auto"/>
        </w:rPr>
        <w:t>” has the meaning set forth in Section 2.9(b).</w:t>
      </w:r>
    </w:p>
    <w:p>
      <w:pPr>
        <w:spacing w:after="0" w:line="218"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Capital Account Balance</w:t>
      </w:r>
      <w:r>
        <w:rPr>
          <w:rFonts w:ascii="Arial" w:cs="Arial" w:eastAsia="Arial" w:hAnsi="Arial"/>
          <w:sz w:val="21"/>
          <w:szCs w:val="21"/>
          <w:color w:val="auto"/>
        </w:rPr>
        <w:t>” means, with respect to any Partner, the balance in such Partner’s Capital Account adjusted (a) by taking into account the adjustments, allocations and distributions described in Treasury Regulations Sections 1.704-1(b)(2)(ii)(d)(4), (5) and (6); and (b) by adding to such balance such Partner’s share of Partnership Minimum Gain and Partner Nonrecourse Debt Minimum Gain, determined pursuant to Treasury Regulations Sections 1.704-2(g) and 1.704 2(i)(5) and any amounts such Partner is obligated to restore pursuant to any provision of this Agreement. The foregoing definition of Adjusted Capital</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15" w:name="page116"/>
    <w:bookmarkEnd w:id="115"/>
    <w:p>
      <w:pPr>
        <w:jc w:val="both"/>
        <w:ind w:left="1300"/>
        <w:spacing w:after="0" w:line="268" w:lineRule="auto"/>
        <w:rPr>
          <w:sz w:val="20"/>
          <w:szCs w:val="20"/>
          <w:color w:val="auto"/>
        </w:rPr>
      </w:pPr>
      <w:r>
        <w:rPr>
          <w:rFonts w:ascii="Arial" w:cs="Arial" w:eastAsia="Arial" w:hAnsi="Arial"/>
          <w:sz w:val="21"/>
          <w:szCs w:val="21"/>
          <w:color w:val="auto"/>
        </w:rPr>
        <w:t>Account Balance is intended to comply with the provisions of Treasury Regulations Section 1.704-1(b)(2)(ii)(d) and shall be interpreted consistently therewith.</w:t>
      </w:r>
    </w:p>
    <w:p>
      <w:pPr>
        <w:spacing w:after="0" w:line="163" w:lineRule="exact"/>
        <w:rPr>
          <w:sz w:val="20"/>
          <w:szCs w:val="20"/>
          <w:color w:val="auto"/>
        </w:rPr>
      </w:pPr>
    </w:p>
    <w:p>
      <w:pPr>
        <w:jc w:val="both"/>
        <w:ind w:left="130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of any Person means any Person that, directly or indirectly through one or more intermediaries, controls, is controlled by or is under common control with such Person, and the term “Affiliated” shall have a correlative meaning;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Portfolio Companies (and any Portfolio Company of a Fund Investment managed by the General Partner or any of its Affiliates) nor EPI Limited Partners shall be Affiliates of the Partnership, the Fund, the Investment Manager, the Investment Adviser, GP Holdings or any of their Affiliates. The term “control” means the possession, directly or indirectly, of the power to direct or cause the direction of the management and policies of a Person, whether through the ownership of voting securities, by contract or otherwise.</w:t>
      </w:r>
    </w:p>
    <w:p>
      <w:pPr>
        <w:spacing w:after="0" w:line="159"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After-Tax Capital Proceeds</w:t>
      </w:r>
      <w:r>
        <w:rPr>
          <w:rFonts w:ascii="Arial" w:cs="Arial" w:eastAsia="Arial" w:hAnsi="Arial"/>
          <w:sz w:val="19"/>
          <w:szCs w:val="19"/>
          <w:color w:val="auto"/>
        </w:rPr>
        <w:t>” attributable to any distribution of Capital Proceeds means the difference between</w:t>
      </w:r>
    </w:p>
    <w:p>
      <w:pPr>
        <w:spacing w:after="0" w:line="43" w:lineRule="exact"/>
        <w:rPr>
          <w:sz w:val="20"/>
          <w:szCs w:val="20"/>
          <w:color w:val="auto"/>
        </w:rPr>
      </w:pPr>
    </w:p>
    <w:p>
      <w:pPr>
        <w:ind w:left="1300" w:firstLine="5"/>
        <w:spacing w:after="0" w:line="250" w:lineRule="auto"/>
        <w:tabs>
          <w:tab w:leader="none" w:pos="1596"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amount of such distribution of Capital Proceeds minus (b) the product of (i) the taxable income related to such Capital Proceeds and (ii) the Assumed Income Tax Rate.</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After-Tax Carried Interest Amount</w:t>
      </w:r>
      <w:r>
        <w:rPr>
          <w:rFonts w:ascii="Arial" w:cs="Arial" w:eastAsia="Arial" w:hAnsi="Arial"/>
          <w:sz w:val="21"/>
          <w:szCs w:val="21"/>
          <w:color w:val="auto"/>
        </w:rPr>
        <w:t>” with respect to any Partner means an amount equal to:</w:t>
      </w:r>
    </w:p>
    <w:p>
      <w:pPr>
        <w:spacing w:after="0" w:line="218" w:lineRule="exact"/>
        <w:rPr>
          <w:sz w:val="20"/>
          <w:szCs w:val="20"/>
          <w:color w:val="auto"/>
        </w:rPr>
      </w:pPr>
    </w:p>
    <w:p>
      <w:pPr>
        <w:jc w:val="both"/>
        <w:ind w:left="1960" w:firstLine="641"/>
        <w:spacing w:after="0" w:line="254" w:lineRule="auto"/>
        <w:tabs>
          <w:tab w:leader="none" w:pos="3166"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the amount of any Carried Interest Proceeds distributed or deemed distributed to such Partner (including any amounts placed on behalf of such Partner into the Holdback Account pursuant to Section 4.5(a)), </w:t>
      </w:r>
      <w:r>
        <w:rPr>
          <w:rFonts w:ascii="Arial" w:cs="Arial" w:eastAsia="Arial" w:hAnsi="Arial"/>
          <w:sz w:val="21"/>
          <w:szCs w:val="21"/>
          <w:i w:val="1"/>
          <w:iCs w:val="1"/>
          <w:color w:val="auto"/>
        </w:rPr>
        <w:t>minus</w:t>
      </w:r>
    </w:p>
    <w:p>
      <w:pPr>
        <w:spacing w:after="0" w:line="178" w:lineRule="exact"/>
        <w:rPr>
          <w:rFonts w:ascii="Arial" w:cs="Arial" w:eastAsia="Arial" w:hAnsi="Arial"/>
          <w:sz w:val="21"/>
          <w:szCs w:val="21"/>
          <w:color w:val="auto"/>
        </w:rPr>
      </w:pPr>
    </w:p>
    <w:p>
      <w:pPr>
        <w:ind w:left="3060" w:hanging="459"/>
        <w:spacing w:after="0"/>
        <w:tabs>
          <w:tab w:leader="none" w:pos="30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Income Tax Amount with respect to such Carried Interest Proceeds.</w:t>
      </w:r>
    </w:p>
    <w:p>
      <w:pPr>
        <w:spacing w:after="0" w:line="218" w:lineRule="exact"/>
        <w:rPr>
          <w:sz w:val="20"/>
          <w:szCs w:val="20"/>
          <w:color w:val="auto"/>
        </w:rPr>
      </w:pPr>
    </w:p>
    <w:p>
      <w:pPr>
        <w:jc w:val="both"/>
        <w:ind w:left="1300" w:firstLine="648"/>
        <w:spacing w:after="0" w:line="3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Second Amended and Restated Limited Partnership Agreement of the Partnership, including annexes hereto, as it may be amended, supplemented, modified or restated from time to time.</w:t>
      </w:r>
    </w:p>
    <w:p>
      <w:pPr>
        <w:spacing w:after="0" w:line="1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Investment Vehicle</w:t>
      </w:r>
      <w:r>
        <w:rPr>
          <w:rFonts w:ascii="Arial" w:cs="Arial" w:eastAsia="Arial" w:hAnsi="Arial"/>
          <w:sz w:val="21"/>
          <w:szCs w:val="21"/>
          <w:color w:val="auto"/>
        </w:rPr>
        <w:t>” has the meaning set forth in the Fund Partnership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Assignee</w:t>
      </w:r>
      <w:r>
        <w:rPr>
          <w:rFonts w:ascii="Arial" w:cs="Arial" w:eastAsia="Arial" w:hAnsi="Arial"/>
          <w:sz w:val="21"/>
          <w:szCs w:val="21"/>
          <w:color w:val="auto"/>
        </w:rPr>
        <w:t>” has the meaning set forth in Section 8.1(b).</w:t>
      </w:r>
    </w:p>
    <w:p>
      <w:pPr>
        <w:spacing w:after="0" w:line="218"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Assumed Income Tax Rate</w:t>
      </w:r>
      <w:r>
        <w:rPr>
          <w:rFonts w:ascii="Arial" w:cs="Arial" w:eastAsia="Arial" w:hAnsi="Arial"/>
          <w:sz w:val="21"/>
          <w:szCs w:val="21"/>
          <w:color w:val="auto"/>
        </w:rPr>
        <w:t>” means the highest effective marginal combined U.S. Federal, state and local income tax rate for a Fiscal Year prescribed for an individual residing in New York, New York (taking into account (a) the deductibility of state and local income taxes for Federal income tax purposes assuming the limitation described in Section 68(a)(2) of the Code applies and (b) the character of the applicable income (</w:t>
      </w:r>
      <w:r>
        <w:rPr>
          <w:rFonts w:ascii="Arial" w:cs="Arial" w:eastAsia="Arial" w:hAnsi="Arial"/>
          <w:sz w:val="21"/>
          <w:szCs w:val="21"/>
          <w:i w:val="1"/>
          <w:iCs w:val="1"/>
          <w:color w:val="auto"/>
        </w:rPr>
        <w:t>e.g</w:t>
      </w:r>
      <w:r>
        <w:rPr>
          <w:rFonts w:ascii="Arial" w:cs="Arial" w:eastAsia="Arial" w:hAnsi="Arial"/>
          <w:sz w:val="21"/>
          <w:szCs w:val="21"/>
          <w:color w:val="auto"/>
        </w:rPr>
        <w:t>., long-term or short-term capital gain or ordinary or exempt)).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16" w:name="page117"/>
    <w:bookmarkEnd w:id="116"/>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which is not a Saturday, Sunday or a day on which banks in New York City are</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closed.</w:t>
      </w:r>
    </w:p>
    <w:p>
      <w:pPr>
        <w:spacing w:after="0" w:line="200" w:lineRule="exact"/>
        <w:rPr>
          <w:sz w:val="20"/>
          <w:szCs w:val="20"/>
          <w:color w:val="auto"/>
        </w:rPr>
      </w:pPr>
    </w:p>
    <w:p>
      <w:pPr>
        <w:jc w:val="both"/>
        <w:ind w:left="1300" w:right="2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Canadian-Resident Person</w:t>
      </w:r>
      <w:r>
        <w:rPr>
          <w:rFonts w:ascii="Arial" w:cs="Arial" w:eastAsia="Arial" w:hAnsi="Arial"/>
          <w:sz w:val="21"/>
          <w:szCs w:val="21"/>
          <w:color w:val="auto"/>
        </w:rPr>
        <w:t xml:space="preserve">” means an individual or entity that is resident in Canada for the purposes of the </w:t>
      </w:r>
      <w:r>
        <w:rPr>
          <w:rFonts w:ascii="Arial" w:cs="Arial" w:eastAsia="Arial" w:hAnsi="Arial"/>
          <w:sz w:val="21"/>
          <w:szCs w:val="21"/>
          <w:i w:val="1"/>
          <w:iCs w:val="1"/>
          <w:color w:val="auto"/>
        </w:rPr>
        <w:t xml:space="preserve">Income Tax Act </w:t>
      </w:r>
      <w:r>
        <w:rPr>
          <w:rFonts w:ascii="Arial" w:cs="Arial" w:eastAsia="Arial" w:hAnsi="Arial"/>
          <w:sz w:val="21"/>
          <w:szCs w:val="21"/>
          <w:color w:val="auto"/>
        </w:rPr>
        <w:t>(Canada) or the</w:t>
      </w:r>
      <w:r>
        <w:rPr>
          <w:rFonts w:ascii="Arial" w:cs="Arial" w:eastAsia="Arial" w:hAnsi="Arial"/>
          <w:sz w:val="21"/>
          <w:szCs w:val="21"/>
          <w:i w:val="1"/>
          <w:iCs w:val="1"/>
          <w:color w:val="auto"/>
        </w:rPr>
        <w:t xml:space="preserve"> Corporations Act </w:t>
      </w:r>
      <w:r>
        <w:rPr>
          <w:rFonts w:ascii="Arial" w:cs="Arial" w:eastAsia="Arial" w:hAnsi="Arial"/>
          <w:sz w:val="21"/>
          <w:szCs w:val="21"/>
          <w:color w:val="auto"/>
        </w:rPr>
        <w:t>(Ontario) and any successor legislation thereto.</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Account</w:t>
      </w:r>
      <w:r>
        <w:rPr>
          <w:rFonts w:ascii="Arial" w:cs="Arial" w:eastAsia="Arial" w:hAnsi="Arial"/>
          <w:sz w:val="21"/>
          <w:szCs w:val="21"/>
          <w:color w:val="auto"/>
        </w:rPr>
        <w:t>” has the meaning set forth in Section 5.2.</w:t>
      </w:r>
    </w:p>
    <w:p>
      <w:pPr>
        <w:spacing w:after="0" w:line="218" w:lineRule="exact"/>
        <w:rPr>
          <w:sz w:val="20"/>
          <w:szCs w:val="20"/>
          <w:color w:val="auto"/>
        </w:rPr>
      </w:pPr>
    </w:p>
    <w:p>
      <w:pPr>
        <w:jc w:val="both"/>
        <w:ind w:left="13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Commitment</w:t>
      </w:r>
      <w:r>
        <w:rPr>
          <w:rFonts w:ascii="Arial" w:cs="Arial" w:eastAsia="Arial" w:hAnsi="Arial"/>
          <w:sz w:val="20"/>
          <w:szCs w:val="20"/>
          <w:color w:val="auto"/>
        </w:rPr>
        <w:t>” means, as of any date, (a) with respect to any Non-Affiliated Limited Partner, the dollar amount specified as such Partner’s capital commitment in such Partner’s Terms Letter, which amount shall be set forth in the books and records of the Partnership, including in the Record of Limited Partners, and (b) with respect to GP Holdings, the amount set forth as such in the Record of Limited Partners.</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Proceeds</w:t>
      </w:r>
      <w:r>
        <w:rPr>
          <w:rFonts w:ascii="Arial" w:cs="Arial" w:eastAsia="Arial" w:hAnsi="Arial"/>
          <w:sz w:val="21"/>
          <w:szCs w:val="21"/>
          <w:color w:val="auto"/>
        </w:rPr>
        <w:t>” has the meaning set forth in Section 4.1(c)(ii).</w:t>
      </w:r>
    </w:p>
    <w:p>
      <w:pPr>
        <w:spacing w:after="0" w:line="218"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Repurchase Percentage</w:t>
      </w:r>
      <w:r>
        <w:rPr>
          <w:rFonts w:ascii="Arial" w:cs="Arial" w:eastAsia="Arial" w:hAnsi="Arial"/>
          <w:sz w:val="21"/>
          <w:szCs w:val="21"/>
          <w:color w:val="auto"/>
        </w:rPr>
        <w:t>” means, with respect to any Non-Affiliated Limited Partner, the relevant percentage set forth in this Agreement or in such Partner’s Terms Letter.</w:t>
      </w:r>
    </w:p>
    <w:p>
      <w:pPr>
        <w:spacing w:after="0" w:line="163"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Sharing Percentage</w:t>
      </w:r>
      <w:r>
        <w:rPr>
          <w:rFonts w:ascii="Arial" w:cs="Arial" w:eastAsia="Arial" w:hAnsi="Arial"/>
          <w:sz w:val="21"/>
          <w:szCs w:val="21"/>
          <w:color w:val="auto"/>
        </w:rPr>
        <w:t>” means, with respect to any Non-Affiliated Limited Partner, the percentage derived by (a) dividing such Partner’s Capital Commitment by the aggregate Capital Commitments of all of the Partners, and (b) multiplying such quotient by 100.</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Carried Interes</w:t>
      </w:r>
      <w:r>
        <w:rPr>
          <w:rFonts w:ascii="Arial" w:cs="Arial" w:eastAsia="Arial" w:hAnsi="Arial"/>
          <w:sz w:val="21"/>
          <w:szCs w:val="21"/>
          <w:color w:val="auto"/>
        </w:rPr>
        <w:t>t” has the meaning set forth in the Fund Partnership Agreement.</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Carried Interest Give Back Percentage</w:t>
      </w:r>
      <w:r>
        <w:rPr>
          <w:rFonts w:ascii="Arial" w:cs="Arial" w:eastAsia="Arial" w:hAnsi="Arial"/>
          <w:sz w:val="21"/>
          <w:szCs w:val="21"/>
          <w:color w:val="auto"/>
        </w:rPr>
        <w:t>” means, for any Partner, the percentage determined by dividing (a) the After-Tax Carried Interest Amount with respect to such Partner by (b) the aggregate After-Tax Carried Interest Amounts with respect to all Partners.</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Carried Interest Proceeds</w:t>
      </w:r>
      <w:r>
        <w:rPr>
          <w:rFonts w:ascii="Arial" w:cs="Arial" w:eastAsia="Arial" w:hAnsi="Arial"/>
          <w:sz w:val="21"/>
          <w:szCs w:val="21"/>
          <w:color w:val="auto"/>
        </w:rPr>
        <w:t>” has the meaning set forth in Section 4.1(c)(iii).</w:t>
      </w:r>
    </w:p>
    <w:p>
      <w:pPr>
        <w:spacing w:after="0" w:line="218"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Carrying Value</w:t>
      </w:r>
      <w:r>
        <w:rPr>
          <w:rFonts w:ascii="Arial" w:cs="Arial" w:eastAsia="Arial" w:hAnsi="Arial"/>
          <w:sz w:val="20"/>
          <w:szCs w:val="20"/>
          <w:color w:val="auto"/>
        </w:rPr>
        <w:t xml:space="preserve">” means, with respect to any asset of the Partnership or any entity treated as a partnership for U.S. Federal income tax purposes in which it invests, the asset’s adjusted basis for U.S. Federal income tax purposes, except that the Carrying Values of all such assets shall be adjusted to equal their respective fair market values (as reasonably determined by the General Partner in a manner consistent with determinations thereof for the Fund) in accordance with the rules set forth in Treasury Regulations Section 1.704 1(b)(2)(iv)(f), except as otherwise provided herein, immediately prior to: (a) the date of the acquisition of any additional Interest by any new or existing Partner in exchange for more than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capital contribution to the Partnership, (b) the date of the distribution of more than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amount of Partnership property (other than a </w:t>
      </w:r>
      <w:r>
        <w:rPr>
          <w:rFonts w:ascii="Arial" w:cs="Arial" w:eastAsia="Arial" w:hAnsi="Arial"/>
          <w:sz w:val="20"/>
          <w:szCs w:val="20"/>
          <w:i w:val="1"/>
          <w:iCs w:val="1"/>
          <w:color w:val="auto"/>
        </w:rPr>
        <w:t>pro rata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17" w:name="page118"/>
    <w:bookmarkEnd w:id="117"/>
    <w:p>
      <w:pPr>
        <w:jc w:val="both"/>
        <w:ind w:left="1300"/>
        <w:spacing w:after="0" w:line="273" w:lineRule="auto"/>
        <w:rPr>
          <w:sz w:val="20"/>
          <w:szCs w:val="20"/>
          <w:color w:val="auto"/>
        </w:rPr>
      </w:pPr>
      <w:r>
        <w:rPr>
          <w:rFonts w:ascii="Arial" w:cs="Arial" w:eastAsia="Arial" w:hAnsi="Arial"/>
          <w:sz w:val="19"/>
          <w:szCs w:val="19"/>
          <w:color w:val="auto"/>
        </w:rPr>
        <w:t xml:space="preserve">distribution) to a Partner or (c) the date of a grant of any additional Interest to any new or existing Partner as consideration for the provision of services to or for the benefit of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adjustments pursuant to clauses (a), (b) and (c) above shall be made only if the General Partner in good faith determines that such adjustments are necessary or appropriate to reflect the relative economic interests of the Partners. The Carrying Value of any asset distributed to any Partner shall be adjusted immediately prior to such distribution to equal its fair market value. The Carrying Value of any asset contributed by a Partner to the Partnership will be the fair market value of the asset as of the date of its contribution thereto.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w:t>
      </w:r>
    </w:p>
    <w:p>
      <w:pPr>
        <w:spacing w:after="0" w:line="16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the occurrence or existence of any of the following with respect to an EPI Limited Partner:</w:t>
      </w:r>
    </w:p>
    <w:p>
      <w:pPr>
        <w:spacing w:after="0" w:line="229" w:lineRule="exact"/>
        <w:rPr>
          <w:sz w:val="20"/>
          <w:szCs w:val="20"/>
          <w:color w:val="auto"/>
        </w:rPr>
      </w:pPr>
    </w:p>
    <w:p>
      <w:pPr>
        <w:jc w:val="both"/>
        <w:ind w:left="1960" w:firstLine="641"/>
        <w:spacing w:after="0" w:line="244" w:lineRule="auto"/>
        <w:tabs>
          <w:tab w:leader="none" w:pos="3054" w:val="left"/>
        </w:tabs>
        <w:numPr>
          <w:ilvl w:val="0"/>
          <w:numId w:val="37"/>
        </w:numPr>
        <w:rPr>
          <w:rFonts w:ascii="Arial" w:cs="Arial" w:eastAsia="Arial" w:hAnsi="Arial"/>
          <w:sz w:val="21"/>
          <w:szCs w:val="21"/>
          <w:color w:val="auto"/>
        </w:rPr>
      </w:pPr>
      <w:r>
        <w:rPr>
          <w:rFonts w:ascii="Arial" w:cs="Arial" w:eastAsia="Arial" w:hAnsi="Arial"/>
          <w:sz w:val="21"/>
          <w:szCs w:val="21"/>
          <w:color w:val="auto"/>
        </w:rPr>
        <w:t>breach of (after giving effect to any applicable grace periods) any of such Partner’s or any of his or her Family Related Limited Partners’ material obligations under (i) this Agreement (including such Partner’s or any of his or her Family Related Limited Partners’ obligations pursuant to Sections 5.1(a), 10.3 and 10.11 (without giving effect to any modification thereof pursuant to Section 10.12)), (ii) any Fund Partnership Agreement (including such Partner’s or any of his or her Family Related Limited Partners’ obligations to make capital contributions pursuant to the terms of such Fund Partnership Agreement) or (iii) the stockholders agreement, certificate of incorporation, by-laws, limited liability company agreement, limited partnership agreement or equivalent documents of EPI, the Investment Advisor, the Investment Manager or any of their respective Affiliates;</w:t>
      </w:r>
    </w:p>
    <w:p>
      <w:pPr>
        <w:spacing w:after="0" w:line="194" w:lineRule="exact"/>
        <w:rPr>
          <w:rFonts w:ascii="Arial" w:cs="Arial" w:eastAsia="Arial" w:hAnsi="Arial"/>
          <w:sz w:val="21"/>
          <w:szCs w:val="21"/>
          <w:color w:val="auto"/>
        </w:rPr>
      </w:pPr>
    </w:p>
    <w:p>
      <w:pPr>
        <w:ind w:left="3060" w:hanging="459"/>
        <w:spacing w:after="0"/>
        <w:tabs>
          <w:tab w:leader="none" w:pos="30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the conviction of, or plea of 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by, such Partner in respect of any felony;</w:t>
      </w:r>
    </w:p>
    <w:p>
      <w:pPr>
        <w:spacing w:after="0" w:line="229" w:lineRule="exact"/>
        <w:rPr>
          <w:rFonts w:ascii="Arial" w:cs="Arial" w:eastAsia="Arial" w:hAnsi="Arial"/>
          <w:sz w:val="20"/>
          <w:szCs w:val="20"/>
          <w:color w:val="auto"/>
        </w:rPr>
      </w:pPr>
    </w:p>
    <w:p>
      <w:pPr>
        <w:ind w:left="1960" w:firstLine="641"/>
        <w:spacing w:after="0" w:line="293" w:lineRule="auto"/>
        <w:tabs>
          <w:tab w:leader="none" w:pos="3175"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perpetration by such Partner of fraud against the Partnership, the Investment Advisor, the Investment Manager, the Fund, EPI, any Portfolio Company or any of their respective Affiliates;</w:t>
      </w:r>
    </w:p>
    <w:p>
      <w:pPr>
        <w:spacing w:after="0" w:line="140" w:lineRule="exact"/>
        <w:rPr>
          <w:rFonts w:ascii="Arial" w:cs="Arial" w:eastAsia="Arial" w:hAnsi="Arial"/>
          <w:sz w:val="20"/>
          <w:szCs w:val="20"/>
          <w:color w:val="auto"/>
        </w:rPr>
      </w:pPr>
    </w:p>
    <w:p>
      <w:pPr>
        <w:jc w:val="both"/>
        <w:ind w:left="1960" w:firstLine="641"/>
        <w:spacing w:after="0" w:line="246" w:lineRule="auto"/>
        <w:tabs>
          <w:tab w:leader="none" w:pos="3155"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the willful and continued failure by such Partner to substantially perform such Partner’s duties with EPI, the Investment Advisor, the Investment Manager, the Partnership or any of their respective Affiliates in such Partner’s position on a full-time basis (other than any such failure resulting from such Partner’s death or Permanent Disability),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 act, or a failure to act, on such Partner’s part shall be deemed “willful” only if done, or omitted to be done, by him not in good faith or without a reasonable belief that such Partner’s action or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18" w:name="page119"/>
    <w:bookmarkEnd w:id="118"/>
    <w:p>
      <w:pPr>
        <w:ind w:left="1960" w:right="20"/>
        <w:spacing w:after="0" w:line="268" w:lineRule="auto"/>
        <w:rPr>
          <w:sz w:val="20"/>
          <w:szCs w:val="20"/>
          <w:color w:val="auto"/>
        </w:rPr>
      </w:pPr>
      <w:r>
        <w:rPr>
          <w:rFonts w:ascii="Arial" w:cs="Arial" w:eastAsia="Arial" w:hAnsi="Arial"/>
          <w:sz w:val="21"/>
          <w:szCs w:val="21"/>
          <w:color w:val="auto"/>
        </w:rPr>
        <w:t>omission was in or not opposed to the best interests of EPI, the Investment Advisor, the Investment Manager, the Partnership and the Fund;</w:t>
      </w:r>
    </w:p>
    <w:p>
      <w:pPr>
        <w:spacing w:after="0" w:line="163" w:lineRule="exact"/>
        <w:rPr>
          <w:sz w:val="20"/>
          <w:szCs w:val="20"/>
          <w:color w:val="auto"/>
        </w:rPr>
      </w:pPr>
    </w:p>
    <w:p>
      <w:pPr>
        <w:jc w:val="both"/>
        <w:ind w:left="1960" w:firstLine="641"/>
        <w:spacing w:after="0" w:line="263" w:lineRule="auto"/>
        <w:tabs>
          <w:tab w:leader="none" w:pos="3135"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willful misconduct which could have, or could reasonably be expected to have, an adverse effect in any material respect on (i) such Partner’s ability to function as an employee or consultant of EPI, the Investment Advisor, the Investment Manager or any of their respective Affiliates, taking into account the services required of such Partner or (ii) the business and/or reputation of the Partnership, the Fund, EPI, the Investment Advisor, the Investment Manager or any of their respective Affiliates; or</w:t>
      </w:r>
    </w:p>
    <w:p>
      <w:pPr>
        <w:spacing w:after="0" w:line="171" w:lineRule="exact"/>
        <w:rPr>
          <w:rFonts w:ascii="Arial" w:cs="Arial" w:eastAsia="Arial" w:hAnsi="Arial"/>
          <w:sz w:val="20"/>
          <w:szCs w:val="20"/>
          <w:color w:val="auto"/>
        </w:rPr>
      </w:pPr>
    </w:p>
    <w:p>
      <w:pPr>
        <w:ind w:left="3060" w:hanging="459"/>
        <w:spacing w:after="0"/>
        <w:tabs>
          <w:tab w:leader="none" w:pos="30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conduct by such Partner constituting “Disabling Conduct” as defined in any Fund Partnership</w:t>
      </w:r>
    </w:p>
    <w:p>
      <w:pPr>
        <w:spacing w:after="0" w:line="42"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1"/>
          <w:szCs w:val="21"/>
          <w:color w:val="auto"/>
        </w:rPr>
        <w:t>Agreement.</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All determinations of Cause shall be made by the General Partner.</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from time to time.</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Person</w:t>
      </w:r>
      <w:r>
        <w:rPr>
          <w:rFonts w:ascii="Arial" w:cs="Arial" w:eastAsia="Arial" w:hAnsi="Arial"/>
          <w:sz w:val="21"/>
          <w:szCs w:val="21"/>
          <w:color w:val="auto"/>
        </w:rPr>
        <w:t>” has the meaning set forth in Section 3.2(a).</w:t>
      </w:r>
    </w:p>
    <w:p>
      <w:pPr>
        <w:spacing w:after="0" w:line="218"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Creditable Foreign Tax</w:t>
      </w:r>
      <w:r>
        <w:rPr>
          <w:rFonts w:ascii="Arial" w:cs="Arial" w:eastAsia="Arial" w:hAnsi="Arial"/>
          <w:sz w:val="21"/>
          <w:szCs w:val="21"/>
          <w:color w:val="auto"/>
        </w:rPr>
        <w:t>” means a foreign tax paid or accrued for United States federal income tax purposes by the Partnership, in either case to the extent that such tax is eligible for credit under Section 901(a) of the Code. A foreign tax is a creditable foreign 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1.704-1T(b)(4)(xi)(b), and shall be interpreted consistently therewith.</w:t>
      </w:r>
    </w:p>
    <w:p>
      <w:pPr>
        <w:spacing w:after="0" w:line="190"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Declaration of Limited Partnership</w:t>
      </w:r>
      <w:r>
        <w:rPr>
          <w:rFonts w:ascii="Arial" w:cs="Arial" w:eastAsia="Arial" w:hAnsi="Arial"/>
          <w:sz w:val="21"/>
          <w:szCs w:val="21"/>
          <w:color w:val="auto"/>
        </w:rPr>
        <w:t>” means the Declaration of Limited Partnership of the Partnership which was executed by the General Partner and filled in the office of the Registrar under the Act on March 29, 2012, and all subsequent amendments thereto and restatements thereof.</w:t>
      </w:r>
    </w:p>
    <w:p>
      <w:pPr>
        <w:spacing w:after="0" w:line="179"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Interest Rate</w:t>
      </w:r>
      <w:r>
        <w:rPr>
          <w:rFonts w:ascii="Arial" w:cs="Arial" w:eastAsia="Arial" w:hAnsi="Arial"/>
          <w:sz w:val="21"/>
          <w:szCs w:val="21"/>
          <w:color w:val="auto"/>
        </w:rPr>
        <w:t>” means the lower of (a) the sum of (i) the rate of interest per annum publicly announced from time to time by J.P. Morgan Chase as its prime rate and (ii) 5%, and (b) the highest rate of interest permitted under applicable law.</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Defaulted Amount</w:t>
      </w:r>
      <w:r>
        <w:rPr>
          <w:rFonts w:ascii="Arial" w:cs="Arial" w:eastAsia="Arial" w:hAnsi="Arial"/>
          <w:sz w:val="21"/>
          <w:szCs w:val="21"/>
          <w:color w:val="auto"/>
        </w:rPr>
        <w:t>” has the meaning set forth in Section 4.5(c)(ii).</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Partner</w:t>
      </w:r>
      <w:r>
        <w:rPr>
          <w:rFonts w:ascii="Arial" w:cs="Arial" w:eastAsia="Arial" w:hAnsi="Arial"/>
          <w:sz w:val="21"/>
          <w:szCs w:val="21"/>
          <w:color w:val="auto"/>
        </w:rPr>
        <w:t>” has the meaning set forth in Section 5.1(b).</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19" w:name="page120"/>
    <w:bookmarkEnd w:id="119"/>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EPI</w:t>
      </w:r>
      <w:r>
        <w:rPr>
          <w:rFonts w:ascii="Arial" w:cs="Arial" w:eastAsia="Arial" w:hAnsi="Arial"/>
          <w:sz w:val="21"/>
          <w:szCs w:val="21"/>
          <w:color w:val="auto"/>
        </w:rPr>
        <w:t>” means Evercore Partners Inc. and its Affiliates and subsidiaries, and any successors of any of the foregoing.</w:t>
      </w:r>
    </w:p>
    <w:p>
      <w:pPr>
        <w:spacing w:after="0" w:line="163"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EPI Limited Partner</w:t>
      </w:r>
      <w:r>
        <w:rPr>
          <w:rFonts w:ascii="Arial" w:cs="Arial" w:eastAsia="Arial" w:hAnsi="Arial"/>
          <w:sz w:val="21"/>
          <w:szCs w:val="21"/>
          <w:color w:val="auto"/>
        </w:rPr>
        <w:t>” means Pedro Aspe and any other individual admitted to the Partnership by the General Partner as an EPI Limited Partner in accordance with the provisions of this Agreement, in each case for so long as such person remains an EPI Limited Partner hereunder. Once an EPI Limited Partner ceases to be employed by or, in the case of an Operating Executive, a consultant to, any of EPI, the Investment Adviser, the Investment Manager or any of their respective Affiliates, such EPI Limited Partner shall automatically cease to be a EPI Limited Partner and shall become a Special Limited Partner.</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Estimated Income Tax Amount</w:t>
      </w:r>
      <w:r>
        <w:rPr>
          <w:rFonts w:ascii="Arial" w:cs="Arial" w:eastAsia="Arial" w:hAnsi="Arial"/>
          <w:sz w:val="21"/>
          <w:szCs w:val="21"/>
          <w:color w:val="auto"/>
        </w:rPr>
        <w:t>” has the meaning set forth in Section 4.5(e).</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Income Tax Amount</w:t>
      </w:r>
      <w:r>
        <w:rPr>
          <w:rFonts w:ascii="Arial" w:cs="Arial" w:eastAsia="Arial" w:hAnsi="Arial"/>
          <w:sz w:val="21"/>
          <w:szCs w:val="21"/>
          <w:color w:val="auto"/>
        </w:rPr>
        <w:t>” has the meaning set forth in Section 4.5(e).</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to any asset, unless otherwise specified, the fair market value of such asset determined on a basis consistent with the Fund Partnership Agreement and otherwise as reasonably determined by the General Partner.</w:t>
      </w:r>
    </w:p>
    <w:p>
      <w:pPr>
        <w:spacing w:after="0" w:line="179"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Related Limited Partner</w:t>
      </w:r>
      <w:r>
        <w:rPr>
          <w:rFonts w:ascii="Arial" w:cs="Arial" w:eastAsia="Arial" w:hAnsi="Arial"/>
          <w:sz w:val="21"/>
          <w:szCs w:val="21"/>
          <w:color w:val="auto"/>
        </w:rPr>
        <w:t>” means, with respect to any EPI Limited Partner, any Partner who is a member of such EPI Limited Partner’s family or any Partner which is a trust, partnership or other entity formed by such EPI Limited Partner for investment by or for the benefit of members of such EPI Limited Partner’s family, such EPI Limited Partner’s other relatives or charitable organizations.</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Amended Agreement</w:t>
      </w:r>
      <w:r>
        <w:rPr>
          <w:rFonts w:ascii="Arial" w:cs="Arial" w:eastAsia="Arial" w:hAnsi="Arial"/>
          <w:sz w:val="21"/>
          <w:szCs w:val="21"/>
          <w:color w:val="auto"/>
        </w:rPr>
        <w:t>” has the meaning set forth in the recitals to this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has the meaning set forth in Section 6.3.</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Evercore Mexico Capital Partners III, L.P., an Ontario limited partnership, any Parallel Investment Vehicle (as defined in the Fund Partnership Agreements) and, where the context so requires, any Alternative Investment Vehicle formed pursuant to the Fund Partnership Agreement.</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 Investment</w:t>
      </w:r>
      <w:r>
        <w:rPr>
          <w:rFonts w:ascii="Arial" w:cs="Arial" w:eastAsia="Arial" w:hAnsi="Arial"/>
          <w:sz w:val="21"/>
          <w:szCs w:val="21"/>
          <w:color w:val="auto"/>
        </w:rPr>
        <w:t>” means an investment by the Fund.</w:t>
      </w:r>
    </w:p>
    <w:p>
      <w:pPr>
        <w:spacing w:after="0" w:line="218"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 Partnership Agreement</w:t>
      </w:r>
      <w:r>
        <w:rPr>
          <w:rFonts w:ascii="Arial" w:cs="Arial" w:eastAsia="Arial" w:hAnsi="Arial"/>
          <w:sz w:val="21"/>
          <w:szCs w:val="21"/>
          <w:color w:val="auto"/>
        </w:rPr>
        <w:t>” means the amended and restated agreement of limited partnership of the Fund, dated as of June 4, 2012, as may be further amended or modified from time to time.</w:t>
      </w:r>
    </w:p>
    <w:p>
      <w:pPr>
        <w:spacing w:after="0" w:line="163" w:lineRule="exact"/>
        <w:rPr>
          <w:sz w:val="20"/>
          <w:szCs w:val="20"/>
          <w:color w:val="auto"/>
        </w:rPr>
      </w:pPr>
    </w:p>
    <w:p>
      <w:pPr>
        <w:jc w:val="both"/>
        <w:ind w:left="1300" w:right="2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Private Equity Investments</w:t>
      </w:r>
      <w:r>
        <w:rPr>
          <w:rFonts w:ascii="Arial" w:cs="Arial" w:eastAsia="Arial" w:hAnsi="Arial"/>
          <w:sz w:val="21"/>
          <w:szCs w:val="21"/>
          <w:color w:val="auto"/>
        </w:rPr>
        <w:t>” as of any date of determination means Private Equity Investments the capital contributions for which were made prior to such 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0" w:name="page121"/>
    <w:bookmarkEnd w:id="120"/>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Partner</w:t>
      </w:r>
      <w:r>
        <w:rPr>
          <w:rFonts w:ascii="Arial" w:cs="Arial" w:eastAsia="Arial" w:hAnsi="Arial"/>
          <w:sz w:val="21"/>
          <w:szCs w:val="21"/>
          <w:color w:val="auto"/>
        </w:rPr>
        <w:t>” means Evercore Mexico GP Holdings LLC, the general partner of the partnership, and any successors in such capacity.</w:t>
      </w:r>
    </w:p>
    <w:p>
      <w:pPr>
        <w:spacing w:after="0" w:line="163"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Partner Capital Commitment</w:t>
      </w:r>
      <w:r>
        <w:rPr>
          <w:rFonts w:ascii="Arial" w:cs="Arial" w:eastAsia="Arial" w:hAnsi="Arial"/>
          <w:sz w:val="21"/>
          <w:szCs w:val="21"/>
          <w:color w:val="auto"/>
        </w:rPr>
        <w:t>” means the aggregate capital commitment of the Partnership to the Fund, as such amount may increase from time to time.</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Give-Back Amount</w:t>
      </w:r>
      <w:r>
        <w:rPr>
          <w:rFonts w:ascii="Arial" w:cs="Arial" w:eastAsia="Arial" w:hAnsi="Arial"/>
          <w:sz w:val="21"/>
          <w:szCs w:val="21"/>
          <w:color w:val="auto"/>
        </w:rPr>
        <w:t>” has the meaning set forth in Section 4.5(c)(i)(A).</w:t>
      </w:r>
    </w:p>
    <w:p>
      <w:pPr>
        <w:spacing w:after="0" w:line="218"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Give-Back Obligation</w:t>
      </w:r>
      <w:r>
        <w:rPr>
          <w:rFonts w:ascii="Arial" w:cs="Arial" w:eastAsia="Arial" w:hAnsi="Arial"/>
          <w:sz w:val="21"/>
          <w:szCs w:val="21"/>
          <w:color w:val="auto"/>
        </w:rPr>
        <w:t>” means any amount the Partnership is required to return to the Fund pursuant to Section 7.3 of the Fund Partnership Agreement.</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GP Holdings</w:t>
      </w:r>
      <w:r>
        <w:rPr>
          <w:rFonts w:ascii="Arial" w:cs="Arial" w:eastAsia="Arial" w:hAnsi="Arial"/>
          <w:sz w:val="21"/>
          <w:szCs w:val="21"/>
          <w:color w:val="auto"/>
        </w:rPr>
        <w:t>” means Evercore GP Holdings LLC.</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Holdback Account</w:t>
      </w:r>
      <w:r>
        <w:rPr>
          <w:rFonts w:ascii="Arial" w:cs="Arial" w:eastAsia="Arial" w:hAnsi="Arial"/>
          <w:sz w:val="21"/>
          <w:szCs w:val="21"/>
          <w:color w:val="auto"/>
        </w:rPr>
        <w:t>” has the meaning set forth in Section 4.5(a).</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Holdback Partner</w:t>
      </w:r>
      <w:r>
        <w:rPr>
          <w:rFonts w:ascii="Arial" w:cs="Arial" w:eastAsia="Arial" w:hAnsi="Arial"/>
          <w:sz w:val="21"/>
          <w:szCs w:val="21"/>
          <w:color w:val="auto"/>
        </w:rPr>
        <w:t>” has the meaning set forth in Section 4.5(e).</w:t>
      </w:r>
    </w:p>
    <w:p>
      <w:pPr>
        <w:spacing w:after="0" w:line="218" w:lineRule="exact"/>
        <w:rPr>
          <w:sz w:val="20"/>
          <w:szCs w:val="20"/>
          <w:color w:val="auto"/>
        </w:rPr>
      </w:pPr>
    </w:p>
    <w:p>
      <w:pPr>
        <w:jc w:val="both"/>
        <w:ind w:left="1300" w:firstLine="648"/>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Income Tax Amount</w:t>
      </w:r>
      <w:r>
        <w:rPr>
          <w:rFonts w:ascii="Arial" w:cs="Arial" w:eastAsia="Arial" w:hAnsi="Arial"/>
          <w:sz w:val="20"/>
          <w:szCs w:val="20"/>
          <w:color w:val="auto"/>
        </w:rPr>
        <w:t>” means, with respect to Carried Interest Proceeds distributed or deemed distributed to a Partner (including amounts credited to such Partner’s sub-accounts in the Holdback Account pursuant to Section 4.5(a)), the amount of income tax assumed to be imposed on allocations of taxable income related to such Carried Interest Proceeds (including taxes that would be borne by a Partner assuming an immediate sale of securities initially received in kind pursuant to Section 7.4(b) of the Fund Partnership Agreement), with such income tax calculated by assuming that (i) the tax rate imposed is the Assumed Income Tax Rate in effect in the Fiscal Year of any such allocation and (ii) capital losses from the disposition of a Private Equity Investment allocated to such Partner relating to Carried Interest Proceeds (“</w:t>
      </w:r>
      <w:r>
        <w:rPr>
          <w:rFonts w:ascii="Arial" w:cs="Arial" w:eastAsia="Arial" w:hAnsi="Arial"/>
          <w:sz w:val="20"/>
          <w:szCs w:val="20"/>
          <w:u w:val="single" w:color="auto"/>
          <w:color w:val="auto"/>
        </w:rPr>
        <w:t>Capital Losses</w:t>
      </w:r>
      <w:r>
        <w:rPr>
          <w:rFonts w:ascii="Arial" w:cs="Arial" w:eastAsia="Arial" w:hAnsi="Arial"/>
          <w:sz w:val="20"/>
          <w:szCs w:val="20"/>
          <w:color w:val="auto"/>
        </w:rPr>
        <w:t>”) shall reduce capital gains from the Disposition of a Private Equity Investment allocated to such Partner relating to Carried Interest Proceeds (“</w:t>
      </w:r>
      <w:r>
        <w:rPr>
          <w:rFonts w:ascii="Arial" w:cs="Arial" w:eastAsia="Arial" w:hAnsi="Arial"/>
          <w:sz w:val="20"/>
          <w:szCs w:val="20"/>
          <w:u w:val="single" w:color="auto"/>
          <w:color w:val="auto"/>
        </w:rPr>
        <w:t>Capital Gains</w:t>
      </w:r>
      <w:r>
        <w:rPr>
          <w:rFonts w:ascii="Arial" w:cs="Arial" w:eastAsia="Arial" w:hAnsi="Arial"/>
          <w:sz w:val="20"/>
          <w:szCs w:val="20"/>
          <w:color w:val="auto"/>
        </w:rPr>
        <w:t>”) only to the extent of the amount of Capital Gains recognized in the Fiscal Year of the recognition of a Capital Loss or a subsequent Fiscal Year (only to the extent that Capital Gain may properly offset such Capital Loss), reduced by the amount of any tax benefit actually realized by such Partner (or, if such Partner is treated as a partnership for federal income tax purposes, its direct or indirect owners) in the year in which the Partnership is required to make a payment of a Give-Back Amount, which tax benefit is attributable solely to the making of such payment (or adjustment) and which benefit shall be determined assuming the only items of income, gain, loss, deduction or credit of such Partner (or, if such Partner is treated as a partnership for federal income tax purposes, its direct or indirect owners) are attributable to such Partner’s investment in the Partnership.</w:t>
      </w:r>
    </w:p>
    <w:p>
      <w:pPr>
        <w:spacing w:after="0" w:line="178"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Closing Date</w:t>
      </w:r>
      <w:r>
        <w:rPr>
          <w:rFonts w:ascii="Arial" w:cs="Arial" w:eastAsia="Arial" w:hAnsi="Arial"/>
          <w:sz w:val="21"/>
          <w:szCs w:val="21"/>
          <w:color w:val="auto"/>
        </w:rPr>
        <w:t>” means the date established by the General Partner for the admission to the Partnership of the initial Limited Partners, which was held on June 4,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1" w:name="page122"/>
    <w:bookmarkEnd w:id="121"/>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w:t>
      </w:r>
      <w:r>
        <w:rPr>
          <w:rFonts w:ascii="Arial" w:cs="Arial" w:eastAsia="Arial" w:hAnsi="Arial"/>
          <w:sz w:val="21"/>
          <w:szCs w:val="21"/>
          <w:color w:val="auto"/>
        </w:rPr>
        <w:t>” means the entire partnership interest owned by a Partner in the Partnership at any particular time, including the right of such Partner to any and all benefits to which a Partner may be entitled as provided in this Agreement, together with the obligations of such Partner to comply with all the terms and provisions of this Agreement.</w:t>
      </w:r>
    </w:p>
    <w:p>
      <w:pPr>
        <w:spacing w:after="0" w:line="182"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Advisor</w:t>
      </w:r>
      <w:r>
        <w:rPr>
          <w:rFonts w:ascii="Arial" w:cs="Arial" w:eastAsia="Arial" w:hAnsi="Arial"/>
          <w:sz w:val="21"/>
          <w:szCs w:val="21"/>
          <w:color w:val="auto"/>
        </w:rPr>
        <w:t xml:space="preserve">” means Administradora Evercore, S.C., a Mexican </w:t>
      </w:r>
      <w:r>
        <w:rPr>
          <w:rFonts w:ascii="Arial" w:cs="Arial" w:eastAsia="Arial" w:hAnsi="Arial"/>
          <w:sz w:val="21"/>
          <w:szCs w:val="21"/>
          <w:i w:val="1"/>
          <w:iCs w:val="1"/>
          <w:color w:val="auto"/>
        </w:rPr>
        <w:t>sociedad civil</w:t>
      </w:r>
      <w:r>
        <w:rPr>
          <w:rFonts w:ascii="Arial" w:cs="Arial" w:eastAsia="Arial" w:hAnsi="Arial"/>
          <w:sz w:val="21"/>
          <w:szCs w:val="21"/>
          <w:color w:val="auto"/>
        </w:rPr>
        <w:t xml:space="preserve"> or any other Person that succeeds to the rights and obligations of the Investment Advisor.</w:t>
      </w:r>
    </w:p>
    <w:p>
      <w:pPr>
        <w:spacing w:after="0" w:line="163" w:lineRule="exact"/>
        <w:rPr>
          <w:sz w:val="20"/>
          <w:szCs w:val="20"/>
          <w:color w:val="auto"/>
        </w:rPr>
      </w:pPr>
    </w:p>
    <w:p>
      <w:pPr>
        <w:jc w:val="both"/>
        <w:ind w:left="1300" w:right="2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Advisory Agreement</w:t>
      </w:r>
      <w:r>
        <w:rPr>
          <w:rFonts w:ascii="Arial" w:cs="Arial" w:eastAsia="Arial" w:hAnsi="Arial"/>
          <w:sz w:val="21"/>
          <w:szCs w:val="21"/>
          <w:color w:val="auto"/>
        </w:rPr>
        <w:t>” means the Investment Advisory Agreement, dated as of June 4, 2012, between the Partnership, the Investment Advisor and the Investment Manager, as amended or modified from time to time.</w:t>
      </w:r>
    </w:p>
    <w:p>
      <w:pPr>
        <w:spacing w:after="0" w:line="179" w:lineRule="exact"/>
        <w:rPr>
          <w:sz w:val="20"/>
          <w:szCs w:val="20"/>
          <w:color w:val="auto"/>
        </w:rPr>
      </w:pPr>
    </w:p>
    <w:p>
      <w:pPr>
        <w:jc w:val="both"/>
        <w:ind w:left="1300" w:firstLine="648"/>
        <w:spacing w:after="0" w:line="29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Management Agreement</w:t>
      </w:r>
      <w:r>
        <w:rPr>
          <w:rFonts w:ascii="Arial" w:cs="Arial" w:eastAsia="Arial" w:hAnsi="Arial"/>
          <w:sz w:val="20"/>
          <w:szCs w:val="20"/>
          <w:color w:val="auto"/>
        </w:rPr>
        <w:t>” means the Investment Management Agreement dated as of June 4, 2012 between the Fund, the Partnership and the Investment Manager, as amended or modified from time to time.</w:t>
      </w:r>
    </w:p>
    <w:p>
      <w:pPr>
        <w:spacing w:after="0" w:line="141"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Manager</w:t>
      </w:r>
      <w:r>
        <w:rPr>
          <w:rFonts w:ascii="Arial" w:cs="Arial" w:eastAsia="Arial" w:hAnsi="Arial"/>
          <w:sz w:val="21"/>
          <w:szCs w:val="21"/>
          <w:color w:val="auto"/>
        </w:rPr>
        <w:t>” means Evercore Mexico Management Limited, an exempted limited company organized under the laws of the Cayman Islands or any other Person that succeeds to the rights and obligations of the Investment Manager.</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Issuance Items</w:t>
      </w:r>
      <w:r>
        <w:rPr>
          <w:rFonts w:ascii="Arial" w:cs="Arial" w:eastAsia="Arial" w:hAnsi="Arial"/>
          <w:sz w:val="21"/>
          <w:szCs w:val="21"/>
          <w:color w:val="auto"/>
        </w:rPr>
        <w:t>” has the meaning set forth in Section 5.4(g).</w:t>
      </w:r>
    </w:p>
    <w:p>
      <w:pPr>
        <w:spacing w:after="0" w:line="218"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Limited Partner</w:t>
      </w:r>
      <w:r>
        <w:rPr>
          <w:rFonts w:ascii="Arial" w:cs="Arial" w:eastAsia="Arial" w:hAnsi="Arial"/>
          <w:sz w:val="21"/>
          <w:szCs w:val="21"/>
          <w:color w:val="auto"/>
        </w:rPr>
        <w:t>” means, at any time, any Person who is at such time a limited partner of the Partnership and shown as such on the books and records of the Partnership, in its capacity as a limited partner of the Partnership, including EPI Limited Partners, Family Related Limited Partners, Special Limited Partners and GP Holdings and shall not include any Person who is a Canadian-Resident Person.</w:t>
      </w:r>
    </w:p>
    <w:p>
      <w:pPr>
        <w:spacing w:after="0" w:line="182" w:lineRule="exact"/>
        <w:rPr>
          <w:sz w:val="20"/>
          <w:szCs w:val="20"/>
          <w:color w:val="auto"/>
        </w:rPr>
      </w:pPr>
    </w:p>
    <w:p>
      <w:pPr>
        <w:jc w:val="both"/>
        <w:ind w:left="1300" w:right="2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Non-Affiliated Limited Partner</w:t>
      </w:r>
      <w:r>
        <w:rPr>
          <w:rFonts w:ascii="Arial" w:cs="Arial" w:eastAsia="Arial" w:hAnsi="Arial"/>
          <w:sz w:val="21"/>
          <w:szCs w:val="21"/>
          <w:color w:val="auto"/>
        </w:rPr>
        <w:t>” means, at any time, any Person who is at such time a Limited Partner, other than GP Holdings or any Affiliate thereof.</w:t>
      </w:r>
    </w:p>
    <w:p>
      <w:pPr>
        <w:spacing w:after="0" w:line="163"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Nonrecourse Deductions</w:t>
      </w:r>
      <w:r>
        <w:rPr>
          <w:rFonts w:ascii="Arial" w:cs="Arial" w:eastAsia="Arial" w:hAnsi="Arial"/>
          <w:sz w:val="21"/>
          <w:szCs w:val="21"/>
          <w:color w:val="auto"/>
        </w:rPr>
        <w:t>” has the meaning set forth in Treasury Regulations Section 1.704-2(b).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182"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Operating Executives</w:t>
      </w:r>
      <w:r>
        <w:rPr>
          <w:rFonts w:ascii="Arial" w:cs="Arial" w:eastAsia="Arial" w:hAnsi="Arial"/>
          <w:sz w:val="21"/>
          <w:szCs w:val="21"/>
          <w:color w:val="auto"/>
        </w:rPr>
        <w:t>” means any person admitted to the Partnership as such in accordance with the provisions of this Agreement.</w:t>
      </w:r>
    </w:p>
    <w:p>
      <w:pPr>
        <w:spacing w:after="0" w:line="163"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Operating Reserve</w:t>
      </w:r>
      <w:r>
        <w:rPr>
          <w:rFonts w:ascii="Arial" w:cs="Arial" w:eastAsia="Arial" w:hAnsi="Arial"/>
          <w:sz w:val="21"/>
          <w:szCs w:val="21"/>
          <w:color w:val="auto"/>
        </w:rPr>
        <w:t>” means such amount as is determined by the General Partner in good faith to be necessary or prudent for the Partnership to maintain in cash or Temporary Investments in order to satisfy the Partnership’s accrued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21"/>
          <w:szCs w:val="21"/>
          <w:color w:val="auto"/>
        </w:rPr>
        <w:t>expenses and otherwise to meet the operational needs of the Partnership’s business.</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Parallel Investment Vehicle</w:t>
      </w:r>
      <w:r>
        <w:rPr>
          <w:rFonts w:ascii="Arial" w:cs="Arial" w:eastAsia="Arial" w:hAnsi="Arial"/>
          <w:sz w:val="21"/>
          <w:szCs w:val="21"/>
          <w:color w:val="auto"/>
        </w:rPr>
        <w:t>” means any investment vehicle organized to make all or any category of investments in Portfolio Companies in parallel with the Partnership, as described in Section 5.4 of the Fund Partnership Agreement.</w:t>
      </w:r>
    </w:p>
    <w:p>
      <w:pPr>
        <w:spacing w:after="0" w:line="179"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Participation Agreement</w:t>
      </w:r>
      <w:r>
        <w:rPr>
          <w:rFonts w:ascii="Arial" w:cs="Arial" w:eastAsia="Arial" w:hAnsi="Arial"/>
          <w:sz w:val="21"/>
          <w:szCs w:val="21"/>
          <w:color w:val="auto"/>
        </w:rPr>
        <w:t>” means the Participation Agreement among the EPI Limited Partners and their Family Related Limited Partners relating to the allocation of certain distributions from the Partnership and certain of its Affiliates into common pools, as amended from time to time.</w:t>
      </w:r>
    </w:p>
    <w:p>
      <w:pPr>
        <w:spacing w:after="0" w:line="179"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w:t>
      </w:r>
      <w:r>
        <w:rPr>
          <w:rFonts w:ascii="Arial" w:cs="Arial" w:eastAsia="Arial" w:hAnsi="Arial"/>
          <w:sz w:val="21"/>
          <w:szCs w:val="21"/>
          <w:color w:val="auto"/>
        </w:rPr>
        <w:t>” means each of the persons listed as a Partner in Annex A hereto and any person admitted to the Partnership as an additional or substituted partner of the Partnership in accordance with the provisions of this Agreement and the Act.</w:t>
      </w:r>
    </w:p>
    <w:p>
      <w:pPr>
        <w:spacing w:after="0" w:line="179" w:lineRule="exact"/>
        <w:rPr>
          <w:sz w:val="20"/>
          <w:szCs w:val="20"/>
          <w:color w:val="auto"/>
        </w:rPr>
      </w:pPr>
    </w:p>
    <w:p>
      <w:pPr>
        <w:jc w:val="both"/>
        <w:ind w:left="13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 Nonrecourse Debt Minimum Gain</w:t>
      </w:r>
      <w:r>
        <w:rPr>
          <w:rFonts w:ascii="Arial" w:cs="Arial" w:eastAsia="Arial" w:hAnsi="Arial"/>
          <w:sz w:val="20"/>
          <w:szCs w:val="20"/>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165"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 Nonrecourse Deductions</w:t>
      </w:r>
      <w:r>
        <w:rPr>
          <w:rFonts w:ascii="Arial" w:cs="Arial" w:eastAsia="Arial" w:hAnsi="Arial"/>
          <w:sz w:val="21"/>
          <w:szCs w:val="21"/>
          <w:color w:val="auto"/>
        </w:rPr>
        <w:t>” has the meaning ascribed to the term “partner nonrecourse deductions” set forth in Treasury Regulations Section 1.704-2(i)(2).</w:t>
      </w:r>
    </w:p>
    <w:p>
      <w:pPr>
        <w:spacing w:after="0" w:line="163"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Partnership</w:t>
      </w:r>
      <w:r>
        <w:rPr>
          <w:rFonts w:ascii="Arial" w:cs="Arial" w:eastAsia="Arial" w:hAnsi="Arial"/>
          <w:sz w:val="21"/>
          <w:szCs w:val="21"/>
          <w:color w:val="auto"/>
        </w:rPr>
        <w:t>” means Evercore Mexico Partners III, L.P., an Ontario limited partnership, as such partnership may from time to time be reconstituted.</w:t>
      </w:r>
    </w:p>
    <w:p>
      <w:pPr>
        <w:spacing w:after="0" w:line="163"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Partnership Minimum Gain</w:t>
      </w:r>
      <w:r>
        <w:rPr>
          <w:rFonts w:ascii="Arial" w:cs="Arial" w:eastAsia="Arial" w:hAnsi="Arial"/>
          <w:sz w:val="21"/>
          <w:szCs w:val="21"/>
          <w:color w:val="auto"/>
        </w:rPr>
        <w:t>” has the meaning ascribed to the term as set forth in Treasury Regulations Section 1.704-2(b)(2) and 1.704-2(d).</w:t>
      </w:r>
    </w:p>
    <w:p>
      <w:pPr>
        <w:spacing w:after="0" w:line="163" w:lineRule="exact"/>
        <w:rPr>
          <w:sz w:val="20"/>
          <w:szCs w:val="20"/>
          <w:color w:val="auto"/>
        </w:rPr>
      </w:pPr>
    </w:p>
    <w:p>
      <w:pPr>
        <w:jc w:val="both"/>
        <w:ind w:left="1300"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Permanent Disability</w:t>
      </w:r>
      <w:r>
        <w:rPr>
          <w:rFonts w:ascii="Arial" w:cs="Arial" w:eastAsia="Arial" w:hAnsi="Arial"/>
          <w:sz w:val="19"/>
          <w:szCs w:val="19"/>
          <w:color w:val="auto"/>
        </w:rPr>
        <w:t>” with respect to any person means a reasonable determination by the General Partner that such person has been unable to perform the important duties of his or her employment or, in the case of an Operating Executive, consultancy with EPI, the Investment Advisor, the Investment Manager or any of their respective Affiliates on a full-time basis for a period of 180 consecutive days and is reasonably likely to continue to be unable to do so, because of (a) an accidental bodily loss or harm or (b) an illness or disease. For this purpose, “full-time” shall mean at least 30 hours per week. All determinations of Permanent Disability shall be made by the General Partner.</w:t>
      </w:r>
    </w:p>
    <w:p>
      <w:pPr>
        <w:spacing w:after="0" w:line="156"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partnership, corporation, trust or other entity.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3" w:name="page124"/>
    <w:bookmarkEnd w:id="123"/>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Portfolio Company</w:t>
      </w:r>
      <w:r>
        <w:rPr>
          <w:rFonts w:ascii="Arial" w:cs="Arial" w:eastAsia="Arial" w:hAnsi="Arial"/>
          <w:sz w:val="21"/>
          <w:szCs w:val="21"/>
          <w:color w:val="auto"/>
        </w:rPr>
        <w:t>” has the meaning set forth in the Fund Partnership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has the meaning set forth in the Fund Partnership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Private Equity Investment</w:t>
      </w:r>
      <w:r>
        <w:rPr>
          <w:rFonts w:ascii="Arial" w:cs="Arial" w:eastAsia="Arial" w:hAnsi="Arial"/>
          <w:sz w:val="21"/>
          <w:szCs w:val="21"/>
          <w:color w:val="auto"/>
        </w:rPr>
        <w:t>” has the meaning set forth in the Fund Partnership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has the meaning set forth in the Fund Partnership Agreement.</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Process Agent</w:t>
      </w:r>
      <w:r>
        <w:rPr>
          <w:rFonts w:ascii="Arial" w:cs="Arial" w:eastAsia="Arial" w:hAnsi="Arial"/>
          <w:sz w:val="21"/>
          <w:szCs w:val="21"/>
          <w:color w:val="auto"/>
        </w:rPr>
        <w:t>” has the meaning set forth in Section 2.1(b).</w:t>
      </w:r>
    </w:p>
    <w:p>
      <w:pPr>
        <w:spacing w:after="0" w:line="218"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Profits</w:t>
      </w:r>
      <w:r>
        <w:rPr>
          <w:rFonts w:ascii="Arial" w:cs="Arial" w:eastAsia="Arial" w:hAnsi="Arial"/>
          <w:sz w:val="19"/>
          <w:szCs w:val="19"/>
          <w:color w:val="auto"/>
        </w:rPr>
        <w:t>” and “</w:t>
      </w:r>
      <w:r>
        <w:rPr>
          <w:rFonts w:ascii="Arial" w:cs="Arial" w:eastAsia="Arial" w:hAnsi="Arial"/>
          <w:sz w:val="19"/>
          <w:szCs w:val="19"/>
          <w:u w:val="single" w:color="auto"/>
          <w:color w:val="auto"/>
        </w:rPr>
        <w:t>Losses</w:t>
      </w:r>
      <w:r>
        <w:rPr>
          <w:rFonts w:ascii="Arial" w:cs="Arial" w:eastAsia="Arial" w:hAnsi="Arial"/>
          <w:sz w:val="19"/>
          <w:szCs w:val="19"/>
          <w:color w:val="auto"/>
        </w:rPr>
        <w:t>” means, for each Fiscal Year or other period, the taxable income or loss of the Partnership, or particular items thereof, determined in accordance with the accounting method used by the Partnership for federal income tax purposes with the following adjustments: (a) all items of income, gain, loss or deduction allocated pursuant to Section 5.4 shall not be taken into account in computing such taxable income or loss; (b) any income of the Partnership that is exempt from federal income taxation and not otherwise taken into account in computing Profits and Losses shall be added to such taxable income or loss; (c) if the Carrying Value of any asset differs from its adjusted tax basis for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federal income tax purposes, the amount of depreciation, amortization or cost recovery deductions with respect to such asset for purposes of determining Profits and Losses, if any, shall be an amount which bears the same ratio to such Carrying Value as the federal income tax depreciation, amortization or other cost recovery deductions bears to such adjusted tax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federal income tax depreciation, amortization or other cost recovery deduction is zero, the General Partner may use any reasonable method for purposes of determining depreciation, amortization or other cost recovery deductions in calculating Profits and Losses); and (f)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165"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Profit Sharing Percentage</w:t>
      </w:r>
      <w:r>
        <w:rPr>
          <w:rFonts w:ascii="Arial" w:cs="Arial" w:eastAsia="Arial" w:hAnsi="Arial"/>
          <w:sz w:val="21"/>
          <w:szCs w:val="21"/>
          <w:color w:val="auto"/>
        </w:rPr>
        <w:t>” of a Partner means the percentage interest of such Partner in Carried Interest Proceeds to be distributed to the Partners from the Carried Interest earned by the Partnership from the Fund. The Profit Sharing Percentage of a Non-Affiliated Limited Partner as of the Effective Date shall be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4" w:name="page125"/>
    <w:bookmarkEnd w:id="124"/>
    <w:p>
      <w:pPr>
        <w:jc w:val="both"/>
        <w:ind w:left="1300"/>
        <w:spacing w:after="0" w:line="268" w:lineRule="auto"/>
        <w:rPr>
          <w:sz w:val="20"/>
          <w:szCs w:val="20"/>
          <w:color w:val="auto"/>
        </w:rPr>
      </w:pPr>
      <w:r>
        <w:rPr>
          <w:rFonts w:ascii="Arial" w:cs="Arial" w:eastAsia="Arial" w:hAnsi="Arial"/>
          <w:sz w:val="21"/>
          <w:szCs w:val="21"/>
          <w:color w:val="auto"/>
        </w:rPr>
        <w:t>as set forth in such Partner’s Terms Letter and the Profit Sharing Percentage of GP Holdings as of the Effective Date shall be as set forth in Section 2.2.</w:t>
      </w:r>
    </w:p>
    <w:p>
      <w:pPr>
        <w:spacing w:after="0" w:line="163"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Profit Sharing Reduction Percentage</w:t>
      </w:r>
      <w:r>
        <w:rPr>
          <w:rFonts w:ascii="Arial" w:cs="Arial" w:eastAsia="Arial" w:hAnsi="Arial"/>
          <w:sz w:val="21"/>
          <w:szCs w:val="21"/>
          <w:color w:val="auto"/>
        </w:rPr>
        <w:t>” means, with respect to any Non-Affiliated Limited Partner, the relevant percentage set forth in this Agreement or in such Partner’s Terms Letter.</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Recalculated Income Tax Amount</w:t>
      </w:r>
      <w:r>
        <w:rPr>
          <w:rFonts w:ascii="Arial" w:cs="Arial" w:eastAsia="Arial" w:hAnsi="Arial"/>
          <w:sz w:val="21"/>
          <w:szCs w:val="21"/>
          <w:color w:val="auto"/>
        </w:rPr>
        <w:t>” has the meaning set forth in Section 4.5(e).</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 of Limited Partners</w:t>
      </w:r>
      <w:r>
        <w:rPr>
          <w:rFonts w:ascii="Arial" w:cs="Arial" w:eastAsia="Arial" w:hAnsi="Arial"/>
          <w:sz w:val="21"/>
          <w:szCs w:val="21"/>
          <w:color w:val="auto"/>
        </w:rPr>
        <w:t>” means the current record of the Limited Partners maintained by the General Partner and kept at the Partnership’s office in Ontario, stating for each Limited Partner, its name, address, amount of Capital Commitment and any other information required by the Act.</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Registrar</w:t>
      </w:r>
      <w:r>
        <w:rPr>
          <w:rFonts w:ascii="Arial" w:cs="Arial" w:eastAsia="Arial" w:hAnsi="Arial"/>
          <w:sz w:val="21"/>
          <w:szCs w:val="21"/>
          <w:color w:val="auto"/>
        </w:rPr>
        <w:t>” means a public servant of the Ontario Ministry of Public Services.</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Repurchase/Reduction Notice</w:t>
      </w:r>
      <w:r>
        <w:rPr>
          <w:rFonts w:ascii="Arial" w:cs="Arial" w:eastAsia="Arial" w:hAnsi="Arial"/>
          <w:sz w:val="21"/>
          <w:szCs w:val="21"/>
          <w:color w:val="auto"/>
        </w:rPr>
        <w:t>” has the meaning set forth in Section 4.4(c).</w:t>
      </w:r>
    </w:p>
    <w:p>
      <w:pPr>
        <w:spacing w:after="0" w:line="218" w:lineRule="exact"/>
        <w:rPr>
          <w:sz w:val="20"/>
          <w:szCs w:val="20"/>
          <w:color w:val="auto"/>
        </w:rPr>
      </w:pPr>
    </w:p>
    <w:p>
      <w:pPr>
        <w:jc w:val="both"/>
        <w:ind w:left="130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Price</w:t>
      </w:r>
      <w:r>
        <w:rPr>
          <w:rFonts w:ascii="Arial" w:cs="Arial" w:eastAsia="Arial" w:hAnsi="Arial"/>
          <w:sz w:val="21"/>
          <w:szCs w:val="21"/>
          <w:color w:val="auto"/>
        </w:rPr>
        <w:t xml:space="preserve">” means, with respect to the Interest of any Non-Affiliated Limited Partner at any time, an amount determined by the General Partner equal to the fair market value of such Interest at such time, as determined by the General Partner in its reasonable discretion, which amount will be based on the fair market value of the Partner’s attributable share of the direct or indirect interest of the Partnership in the Fund, as carried on the books of the Partnership at such time, without any credit for the Partnership’s interest in the Carried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repurchase of the Interest of any Limited Partner that becomes a Special Limited in circumstances involving Cause, the Repurchase Price shall be the lesser of such amount and the unreturned Capital Contributions attributable to such Interest (without interest).</w:t>
      </w:r>
    </w:p>
    <w:p>
      <w:pPr>
        <w:spacing w:after="0" w:line="189"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w:t>
      </w:r>
      <w:r>
        <w:rPr>
          <w:rFonts w:ascii="Arial" w:cs="Arial" w:eastAsia="Arial" w:hAnsi="Arial"/>
          <w:sz w:val="21"/>
          <w:szCs w:val="21"/>
          <w:color w:val="auto"/>
        </w:rPr>
        <w:t>” means shares of capital stock, partnership interests, limited liability company interests, net profits, royalties, warrants, options, bonds, notes, debentures, loans, liens, loan participations and other equity or debt (or equity-like) instruments or contractual arrangements of whatever kind of any Person, whether readily marketable or not.</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has the meaning set forth in Section 10.9(c)(vii).</w:t>
      </w:r>
    </w:p>
    <w:p>
      <w:pPr>
        <w:spacing w:after="0" w:line="218"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Limited Partner</w:t>
      </w:r>
      <w:r>
        <w:rPr>
          <w:rFonts w:ascii="Arial" w:cs="Arial" w:eastAsia="Arial" w:hAnsi="Arial"/>
          <w:sz w:val="21"/>
          <w:szCs w:val="21"/>
          <w:color w:val="auto"/>
        </w:rPr>
        <w:t>” means any EPI Limited Partner who has ceased to be employed or, in the case of an Operating Executive, retained as a consultant by any of EPI, the Investment Advisor, the Investment Manager or any of their Respective Affiliates.</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Advances</w:t>
      </w:r>
      <w:r>
        <w:rPr>
          <w:rFonts w:ascii="Arial" w:cs="Arial" w:eastAsia="Arial" w:hAnsi="Arial"/>
          <w:sz w:val="21"/>
          <w:szCs w:val="21"/>
          <w:color w:val="auto"/>
        </w:rPr>
        <w:t>” has the meaning set forth in Section 5.6.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5" w:name="page126"/>
    <w:bookmarkEnd w:id="125"/>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Matters Partner</w:t>
      </w:r>
      <w:r>
        <w:rPr>
          <w:rFonts w:ascii="Arial" w:cs="Arial" w:eastAsia="Arial" w:hAnsi="Arial"/>
          <w:sz w:val="21"/>
          <w:szCs w:val="21"/>
          <w:color w:val="auto"/>
        </w:rPr>
        <w:t>” has the meaning set forth in Section 6.4.</w:t>
      </w:r>
    </w:p>
    <w:p>
      <w:pPr>
        <w:spacing w:after="0" w:line="218"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Team Member</w:t>
      </w:r>
      <w:r>
        <w:rPr>
          <w:rFonts w:ascii="Arial" w:cs="Arial" w:eastAsia="Arial" w:hAnsi="Arial"/>
          <w:sz w:val="21"/>
          <w:szCs w:val="21"/>
          <w:color w:val="auto"/>
        </w:rPr>
        <w:t>” means each Limited Partner that is designated by the General Partner in good faith as a Team Member and shown as such on the books and records of the Partnership. The Partners understand that the General Partner currently expects that only Limited Partners that have Profit Sharing Percentages in excess of 0% will be designated as Team Members.</w:t>
      </w:r>
    </w:p>
    <w:p>
      <w:pPr>
        <w:spacing w:after="0" w:line="182"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Temporary Investments</w:t>
      </w:r>
      <w:r>
        <w:rPr>
          <w:rFonts w:ascii="Arial" w:cs="Arial" w:eastAsia="Arial" w:hAnsi="Arial"/>
          <w:sz w:val="20"/>
          <w:szCs w:val="20"/>
          <w:color w:val="auto"/>
        </w:rPr>
        <w:t>” means (a) United States government and agency obligations maturing within three years, (b) commercial paper rated not lower than A 1 by Standard &amp; Poor’s Corporation or P 1 by Moody’s Investor Services, Inc. with maturities of not more than nine (9) months, (c) interest bearing deposits in banks having one of the ratings referred to above, maturing within one year, (d) municipal bonds and other tax-exempt securities rated not lower than AA by Standard &amp; Poor’s Corporation or Aa by Moody’s Investor Services, Inc. with maturities of not more than one year and (e) money market mutual funds the assets of which are reasonably believed by the General Partner to consist primarily of items described in one or more of the foregoing clauses (a), (b), (c) or (d), or (f) any other investments as the General Partner may determine.</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Temporary Investment Proceeds</w:t>
      </w:r>
      <w:r>
        <w:rPr>
          <w:rFonts w:ascii="Arial" w:cs="Arial" w:eastAsia="Arial" w:hAnsi="Arial"/>
          <w:sz w:val="21"/>
          <w:szCs w:val="21"/>
          <w:color w:val="auto"/>
        </w:rPr>
        <w:t>” has the meaning set forth in Section 4.1(c)(i).</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has the meaning set forth in Section 4.4(a).</w:t>
      </w:r>
    </w:p>
    <w:p>
      <w:pPr>
        <w:spacing w:after="0" w:line="218"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Terms Letter</w:t>
      </w:r>
      <w:r>
        <w:rPr>
          <w:rFonts w:ascii="Arial" w:cs="Arial" w:eastAsia="Arial" w:hAnsi="Arial"/>
          <w:sz w:val="21"/>
          <w:szCs w:val="21"/>
          <w:color w:val="auto"/>
        </w:rPr>
        <w:t>” means, with respect to any Non-Affiliated Limited Partner, the letter agreement between the Partnership and such Partner setting forth, among other matters, (a) such Partner’s Profit Sharing Percentage, (b) such Partner’s Profit Sharing Reduction Percentage, (c) such Partner’s Capital Commitment and (d) such Partner’s Capital Repurchase Percentage.</w:t>
      </w:r>
    </w:p>
    <w:p>
      <w:pPr>
        <w:spacing w:after="0" w:line="182" w:lineRule="exact"/>
        <w:rPr>
          <w:sz w:val="20"/>
          <w:szCs w:val="20"/>
          <w:color w:val="auto"/>
        </w:rPr>
      </w:pPr>
    </w:p>
    <w:p>
      <w:pPr>
        <w:jc w:val="both"/>
        <w:ind w:left="1300" w:firstLine="64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means any assignment, sale, exchange, transfer, pledge, encumbrance, hypothecation or other disposition of all or any part of an Interest.</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of the U.S. Treasury Department issued pursuant to the Code.</w:t>
      </w:r>
    </w:p>
    <w:p>
      <w:pPr>
        <w:spacing w:after="0" w:line="241" w:lineRule="exact"/>
        <w:rPr>
          <w:sz w:val="20"/>
          <w:szCs w:val="20"/>
          <w:color w:val="auto"/>
        </w:rPr>
      </w:pPr>
    </w:p>
    <w:p>
      <w:pPr>
        <w:jc w:val="both"/>
        <w:ind w:left="130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Unpaid Capital Commitment</w:t>
      </w:r>
      <w:r>
        <w:rPr>
          <w:rFonts w:ascii="Arial" w:cs="Arial" w:eastAsia="Arial" w:hAnsi="Arial"/>
          <w:sz w:val="21"/>
          <w:szCs w:val="21"/>
          <w:color w:val="auto"/>
        </w:rPr>
        <w:t xml:space="preserve">” means, with respect to any Partner as of any date, an amount equal to (a) the Capital Commitment of such Partner as of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aggregate amount of capital contributions made by such Partner to the Partnership on or prior to such date pursuant to Section 5.1(a)(i) or (ii), </w:t>
      </w:r>
      <w:r>
        <w:rPr>
          <w:rFonts w:ascii="Arial" w:cs="Arial" w:eastAsia="Arial" w:hAnsi="Arial"/>
          <w:sz w:val="21"/>
          <w:szCs w:val="21"/>
          <w:i w:val="1"/>
          <w:iCs w:val="1"/>
          <w:color w:val="auto"/>
        </w:rPr>
        <w:t>plus</w:t>
      </w:r>
      <w:r>
        <w:rPr>
          <w:rFonts w:ascii="Arial" w:cs="Arial" w:eastAsia="Arial" w:hAnsi="Arial"/>
          <w:sz w:val="21"/>
          <w:szCs w:val="21"/>
          <w:color w:val="auto"/>
        </w:rPr>
        <w:t xml:space="preserve"> (c) any amounts of Capital Proceeds distributed to the Partner, to the extent that when such amounts were received by the Partnership, it increased the Partnership’s “Unfunded Capital Commitment” (as defined in the Fund Partnership Agreement), plus (d) the aggregate amount of any distributions to such Partner in connection with the admission of a Limited Partner on the Effective Date representing a return of capital under Section 2.9(b) and </w:t>
      </w:r>
      <w:r>
        <w:rPr>
          <w:rFonts w:ascii="Arial" w:cs="Arial" w:eastAsia="Arial" w:hAnsi="Arial"/>
          <w:sz w:val="21"/>
          <w:szCs w:val="21"/>
          <w:i w:val="1"/>
          <w:iCs w:val="1"/>
          <w:color w:val="auto"/>
        </w:rPr>
        <w:t>plus</w:t>
      </w:r>
      <w:r>
        <w:rPr>
          <w:rFonts w:ascii="Arial" w:cs="Arial" w:eastAsia="Arial" w:hAnsi="Arial"/>
          <w:sz w:val="21"/>
          <w:szCs w:val="21"/>
          <w:color w:val="auto"/>
        </w:rPr>
        <w:t xml:space="preserve"> or </w:t>
      </w:r>
      <w:r>
        <w:rPr>
          <w:rFonts w:ascii="Arial" w:cs="Arial" w:eastAsia="Arial" w:hAnsi="Arial"/>
          <w:sz w:val="21"/>
          <w:szCs w:val="21"/>
          <w:i w:val="1"/>
          <w:iCs w:val="1"/>
          <w:color w:val="auto"/>
        </w:rPr>
        <w:t>minus</w:t>
      </w:r>
      <w:r>
        <w:rPr>
          <w:rFonts w:ascii="Arial" w:cs="Arial" w:eastAsia="Arial" w:hAnsi="Arial"/>
          <w:sz w:val="21"/>
          <w:szCs w:val="21"/>
          <w:color w:val="auto"/>
        </w:rPr>
        <w:t>, as the case may be, (e) any adjustments to such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6" w:name="page127"/>
    <w:bookmarkEnd w:id="126"/>
    <w:p>
      <w:pPr>
        <w:ind w:left="1300"/>
        <w:spacing w:after="0"/>
        <w:rPr>
          <w:sz w:val="20"/>
          <w:szCs w:val="20"/>
          <w:color w:val="auto"/>
        </w:rPr>
      </w:pPr>
      <w:r>
        <w:rPr>
          <w:rFonts w:ascii="Arial" w:cs="Arial" w:eastAsia="Arial" w:hAnsi="Arial"/>
          <w:sz w:val="20"/>
          <w:szCs w:val="20"/>
          <w:color w:val="auto"/>
        </w:rPr>
        <w:t xml:space="preserve">Unpaid Capital Commitment on or prior to such date pursuant to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Partner whose</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Unpaid Capital Commitment was reduced to zero other than pursuant to the foregoing clause (b) shall not have its</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Unpaid Capital Commitment subsequently increased by clauses (c) or (d).</w:t>
      </w:r>
    </w:p>
    <w:p>
      <w:pPr>
        <w:spacing w:after="0" w:line="200"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1.2</w:t>
      </w:r>
      <w:r>
        <w:rPr>
          <w:sz w:val="20"/>
          <w:szCs w:val="20"/>
          <w:color w:val="auto"/>
        </w:rPr>
        <w:tab/>
      </w:r>
      <w:r>
        <w:rPr>
          <w:rFonts w:ascii="Arial" w:cs="Arial" w:eastAsia="Arial" w:hAnsi="Arial"/>
          <w:sz w:val="19"/>
          <w:szCs w:val="19"/>
          <w:u w:val="single" w:color="auto"/>
          <w:color w:val="auto"/>
        </w:rPr>
        <w:t>Terms Generally.</w:t>
      </w:r>
    </w:p>
    <w:p>
      <w:pPr>
        <w:spacing w:after="0" w:line="21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The definitions in Section 1.1 shall apply equally to both the singular and plural forms of the terms defined. Whenever the context may require, any pronoun shall include the corresponding masculine, feminine and neuter forms. The term “person” includes individuals, partnerships, limited liability companies, joint ventures, corporations, trusts, governments (or agencies or political subdivisions thereof) and other associations and entities. Unless the context requires otherwise, the words “include”, “includes” and “including” shall be deemed to be followed by the phrase “without limitation”. When a reference is made in this Agreement to the preamble or a Section, Article or Annex such reference shall be to the preamble or to a Section, Article or Annex of this Agreement unless otherwise indicated. All Annexes hereto are hereby incorporated in and made a part of this Agreement as if set forth herein. If any questions should arise with respect to the operation of the Partnership that are not specifically provided for in this Agreement, or with respect to the interpretation of this Agreement, the General Partner is hereby authorized to make a final determination with respect to any such question and to interpret this Agreement in good faith, and its determination and interpretation so made shall be final and binding on all parties.</w:t>
      </w:r>
    </w:p>
    <w:p>
      <w:pPr>
        <w:spacing w:after="0" w:line="24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II</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General Provisions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2.1</w:t>
      </w:r>
      <w:r>
        <w:rPr>
          <w:sz w:val="20"/>
          <w:szCs w:val="20"/>
          <w:color w:val="auto"/>
        </w:rPr>
        <w:tab/>
      </w:r>
      <w:r>
        <w:rPr>
          <w:rFonts w:ascii="Arial" w:cs="Arial" w:eastAsia="Arial" w:hAnsi="Arial"/>
          <w:sz w:val="19"/>
          <w:szCs w:val="19"/>
          <w:u w:val="single" w:color="auto"/>
          <w:color w:val="auto"/>
        </w:rPr>
        <w:t>Formation.</w:t>
      </w:r>
    </w:p>
    <w:p>
      <w:pPr>
        <w:spacing w:after="0" w:line="218" w:lineRule="exact"/>
        <w:rPr>
          <w:sz w:val="20"/>
          <w:szCs w:val="20"/>
          <w:color w:val="auto"/>
        </w:rPr>
      </w:pPr>
    </w:p>
    <w:p>
      <w:pPr>
        <w:jc w:val="both"/>
        <w:ind w:firstLine="1305"/>
        <w:spacing w:after="0" w:line="274" w:lineRule="auto"/>
        <w:tabs>
          <w:tab w:leader="none" w:pos="1771"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Province of Ontario, and the federal laws of Canada applicable therein. In particular, the Partnership is formed pursuant to the Act, and the rights and liabilities of the Partners and the restrictions, limitations and prohibitions applicable to the Partners, shall be as provided therein, except as herein otherwise expressly provided. If, nevertheless, it shall be determined by a court of competent jurisdiction that any provision or wording of this Agreement shall be invalid or unenforceable under such Act or other applicable law, such invalidity or unenforceability shall not invalidate the entire Agreement. In that case, this Agreement shall be construed so as to limit any term or provision so as to make it enforceable or valid within the requirements of the Act or other applicable law, and, in the event such term or provision cannot be so limited, this Agreement shall be construed to omit such invalid or unenforceable provisions.</w:t>
      </w:r>
    </w:p>
    <w:p>
      <w:pPr>
        <w:spacing w:after="0" w:line="165" w:lineRule="exact"/>
        <w:rPr>
          <w:rFonts w:ascii="Arial" w:cs="Arial" w:eastAsia="Arial" w:hAnsi="Arial"/>
          <w:sz w:val="19"/>
          <w:szCs w:val="19"/>
          <w:color w:val="auto"/>
        </w:rPr>
      </w:pPr>
    </w:p>
    <w:p>
      <w:pPr>
        <w:jc w:val="both"/>
        <w:ind w:firstLine="1305"/>
        <w:spacing w:after="0" w:line="273" w:lineRule="auto"/>
        <w:tabs>
          <w:tab w:leader="none" w:pos="1798"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party hereto irrevocably submits to the exclusive jurisdiction of the courts of competent jurisdiction in the Province of Ontario in respect of any action or proceeding relating in any way to this Agreement. The parties shall not raise any objection to the venue of any proceedings in any such court, including the objection that the proceedings have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7" w:name="page128"/>
    <w:bookmarkEnd w:id="127"/>
    <w:p>
      <w:pPr>
        <w:jc w:val="both"/>
        <w:spacing w:after="0" w:line="276" w:lineRule="auto"/>
        <w:rPr>
          <w:sz w:val="20"/>
          <w:szCs w:val="20"/>
          <w:color w:val="auto"/>
        </w:rPr>
      </w:pPr>
      <w:r>
        <w:rPr>
          <w:rFonts w:ascii="Arial" w:cs="Arial" w:eastAsia="Arial" w:hAnsi="Arial"/>
          <w:sz w:val="19"/>
          <w:szCs w:val="19"/>
          <w:color w:val="auto"/>
        </w:rPr>
        <w:t>brought in an inconvenient forum. The General Partner irrevocably appoints Osler, Hoskin &amp; Harcourt LLP (the “</w:t>
      </w:r>
      <w:r>
        <w:rPr>
          <w:rFonts w:ascii="Arial" w:cs="Arial" w:eastAsia="Arial" w:hAnsi="Arial"/>
          <w:sz w:val="19"/>
          <w:szCs w:val="19"/>
          <w:u w:val="single" w:color="auto"/>
          <w:color w:val="auto"/>
        </w:rPr>
        <w:t>Process Agent</w:t>
      </w:r>
      <w:r>
        <w:rPr>
          <w:rFonts w:ascii="Arial" w:cs="Arial" w:eastAsia="Arial" w:hAnsi="Arial"/>
          <w:sz w:val="19"/>
          <w:szCs w:val="19"/>
          <w:color w:val="auto"/>
        </w:rPr>
        <w:t>”), with an office on the date of this Agreement at Box 50, 1 First Canadian Place, Toronto, Ontario, Canada M5X 1B8,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5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2.2</w:t>
      </w:r>
      <w:r>
        <w:rPr>
          <w:sz w:val="20"/>
          <w:szCs w:val="20"/>
          <w:color w:val="auto"/>
        </w:rPr>
        <w:tab/>
      </w:r>
      <w:r>
        <w:rPr>
          <w:rFonts w:ascii="Arial" w:cs="Arial" w:eastAsia="Arial" w:hAnsi="Arial"/>
          <w:sz w:val="18"/>
          <w:szCs w:val="18"/>
          <w:u w:val="single" w:color="auto"/>
          <w:color w:val="auto"/>
        </w:rPr>
        <w:t>Partners.</w:t>
      </w:r>
    </w:p>
    <w:p>
      <w:pPr>
        <w:spacing w:after="0" w:line="21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1"/>
          <w:szCs w:val="21"/>
          <w:color w:val="auto"/>
        </w:rPr>
        <w:t>Annex A attached hereto contains the name of each Partner as of the Effective Date. The General Partner is authorized to revise Annex A from time to time to reflect the admission or withdrawal of a Partner in accordance with the terms of this Agreement and the Act and other modifications to or changes in the information set forth therein. As of the Effective Date, GP Holdings’s Profit Sharing Percentage shall be equal to 50% of the aggregate Profit Sharing Percentage.</w:t>
      </w:r>
    </w:p>
    <w:p>
      <w:pPr>
        <w:spacing w:after="0" w:line="18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2.3</w:t>
      </w:r>
      <w:r>
        <w:rPr>
          <w:sz w:val="20"/>
          <w:szCs w:val="20"/>
          <w:color w:val="auto"/>
        </w:rPr>
        <w:tab/>
      </w:r>
      <w:r>
        <w:rPr>
          <w:rFonts w:ascii="Arial" w:cs="Arial" w:eastAsia="Arial" w:hAnsi="Arial"/>
          <w:sz w:val="19"/>
          <w:szCs w:val="19"/>
          <w:u w:val="single" w:color="auto"/>
          <w:color w:val="auto"/>
        </w:rPr>
        <w:t>Name.</w:t>
      </w:r>
    </w:p>
    <w:p>
      <w:pPr>
        <w:spacing w:after="0" w:line="21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color w:val="auto"/>
        </w:rPr>
        <w:t>The Partnership shall conduct its activities under the name of “Evercore Mexico Partners III, L.P.” The Partnership’s business may be conducted under any other name or names as the General Partner may determine, in accordance with the Act. The General Partner shall give prompt notice of any such name change to each Limited Partner.</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2.4</w:t>
      </w:r>
      <w:r>
        <w:rPr>
          <w:sz w:val="20"/>
          <w:szCs w:val="20"/>
          <w:color w:val="auto"/>
        </w:rPr>
        <w:tab/>
      </w:r>
      <w:r>
        <w:rPr>
          <w:rFonts w:ascii="Arial" w:cs="Arial" w:eastAsia="Arial" w:hAnsi="Arial"/>
          <w:sz w:val="19"/>
          <w:szCs w:val="19"/>
          <w:u w:val="single" w:color="auto"/>
          <w:color w:val="auto"/>
        </w:rPr>
        <w:t>Liability of the Partners Generally.</w:t>
      </w:r>
    </w:p>
    <w:p>
      <w:pPr>
        <w:spacing w:after="0" w:line="218" w:lineRule="exact"/>
        <w:rPr>
          <w:sz w:val="20"/>
          <w:szCs w:val="20"/>
          <w:color w:val="auto"/>
        </w:rPr>
      </w:pPr>
    </w:p>
    <w:p>
      <w:pPr>
        <w:ind w:firstLine="1305"/>
        <w:spacing w:after="0" w:line="268" w:lineRule="auto"/>
        <w:tabs>
          <w:tab w:leader="none" w:pos="1787" w:val="left"/>
        </w:tabs>
        <w:numPr>
          <w:ilvl w:val="0"/>
          <w:numId w:val="40"/>
        </w:numPr>
        <w:rPr>
          <w:rFonts w:ascii="Arial" w:cs="Arial" w:eastAsia="Arial" w:hAnsi="Arial"/>
          <w:sz w:val="21"/>
          <w:szCs w:val="21"/>
          <w:color w:val="auto"/>
        </w:rPr>
      </w:pPr>
      <w:r>
        <w:rPr>
          <w:rFonts w:ascii="Arial" w:cs="Arial" w:eastAsia="Arial" w:hAnsi="Arial"/>
          <w:sz w:val="21"/>
          <w:szCs w:val="21"/>
          <w:color w:val="auto"/>
        </w:rPr>
        <w:t>Except as provided in this Agreement and to the extent permitted by the Act, the General Partner shall have the liabilities of a general partner as provided in the Act.</w:t>
      </w:r>
    </w:p>
    <w:p>
      <w:pPr>
        <w:spacing w:after="0" w:line="162" w:lineRule="exact"/>
        <w:rPr>
          <w:rFonts w:ascii="Arial" w:cs="Arial" w:eastAsia="Arial" w:hAnsi="Arial"/>
          <w:sz w:val="21"/>
          <w:szCs w:val="21"/>
          <w:color w:val="auto"/>
        </w:rPr>
      </w:pPr>
    </w:p>
    <w:p>
      <w:pPr>
        <w:jc w:val="both"/>
        <w:ind w:firstLine="1305"/>
        <w:spacing w:after="0" w:line="254" w:lineRule="auto"/>
        <w:tabs>
          <w:tab w:leader="none" w:pos="1762" w:val="left"/>
        </w:tabs>
        <w:numPr>
          <w:ilvl w:val="0"/>
          <w:numId w:val="40"/>
        </w:numPr>
        <w:rPr>
          <w:rFonts w:ascii="Arial" w:cs="Arial" w:eastAsia="Arial" w:hAnsi="Arial"/>
          <w:sz w:val="21"/>
          <w:szCs w:val="21"/>
          <w:color w:val="auto"/>
        </w:rPr>
      </w:pPr>
      <w:r>
        <w:rPr>
          <w:rFonts w:ascii="Arial" w:cs="Arial" w:eastAsia="Arial" w:hAnsi="Arial"/>
          <w:sz w:val="21"/>
          <w:szCs w:val="21"/>
          <w:color w:val="auto"/>
        </w:rPr>
        <w:t>Except as expressly provided in this Agreement and the Act, no Limited Partner (or former Limited Partner) shall be obligated to make any contribution of capital to the Partnership or have any liability for the debts and obligations of the Partnership.</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2.5</w:t>
      </w:r>
      <w:r>
        <w:rPr>
          <w:sz w:val="20"/>
          <w:szCs w:val="20"/>
          <w:color w:val="auto"/>
        </w:rPr>
        <w:tab/>
      </w:r>
      <w:r>
        <w:rPr>
          <w:rFonts w:ascii="Arial" w:cs="Arial" w:eastAsia="Arial" w:hAnsi="Arial"/>
          <w:sz w:val="19"/>
          <w:szCs w:val="19"/>
          <w:u w:val="single" w:color="auto"/>
          <w:color w:val="auto"/>
        </w:rPr>
        <w:t>Term.</w:t>
      </w:r>
    </w:p>
    <w:p>
      <w:pPr>
        <w:spacing w:after="0" w:line="21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The term of the Partnership commenced upon the filing of the Declaration of Limited Partnership in the office of the Registrar. The existence of the Partnership shall continue unless and until the Partnership is dissolved, wound up and terminated in accordance with Article VII. No Partner shall have the right, and each Partner hereby agrees not to, withdraw from the Partnership, nor to dissolve, terminate or liquidate, or to petition a court for the dissolution, termination or liquidation of the Partnership, in each case except as expressly provided in this Agreement or the Act; and, except with the consent of the General Partner in its sole and absolute discretion, no Partner at any time shall have the right to petition or to take any action to subject Partnership assets or any part thereof to the authority of any court or other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governmental body in connection with any bankruptcy, insolvency, receivership or similar proceeding, except as permitted in the Act.</w:t>
      </w:r>
    </w:p>
    <w:p>
      <w:pPr>
        <w:spacing w:after="0" w:line="241"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2.6</w:t>
      </w:r>
      <w:r>
        <w:rPr>
          <w:sz w:val="20"/>
          <w:szCs w:val="20"/>
          <w:color w:val="auto"/>
        </w:rPr>
        <w:tab/>
      </w:r>
      <w:r>
        <w:rPr>
          <w:rFonts w:ascii="Arial" w:cs="Arial" w:eastAsia="Arial" w:hAnsi="Arial"/>
          <w:sz w:val="18"/>
          <w:szCs w:val="18"/>
          <w:u w:val="single" w:color="auto"/>
          <w:color w:val="auto"/>
        </w:rPr>
        <w:t>Purpose; Powers.</w:t>
      </w:r>
    </w:p>
    <w:p>
      <w:pPr>
        <w:spacing w:after="0" w:line="218" w:lineRule="exact"/>
        <w:rPr>
          <w:sz w:val="20"/>
          <w:szCs w:val="20"/>
          <w:color w:val="auto"/>
        </w:rPr>
      </w:pPr>
    </w:p>
    <w:p>
      <w:pPr>
        <w:jc w:val="both"/>
        <w:ind w:firstLine="1305"/>
        <w:spacing w:after="0" w:line="246" w:lineRule="auto"/>
        <w:tabs>
          <w:tab w:leader="none" w:pos="1788"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purpose of the Partnership shall be, directly or indirectly through subsidiaries or Affiliates, (i) to serve as a general partner of the Fund and as a general partner or in a similar capacity for other investment partnerships formed pursuant to the Fund Partnership Agreement, perform the functions required of a general partner of the Fund and as a general partner or in a similar capacity for such other investment partnerships and make capital contributions thereto, (ii) to provide investment management services to other investment vehicles and accounts formed pursuant to the Fund Partnership Agreement, (iii) to engage in any other lawful business under the Act and applicable law that the General Partner determines the Partnership shall engage in and (iv) to do all things necessary or incidental thereto.</w:t>
      </w:r>
    </w:p>
    <w:p>
      <w:pPr>
        <w:spacing w:after="0" w:line="185" w:lineRule="exact"/>
        <w:rPr>
          <w:rFonts w:ascii="Arial" w:cs="Arial" w:eastAsia="Arial" w:hAnsi="Arial"/>
          <w:sz w:val="21"/>
          <w:szCs w:val="21"/>
          <w:color w:val="auto"/>
        </w:rPr>
      </w:pPr>
    </w:p>
    <w:p>
      <w:pPr>
        <w:ind w:right="20" w:firstLine="1305"/>
        <w:spacing w:after="0" w:line="268" w:lineRule="auto"/>
        <w:tabs>
          <w:tab w:leader="none" w:pos="1857"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 furtherance of its purposes, the Partnership shall have all powers necessary, suitable or convenient for the accomplishment of its purposes, alone or with others, including the following:</w:t>
      </w:r>
    </w:p>
    <w:p>
      <w:pPr>
        <w:spacing w:after="0" w:line="162" w:lineRule="exact"/>
        <w:rPr>
          <w:rFonts w:ascii="Arial" w:cs="Arial" w:eastAsia="Arial" w:hAnsi="Arial"/>
          <w:sz w:val="21"/>
          <w:szCs w:val="21"/>
          <w:color w:val="auto"/>
        </w:rPr>
      </w:pPr>
    </w:p>
    <w:p>
      <w:pPr>
        <w:ind w:left="2360" w:hanging="407"/>
        <w:spacing w:after="0"/>
        <w:tabs>
          <w:tab w:leader="none" w:pos="2360" w:val="left"/>
        </w:tabs>
        <w:numPr>
          <w:ilvl w:val="1"/>
          <w:numId w:val="41"/>
        </w:numPr>
        <w:rPr>
          <w:rFonts w:ascii="Arial" w:cs="Arial" w:eastAsia="Arial" w:hAnsi="Arial"/>
          <w:sz w:val="21"/>
          <w:szCs w:val="21"/>
          <w:color w:val="auto"/>
        </w:rPr>
      </w:pPr>
      <w:r>
        <w:rPr>
          <w:rFonts w:ascii="Arial" w:cs="Arial" w:eastAsia="Arial" w:hAnsi="Arial"/>
          <w:sz w:val="21"/>
          <w:szCs w:val="21"/>
          <w:color w:val="auto"/>
        </w:rPr>
        <w:t>to render investment and asset management services to the Fund and other persons;</w:t>
      </w:r>
    </w:p>
    <w:p>
      <w:pPr>
        <w:spacing w:after="0" w:line="217" w:lineRule="exact"/>
        <w:rPr>
          <w:rFonts w:ascii="Arial" w:cs="Arial" w:eastAsia="Arial" w:hAnsi="Arial"/>
          <w:sz w:val="21"/>
          <w:szCs w:val="21"/>
          <w:color w:val="auto"/>
        </w:rPr>
      </w:pPr>
    </w:p>
    <w:p>
      <w:pPr>
        <w:jc w:val="both"/>
        <w:ind w:firstLine="1953"/>
        <w:spacing w:after="0" w:line="254" w:lineRule="auto"/>
        <w:tabs>
          <w:tab w:leader="none" w:pos="2439" w:val="left"/>
        </w:tabs>
        <w:numPr>
          <w:ilvl w:val="1"/>
          <w:numId w:val="41"/>
        </w:numPr>
        <w:rPr>
          <w:rFonts w:ascii="Arial" w:cs="Arial" w:eastAsia="Arial" w:hAnsi="Arial"/>
          <w:sz w:val="21"/>
          <w:szCs w:val="21"/>
          <w:color w:val="auto"/>
        </w:rPr>
      </w:pPr>
      <w:r>
        <w:rPr>
          <w:rFonts w:ascii="Arial" w:cs="Arial" w:eastAsia="Arial" w:hAnsi="Arial"/>
          <w:sz w:val="21"/>
          <w:szCs w:val="21"/>
          <w:color w:val="auto"/>
        </w:rPr>
        <w:t>to hold, receive, mortgage, pledge, transfer, exchange, otherwise dispose of, grant options with respect to and otherwise deal in and exercise all rights, powers, privileges and other incidents of ownership or possession with respect to all Securities and other property;</w:t>
      </w:r>
    </w:p>
    <w:p>
      <w:pPr>
        <w:spacing w:after="0" w:line="178" w:lineRule="exact"/>
        <w:rPr>
          <w:rFonts w:ascii="Arial" w:cs="Arial" w:eastAsia="Arial" w:hAnsi="Arial"/>
          <w:sz w:val="21"/>
          <w:szCs w:val="21"/>
          <w:color w:val="auto"/>
        </w:rPr>
      </w:pPr>
    </w:p>
    <w:p>
      <w:pPr>
        <w:ind w:left="2680" w:hanging="727"/>
        <w:spacing w:after="0"/>
        <w:tabs>
          <w:tab w:leader="none" w:pos="26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to invest and reinvest cash assets of the Partnership in any investments, including the Fund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Temporary Investments;</w:t>
      </w:r>
    </w:p>
    <w:p>
      <w:pPr>
        <w:spacing w:after="0" w:line="199" w:lineRule="exact"/>
        <w:rPr>
          <w:rFonts w:ascii="Arial" w:cs="Arial" w:eastAsia="Arial" w:hAnsi="Arial"/>
          <w:sz w:val="20"/>
          <w:szCs w:val="20"/>
          <w:color w:val="auto"/>
        </w:rPr>
      </w:pPr>
    </w:p>
    <w:p>
      <w:pPr>
        <w:jc w:val="both"/>
        <w:ind w:firstLine="1953"/>
        <w:spacing w:after="0" w:line="294" w:lineRule="auto"/>
        <w:tabs>
          <w:tab w:leader="none" w:pos="2503" w:val="left"/>
        </w:tabs>
        <w:numPr>
          <w:ilvl w:val="1"/>
          <w:numId w:val="41"/>
        </w:numPr>
        <w:rPr>
          <w:rFonts w:ascii="Arial" w:cs="Arial" w:eastAsia="Arial" w:hAnsi="Arial"/>
          <w:sz w:val="19"/>
          <w:szCs w:val="19"/>
          <w:color w:val="auto"/>
        </w:rPr>
      </w:pPr>
      <w:r>
        <w:rPr>
          <w:rFonts w:ascii="Arial" w:cs="Arial" w:eastAsia="Arial" w:hAnsi="Arial"/>
          <w:sz w:val="19"/>
          <w:szCs w:val="19"/>
          <w:color w:val="auto"/>
        </w:rPr>
        <w:t>to have and maintain one or more offices outside Canada, or to the extent necessary to comply with the requirements of the Act, within the Province of Ontario and, in connection therewith, to rent or acquire office space, engage personnel and do such other acts and things as may be advisable or necessary in connection with the maintenance of such office or offices;</w:t>
      </w:r>
    </w:p>
    <w:p>
      <w:pPr>
        <w:spacing w:after="0" w:line="142" w:lineRule="exact"/>
        <w:rPr>
          <w:rFonts w:ascii="Arial" w:cs="Arial" w:eastAsia="Arial" w:hAnsi="Arial"/>
          <w:sz w:val="19"/>
          <w:szCs w:val="19"/>
          <w:color w:val="auto"/>
        </w:rPr>
      </w:pPr>
    </w:p>
    <w:p>
      <w:pPr>
        <w:ind w:right="20" w:firstLine="1953"/>
        <w:spacing w:after="0" w:line="268" w:lineRule="auto"/>
        <w:tabs>
          <w:tab w:leader="none" w:pos="2441" w:val="left"/>
        </w:tabs>
        <w:numPr>
          <w:ilvl w:val="1"/>
          <w:numId w:val="41"/>
        </w:numPr>
        <w:rPr>
          <w:rFonts w:ascii="Arial" w:cs="Arial" w:eastAsia="Arial" w:hAnsi="Arial"/>
          <w:sz w:val="21"/>
          <w:szCs w:val="21"/>
          <w:color w:val="auto"/>
        </w:rPr>
      </w:pPr>
      <w:r>
        <w:rPr>
          <w:rFonts w:ascii="Arial" w:cs="Arial" w:eastAsia="Arial" w:hAnsi="Arial"/>
          <w:sz w:val="21"/>
          <w:szCs w:val="21"/>
          <w:color w:val="auto"/>
        </w:rPr>
        <w:t>to open, maintain and close bank accounts and draw checks and other orders for the payment of moneys and to open, maintain and close accounts with brokers, custodians and others;</w:t>
      </w:r>
    </w:p>
    <w:p>
      <w:pPr>
        <w:spacing w:after="0" w:line="162" w:lineRule="exact"/>
        <w:rPr>
          <w:rFonts w:ascii="Arial" w:cs="Arial" w:eastAsia="Arial" w:hAnsi="Arial"/>
          <w:sz w:val="21"/>
          <w:szCs w:val="21"/>
          <w:color w:val="auto"/>
        </w:rPr>
      </w:pPr>
    </w:p>
    <w:p>
      <w:pPr>
        <w:jc w:val="both"/>
        <w:ind w:firstLine="1953"/>
        <w:spacing w:after="0" w:line="254" w:lineRule="auto"/>
        <w:tabs>
          <w:tab w:leader="none" w:pos="2598"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to engage accountants, auditors, custodians, consultants, attorneys and any and all other agents and assistants, both professional and nonprofessional, including Partners and their Affiliates, and to compensate them as may be necessary or advisable;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Partnership shall not have any paid employees;</w:t>
      </w:r>
    </w:p>
    <w:p>
      <w:pPr>
        <w:spacing w:after="0" w:line="178" w:lineRule="exact"/>
        <w:rPr>
          <w:rFonts w:ascii="Arial" w:cs="Arial" w:eastAsia="Arial" w:hAnsi="Arial"/>
          <w:sz w:val="21"/>
          <w:szCs w:val="21"/>
          <w:color w:val="auto"/>
        </w:rPr>
      </w:pPr>
    </w:p>
    <w:p>
      <w:pPr>
        <w:ind w:right="20" w:firstLine="1953"/>
        <w:spacing w:after="0" w:line="293" w:lineRule="auto"/>
        <w:tabs>
          <w:tab w:leader="none" w:pos="2602" w:val="left"/>
        </w:tabs>
        <w:numPr>
          <w:ilvl w:val="1"/>
          <w:numId w:val="41"/>
        </w:numPr>
        <w:rPr>
          <w:rFonts w:ascii="Arial" w:cs="Arial" w:eastAsia="Arial" w:hAnsi="Arial"/>
          <w:sz w:val="20"/>
          <w:szCs w:val="20"/>
          <w:color w:val="auto"/>
        </w:rPr>
      </w:pPr>
      <w:r>
        <w:rPr>
          <w:rFonts w:ascii="Arial" w:cs="Arial" w:eastAsia="Arial" w:hAnsi="Arial"/>
          <w:sz w:val="20"/>
          <w:szCs w:val="20"/>
          <w:color w:val="auto"/>
        </w:rPr>
        <w:t>to form or cause to be formed and to own the stock of one or more corporations, whether foreign or domestic, and to form or cause to be formed and to participate in partnerships and joint ventures, whether foreign or domestic;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29" w:name="page130"/>
    <w:bookmarkEnd w:id="129"/>
    <w:p>
      <w:pPr>
        <w:ind w:firstLine="1953"/>
        <w:spacing w:after="0" w:line="268" w:lineRule="auto"/>
        <w:tabs>
          <w:tab w:leader="none" w:pos="2664"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enter into, make and perform all contracts, agreements and other undertakings as may be deemed necessary or advisable or incident to carrying out its purposes;</w:t>
      </w:r>
    </w:p>
    <w:p>
      <w:pPr>
        <w:spacing w:after="0" w:line="162" w:lineRule="exact"/>
        <w:rPr>
          <w:rFonts w:ascii="Arial" w:cs="Arial" w:eastAsia="Arial" w:hAnsi="Arial"/>
          <w:sz w:val="21"/>
          <w:szCs w:val="21"/>
          <w:color w:val="auto"/>
        </w:rPr>
      </w:pPr>
    </w:p>
    <w:p>
      <w:pPr>
        <w:jc w:val="both"/>
        <w:ind w:firstLine="1953"/>
        <w:spacing w:after="0" w:line="254" w:lineRule="auto"/>
        <w:tabs>
          <w:tab w:leader="none" w:pos="253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sue, prosecute, settle or compromise all claims against third parties, to compromise, settle or accept judgment of claims against the Partnership, and to execute all documents and make all representations, admissions and waivers in connection therewith;</w:t>
      </w:r>
    </w:p>
    <w:p>
      <w:pPr>
        <w:spacing w:after="0" w:line="178" w:lineRule="exact"/>
        <w:rPr>
          <w:rFonts w:ascii="Arial" w:cs="Arial" w:eastAsia="Arial" w:hAnsi="Arial"/>
          <w:sz w:val="21"/>
          <w:szCs w:val="21"/>
          <w:color w:val="auto"/>
        </w:rPr>
      </w:pPr>
    </w:p>
    <w:p>
      <w:pPr>
        <w:ind w:left="2420" w:hanging="467"/>
        <w:spacing w:after="0"/>
        <w:tabs>
          <w:tab w:leader="none" w:pos="2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to borrow money from any person or to guarantee loans or other extensions of credit for any purpose;</w:t>
      </w:r>
    </w:p>
    <w:p>
      <w:pPr>
        <w:spacing w:after="0" w:line="229" w:lineRule="exact"/>
        <w:rPr>
          <w:rFonts w:ascii="Arial" w:cs="Arial" w:eastAsia="Arial" w:hAnsi="Arial"/>
          <w:sz w:val="20"/>
          <w:szCs w:val="20"/>
          <w:color w:val="auto"/>
        </w:rPr>
      </w:pPr>
    </w:p>
    <w:p>
      <w:pPr>
        <w:ind w:left="2460" w:hanging="507"/>
        <w:spacing w:after="0"/>
        <w:tabs>
          <w:tab w:leader="none" w:pos="24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make loans and extend other forms of credit;</w:t>
      </w:r>
    </w:p>
    <w:p>
      <w:pPr>
        <w:spacing w:after="0" w:line="217" w:lineRule="exact"/>
        <w:rPr>
          <w:rFonts w:ascii="Arial" w:cs="Arial" w:eastAsia="Arial" w:hAnsi="Arial"/>
          <w:sz w:val="21"/>
          <w:szCs w:val="21"/>
          <w:color w:val="auto"/>
        </w:rPr>
      </w:pPr>
    </w:p>
    <w:p>
      <w:pPr>
        <w:ind w:firstLine="1953"/>
        <w:spacing w:after="0" w:line="268" w:lineRule="auto"/>
        <w:tabs>
          <w:tab w:leader="none" w:pos="2579"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distribute, subject to the terms of this Agreement and the Act, at any time and from time to time to Partners cash or investments or other property of the Partnership, or any combination thereof;</w:t>
      </w:r>
    </w:p>
    <w:p>
      <w:pPr>
        <w:spacing w:after="0" w:line="162" w:lineRule="exact"/>
        <w:rPr>
          <w:rFonts w:ascii="Arial" w:cs="Arial" w:eastAsia="Arial" w:hAnsi="Arial"/>
          <w:sz w:val="21"/>
          <w:szCs w:val="21"/>
          <w:color w:val="auto"/>
        </w:rPr>
      </w:pPr>
    </w:p>
    <w:p>
      <w:pPr>
        <w:ind w:left="2580" w:hanging="627"/>
        <w:spacing w:after="0"/>
        <w:tabs>
          <w:tab w:leader="none" w:pos="25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take such other actions necessary or incidental thereto as may be permitted under applicable law; and</w:t>
      </w:r>
    </w:p>
    <w:p>
      <w:pPr>
        <w:spacing w:after="0" w:line="240" w:lineRule="exact"/>
        <w:rPr>
          <w:rFonts w:ascii="Arial" w:cs="Arial" w:eastAsia="Arial" w:hAnsi="Arial"/>
          <w:sz w:val="19"/>
          <w:szCs w:val="19"/>
          <w:color w:val="auto"/>
        </w:rPr>
      </w:pPr>
    </w:p>
    <w:p>
      <w:pPr>
        <w:jc w:val="both"/>
        <w:ind w:firstLine="1953"/>
        <w:spacing w:after="0" w:line="250" w:lineRule="auto"/>
        <w:tabs>
          <w:tab w:leader="none" w:pos="2704"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enter into and perform any agency cross transaction in which EPI or any other Affiliate of the General Partner acts as broker for both the Partnership and a party on the other side of the transaction and any agency transaction in which the Partnership is a principal and in which any Affiliate of the General Partner acts as broker for the party on the other side of the transaction.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To the extent possible, the activities contemplated by this Section 2.6 shall be conducted outside of Canada.</w:t>
      </w:r>
    </w:p>
    <w:p>
      <w:pPr>
        <w:spacing w:after="0" w:line="218"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2.7</w:t>
      </w:r>
      <w:r>
        <w:rPr>
          <w:sz w:val="20"/>
          <w:szCs w:val="20"/>
          <w:color w:val="auto"/>
        </w:rPr>
        <w:tab/>
      </w:r>
      <w:r>
        <w:rPr>
          <w:rFonts w:ascii="Arial" w:cs="Arial" w:eastAsia="Arial" w:hAnsi="Arial"/>
          <w:sz w:val="19"/>
          <w:szCs w:val="19"/>
          <w:u w:val="single" w:color="auto"/>
          <w:color w:val="auto"/>
        </w:rPr>
        <w:t>Principal Place of Business.</w:t>
      </w:r>
    </w:p>
    <w:p>
      <w:pPr>
        <w:spacing w:after="0" w:line="21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The Partnership shall maintain its principal place of business at, and its business shall be conducted from, c/o Evercore Partners Inc., 55 East 52nd Street, 43rd Floor, New York, NY 10055, USA, or such other place as the General Partner shall determine. The activities of the Partnership will generally be carried out from the principal business office of the General Partner and any other places as determined by the General Partner, subject to Section 3.1(e). The activities of the Partnership shall generally be carried out from the principal business office of the General Partner. The General Partner will promptly give written notice of any change of such address to the Limited Partners.</w:t>
      </w:r>
    </w:p>
    <w:p>
      <w:pPr>
        <w:spacing w:after="0" w:line="190"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2.8</w:t>
      </w:r>
      <w:r>
        <w:rPr>
          <w:sz w:val="20"/>
          <w:szCs w:val="20"/>
          <w:color w:val="auto"/>
        </w:rPr>
        <w:tab/>
      </w:r>
      <w:r>
        <w:rPr>
          <w:rFonts w:ascii="Arial" w:cs="Arial" w:eastAsia="Arial" w:hAnsi="Arial"/>
          <w:sz w:val="20"/>
          <w:szCs w:val="20"/>
          <w:u w:val="single" w:color="auto"/>
          <w:color w:val="auto"/>
        </w:rPr>
        <w:t>Office.</w:t>
      </w:r>
    </w:p>
    <w:p>
      <w:pPr>
        <w:spacing w:after="0" w:line="21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color w:val="auto"/>
        </w:rPr>
        <w:t>The Partnership shall maintain an office in the Province of Ontario, Canada, and the name and address of such office in the Province of Ontario, Canada is, Osler, Hoskin &amp; Harcourt LLP, 100 King Street West, Suite 6100, Toronto, Ontario, Canada M5X 1B8, or such other office location in Ontario as the General Partner shall determine.</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2.9</w:t>
      </w:r>
      <w:r>
        <w:rPr>
          <w:sz w:val="20"/>
          <w:szCs w:val="20"/>
          <w:color w:val="auto"/>
        </w:rPr>
        <w:tab/>
      </w:r>
      <w:r>
        <w:rPr>
          <w:rFonts w:ascii="Arial" w:cs="Arial" w:eastAsia="Arial" w:hAnsi="Arial"/>
          <w:sz w:val="19"/>
          <w:szCs w:val="19"/>
          <w:u w:val="single" w:color="auto"/>
          <w:color w:val="auto"/>
        </w:rPr>
        <w:t>Admission of Limited Partners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0" w:name="page131"/>
    <w:bookmarkEnd w:id="130"/>
    <w:p>
      <w:pPr>
        <w:jc w:val="both"/>
        <w:ind w:firstLine="1305"/>
        <w:spacing w:after="0" w:line="248" w:lineRule="auto"/>
        <w:tabs>
          <w:tab w:leader="none" w:pos="1786" w:val="left"/>
        </w:tabs>
        <w:numPr>
          <w:ilvl w:val="0"/>
          <w:numId w:val="43"/>
        </w:numPr>
        <w:rPr>
          <w:rFonts w:ascii="Arial" w:cs="Arial" w:eastAsia="Arial" w:hAnsi="Arial"/>
          <w:sz w:val="21"/>
          <w:szCs w:val="21"/>
          <w:color w:val="auto"/>
        </w:rPr>
      </w:pPr>
      <w:r>
        <w:rPr>
          <w:rFonts w:ascii="Arial" w:cs="Arial" w:eastAsia="Arial" w:hAnsi="Arial"/>
          <w:sz w:val="21"/>
          <w:szCs w:val="21"/>
          <w:color w:val="auto"/>
        </w:rPr>
        <w:t>On the Initial Closing Date, GP Holdings and Pedro Aspe were admitted to the Partnership as Limited Partners, with an initial Capital Commitment of $2 million and $1 million, respectively. As of the Effective Date, GP Holdings shall cease to be a Limited Partner in accordance with Section 2.9(b), the Capital Commitment of the General Partner shall be $1 million and the Capital Commitments of the remaining Partners shall be as set forth on the books and records of the Partnership (as reflected in the Terms Letters with respect to the EPI Limited Partners).</w:t>
      </w:r>
    </w:p>
    <w:p>
      <w:pPr>
        <w:spacing w:after="0" w:line="183" w:lineRule="exact"/>
        <w:rPr>
          <w:rFonts w:ascii="Arial" w:cs="Arial" w:eastAsia="Arial" w:hAnsi="Arial"/>
          <w:sz w:val="21"/>
          <w:szCs w:val="21"/>
          <w:color w:val="auto"/>
        </w:rPr>
      </w:pPr>
    </w:p>
    <w:p>
      <w:pPr>
        <w:jc w:val="both"/>
        <w:ind w:firstLine="1305"/>
        <w:spacing w:after="0" w:line="269" w:lineRule="auto"/>
        <w:tabs>
          <w:tab w:leader="none" w:pos="1755" w:val="left"/>
        </w:tabs>
        <w:numPr>
          <w:ilvl w:val="0"/>
          <w:numId w:val="43"/>
        </w:numPr>
        <w:rPr>
          <w:rFonts w:ascii="Arial" w:cs="Arial" w:eastAsia="Arial" w:hAnsi="Arial"/>
          <w:sz w:val="19"/>
          <w:szCs w:val="19"/>
          <w:color w:val="auto"/>
        </w:rPr>
      </w:pPr>
      <w:r>
        <w:rPr>
          <w:rFonts w:ascii="Arial" w:cs="Arial" w:eastAsia="Arial" w:hAnsi="Arial"/>
          <w:sz w:val="19"/>
          <w:szCs w:val="19"/>
          <w:color w:val="auto"/>
        </w:rPr>
        <w:t>On the date hereof, each Person whose subscription for an Interest has been accepted by the General Partner shall, upon execution and delivery of the Terms Letters and this Agreement, become a Limited Partner and shall be shown as such on the books and records of the Partnership. Each Limited Partner admitted to the Partnership as of the Effective Date shall participate in Fund investments made, and expenses incurred, prior to the Effective Date. Therefore, each Limited Partner admitted to the Partnership as of the Effective Date shall be required at the time of such admission to contribute to the Partnership the amount such Limited Partner would have been required to contribute to the Partnership had such Limited Partner been admitted to the Partnership on the Initial Closing Date, plus an interest charge thereon at the Prime Rate plus 2% per annum from the date on which such Limited Partners would have been required to contribute such amounts (such amount, the “</w:t>
      </w:r>
      <w:r>
        <w:rPr>
          <w:rFonts w:ascii="Arial" w:cs="Arial" w:eastAsia="Arial" w:hAnsi="Arial"/>
          <w:sz w:val="19"/>
          <w:szCs w:val="19"/>
          <w:u w:val="single" w:color="auto"/>
          <w:color w:val="auto"/>
        </w:rPr>
        <w:t>Additional Payment</w:t>
      </w:r>
      <w:r>
        <w:rPr>
          <w:rFonts w:ascii="Arial" w:cs="Arial" w:eastAsia="Arial" w:hAnsi="Arial"/>
          <w:sz w:val="19"/>
          <w:szCs w:val="19"/>
          <w:color w:val="auto"/>
        </w:rPr>
        <w:t>”). The amounts contributed pursuant to the foregoing sentence other than the Additional Payment will be refunded or credited to previously-admitted Limited Partners pro rata in proportion to their Capital Contributions made prior to the Effective Date, representing a return of Capital Contributions, which amounts will be restored to their Unpaid Capital Commitments (subject to Section 2.9(a), as reasonably determined by the General Partner). For the avoidance of doubt, the amount contributed representing an Additional Payment (i) shall not be deemed a Capital Contribution hereunder, (ii) shall not reduce a Limited Partner’s Unpaid Capital Commitment or increase its Capital Account, (iii) shall not represent a return of Capital Contributions to an existing Limited Partner and (iv) shall be treated for purposes of this Agreement as though paid directly to existing Limited Partners by the incoming Limited Partners making such payment. The General Partner shall reduce the Capital Commitment of GP Holdings by an amount not to exceed the amount of the Capital Commitments of the Limited Partners admitted to the Partnership following the Initial Closing Date. In the event that the Capital Commitment of GP Holdings is reduced to zero (as expected), GP Holdings shall cease to be a Limited Partner. In connection with such reduction in Capital Commitment, GP Holdings shall receive a refund equal to the Capital Contributions previously made by GP Holdings with respect to the portion of its Capital Commitment that is subject of the reduction, together with an Additional Payment thereon. The General Partner shall have full authority, without the consent of any other Partner, to amend, interpret or apply this Agreement, and make any adjustment to a Partner’s Capital Commitment, Capital Contribution, Unpaid Capital Commitment and Capital Account, as may be necessary or appropriate in the good faith judgment of the General Partner to further the intent of this Section 2.9(b). For the avoidance of doubt, the reduction in the Capital Commitment of GP Holdings pursuant to this Section 2.9 shall not affect GP Holding’s entitlements with respect to Carried Interest.</w:t>
      </w:r>
    </w:p>
    <w:p>
      <w:pPr>
        <w:spacing w:after="0" w:line="171" w:lineRule="exact"/>
        <w:rPr>
          <w:rFonts w:ascii="Arial" w:cs="Arial" w:eastAsia="Arial" w:hAnsi="Arial"/>
          <w:sz w:val="19"/>
          <w:szCs w:val="19"/>
          <w:color w:val="auto"/>
        </w:rPr>
      </w:pPr>
    </w:p>
    <w:p>
      <w:pPr>
        <w:ind w:firstLine="1305"/>
        <w:spacing w:after="0" w:line="268" w:lineRule="auto"/>
        <w:tabs>
          <w:tab w:leader="none" w:pos="1811"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General Partner may in its discretion allow other Persons to be admitted as additional Limited Partners or allow any Partner to increase its Capital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1" w:name="page132"/>
    <w:bookmarkEnd w:id="131"/>
    <w:p>
      <w:pPr>
        <w:ind w:left="3740"/>
        <w:spacing w:after="0"/>
        <w:rPr>
          <w:sz w:val="20"/>
          <w:szCs w:val="20"/>
          <w:color w:val="auto"/>
        </w:rPr>
      </w:pPr>
      <w:r>
        <w:rPr>
          <w:rFonts w:ascii="Arial" w:cs="Arial" w:eastAsia="Arial" w:hAnsi="Arial"/>
          <w:sz w:val="21"/>
          <w:szCs w:val="21"/>
          <w:u w:val="single" w:color="auto"/>
          <w:color w:val="auto"/>
        </w:rPr>
        <w:t>ARTICLE III</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Management and Operation of the Partnership</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3.1</w:t>
      </w:r>
      <w:r>
        <w:rPr>
          <w:sz w:val="20"/>
          <w:szCs w:val="20"/>
          <w:color w:val="auto"/>
        </w:rPr>
        <w:tab/>
      </w:r>
      <w:r>
        <w:rPr>
          <w:rFonts w:ascii="Arial" w:cs="Arial" w:eastAsia="Arial" w:hAnsi="Arial"/>
          <w:sz w:val="18"/>
          <w:szCs w:val="18"/>
          <w:u w:val="single" w:color="auto"/>
          <w:color w:val="auto"/>
        </w:rPr>
        <w:t>General Partner.</w:t>
      </w:r>
    </w:p>
    <w:p>
      <w:pPr>
        <w:spacing w:after="0" w:line="218" w:lineRule="exact"/>
        <w:rPr>
          <w:sz w:val="20"/>
          <w:szCs w:val="20"/>
          <w:color w:val="auto"/>
        </w:rPr>
      </w:pPr>
    </w:p>
    <w:p>
      <w:pPr>
        <w:jc w:val="both"/>
        <w:ind w:firstLine="1305"/>
        <w:spacing w:after="0" w:line="244" w:lineRule="auto"/>
        <w:tabs>
          <w:tab w:leader="none" w:pos="1755"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management, control and operation of the Partnership shall be vested exclusively in the General Partner. The General Partner shall have the sole power and authority on behalf of and in the name of the Partnership to carry out any and all of the objects and purposes and exercise any and all of the powers of the Partnership contemplated by Section 2.6 and to perform all acts which it may deem necessary or advisable in connection therewith. The General Partner shall not take any action that would subject any Limited Partner to liability for the debts and obligations of the Partnership. The Limited Partners shall have no part in the management, control or operation of the Partnership and shall have no authority or right to act on behalf of the Partnership in connection with any matter. No Limited Partner shall (i) execute any document that binds, or purports to bind, the Partnership or a Partner other than itself; or (ii) hold itself out as having the power or authority to bind the Partnership or a Partner other than itself. Except as otherwise provided herein or as required under the Act, the Limited Partners shall not have voting rights with respect to any Partnership matters.</w:t>
      </w:r>
    </w:p>
    <w:p>
      <w:pPr>
        <w:spacing w:after="0" w:line="191" w:lineRule="exact"/>
        <w:rPr>
          <w:rFonts w:ascii="Arial" w:cs="Arial" w:eastAsia="Arial" w:hAnsi="Arial"/>
          <w:sz w:val="21"/>
          <w:szCs w:val="21"/>
          <w:color w:val="auto"/>
        </w:rPr>
      </w:pPr>
    </w:p>
    <w:p>
      <w:pPr>
        <w:jc w:val="both"/>
        <w:ind w:right="20" w:firstLine="1305"/>
        <w:spacing w:after="0" w:line="294" w:lineRule="auto"/>
        <w:tabs>
          <w:tab w:leader="none" w:pos="18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Partners agree that all actions made or taken by the General Partner on behalf of the Partnership shall bind the Partnership, the Limited Partners and their respective successors, assigns and personal representatives. Persons dealing with the Partnership are entitled to rely conclusively upon the power and authority of the General Partner as herein set forth.</w:t>
      </w:r>
    </w:p>
    <w:p>
      <w:pPr>
        <w:spacing w:after="0" w:line="142" w:lineRule="exact"/>
        <w:rPr>
          <w:rFonts w:ascii="Arial" w:cs="Arial" w:eastAsia="Arial" w:hAnsi="Arial"/>
          <w:sz w:val="19"/>
          <w:szCs w:val="19"/>
          <w:color w:val="auto"/>
        </w:rPr>
      </w:pPr>
    </w:p>
    <w:p>
      <w:pPr>
        <w:jc w:val="both"/>
        <w:ind w:firstLine="1305"/>
        <w:spacing w:after="0" w:line="246" w:lineRule="auto"/>
        <w:tabs>
          <w:tab w:leader="none" w:pos="1747"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(i) The General Partner may delegate to any Person or Persons all or any of the powers, rights, privileges, duties and discretion vested in it in this Article III and such delegation may be made upon such terms and conditions as the General Partner shall determine;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delegation shall modify the obligations or liabilities of the General Partner as general partner of the Partnership under the Act and under this Agreement, or shall cause the Partnership to be deemed to be engaged in a trade or business in any jurisdiction for local income tax purposes;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 such delegation shall cause the Partnership to be deemed to be engaged in a trade or business in Canada for Canadian income tax purposes nor shall any delegation be made to a Canadian-Resident Person.</w:t>
      </w:r>
    </w:p>
    <w:p>
      <w:pPr>
        <w:spacing w:after="0" w:line="185" w:lineRule="exact"/>
        <w:rPr>
          <w:rFonts w:ascii="Arial" w:cs="Arial" w:eastAsia="Arial" w:hAnsi="Arial"/>
          <w:sz w:val="21"/>
          <w:szCs w:val="21"/>
          <w:color w:val="auto"/>
        </w:rPr>
      </w:pPr>
    </w:p>
    <w:p>
      <w:pPr>
        <w:jc w:val="both"/>
        <w:ind w:left="1960" w:hanging="7"/>
        <w:spacing w:after="0" w:line="246" w:lineRule="auto"/>
        <w:tabs>
          <w:tab w:leader="none" w:pos="2444" w:val="left"/>
        </w:tabs>
        <w:numPr>
          <w:ilvl w:val="1"/>
          <w:numId w:val="44"/>
        </w:numPr>
        <w:rPr>
          <w:rFonts w:ascii="Arial" w:cs="Arial" w:eastAsia="Arial" w:hAnsi="Arial"/>
          <w:sz w:val="21"/>
          <w:szCs w:val="21"/>
          <w:color w:val="auto"/>
        </w:rPr>
      </w:pPr>
      <w:r>
        <w:rPr>
          <w:rFonts w:ascii="Arial" w:cs="Arial" w:eastAsia="Arial" w:hAnsi="Arial"/>
          <w:sz w:val="21"/>
          <w:szCs w:val="21"/>
          <w:color w:val="auto"/>
        </w:rPr>
        <w:t>Without limiting the generality of the foregoing, the Investment Manager is hereby appointed as manager of the Partnership, with the responsibility of performing or arranging for the performance of financial, portfolio management, accounting and administrative services as required. In providing, or arranging for the provision of, such services, the Investment Manager shall take whatever actions it determines to be necessary or advisable, and shall conduct relations with accountants, attorneys, insurers and other Persons providing services to the Partnership. The Investment Manager shall have the right to carry out all of the functions of the General Partner hereunder,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905" w:right="239" w:bottom="1440" w:gutter="0" w:footer="0" w:header="0"/>
        </w:sectPr>
      </w:pPr>
    </w:p>
    <w:bookmarkStart w:id="132" w:name="page133"/>
    <w:bookmarkEnd w:id="132"/>
    <w:p>
      <w:pPr>
        <w:jc w:val="both"/>
        <w:ind w:left="1960"/>
        <w:spacing w:after="0" w:line="270" w:lineRule="auto"/>
        <w:rPr>
          <w:sz w:val="20"/>
          <w:szCs w:val="20"/>
          <w:color w:val="auto"/>
        </w:rPr>
      </w:pPr>
      <w:r>
        <w:rPr>
          <w:rFonts w:ascii="Arial" w:cs="Arial" w:eastAsia="Arial" w:hAnsi="Arial"/>
          <w:sz w:val="19"/>
          <w:szCs w:val="19"/>
          <w:color w:val="auto"/>
        </w:rPr>
        <w:t>the authority to enter into, execute and deliver any and all documents on behalf of the Partnership in lieu of the General Partner and to open, maintain and close bank, brokerage and custodian accounts and draw checks or other orders for the payment of moneys. The Investment Manager is expressly authorized to enter into and to execute the following documents on behalf of the General Partner (including in its capacity as general partner of the Partnership): the Fund Partnership Agreement; the Investment Management Agreement; the Investment Advisory Agreement; the Subscription Agreements relating to the purchase of interests in the Fund; any side letters or other agreements to induce any Person to purchase interests in the Fund; and the indemnity letter (if any) entered into for the purposes of indemnifying Maples Secretaries (Cayman) Limited; any amendments to such agreements and all agreements contemplated thereby and related thereto; and any documents necessary in connection with the formation of a direct or indirect subsidiary of the Fund, all without any further act, approval or vote of any Partner or other Person, but such authorization shall not be deemed a restriction on the power of the General Partner to enter into other agreements on behalf of the Fund (subject to any other restrictions expressly set forth in this Agreement). By its execution and delivery of a counterpart of this agreement or other instrument, the Investment Manager accepts its appointment as investment manager on the terms of this Agreement and agrees to render, or arrange for the rendering of, the services contemplated hereby. For the avoidance of doubt, the Investment Manager shall not be required to make any capital contribution to the Partnership and shall not be treated as a partner of the Partnership.</w:t>
      </w:r>
    </w:p>
    <w:p>
      <w:pPr>
        <w:spacing w:after="0" w:line="170" w:lineRule="exact"/>
        <w:rPr>
          <w:sz w:val="20"/>
          <w:szCs w:val="20"/>
          <w:color w:val="auto"/>
        </w:rPr>
      </w:pPr>
    </w:p>
    <w:p>
      <w:pPr>
        <w:jc w:val="both"/>
        <w:ind w:firstLine="1305"/>
        <w:spacing w:after="0" w:line="248" w:lineRule="auto"/>
        <w:tabs>
          <w:tab w:leader="none" w:pos="1877" w:val="left"/>
        </w:tabs>
        <w:numPr>
          <w:ilvl w:val="0"/>
          <w:numId w:val="45"/>
        </w:numPr>
        <w:rPr>
          <w:rFonts w:ascii="Arial" w:cs="Arial" w:eastAsia="Arial" w:hAnsi="Arial"/>
          <w:sz w:val="21"/>
          <w:szCs w:val="21"/>
          <w:color w:val="auto"/>
        </w:rPr>
      </w:pPr>
      <w:r>
        <w:rPr>
          <w:rFonts w:ascii="Arial" w:cs="Arial" w:eastAsia="Arial" w:hAnsi="Arial"/>
          <w:sz w:val="21"/>
          <w:szCs w:val="21"/>
          <w:color w:val="auto"/>
        </w:rPr>
        <w:t>To the fullest extent permitted by applicable law, the General Partner (or any other Affiliate of the General Partner) is hereby authorized to (i) purchase property from, sell property to, lend money or otherwise deal with any Affiliates, any Limited Partner, the Partnership, any of its portfolio companies or any Affiliates of any of the foregoing Persons, (ii) obtain services from any Partner or any Affiliate of any Partner and (iii) otherwise cause or permit the Partnership, its portfolio companies and Affiliates to enter into any such transaction.</w:t>
      </w:r>
    </w:p>
    <w:p>
      <w:pPr>
        <w:spacing w:after="0" w:line="183" w:lineRule="exact"/>
        <w:rPr>
          <w:rFonts w:ascii="Arial" w:cs="Arial" w:eastAsia="Arial" w:hAnsi="Arial"/>
          <w:sz w:val="21"/>
          <w:szCs w:val="21"/>
          <w:color w:val="auto"/>
        </w:rPr>
      </w:pPr>
    </w:p>
    <w:p>
      <w:pPr>
        <w:jc w:val="both"/>
        <w:ind w:firstLine="1305"/>
        <w:spacing w:after="0" w:line="254" w:lineRule="auto"/>
        <w:tabs>
          <w:tab w:leader="none" w:pos="18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General Partner agrees to use commercially reasonable best efforts to ensure that the Partnership is not engaged, or deemed engaged, in a trade or business in Canada for Canadian income tax purposes and is not otherwise subject to taxation on a net income basis in Canada.</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3.2</w:t>
      </w:r>
      <w:r>
        <w:rPr>
          <w:sz w:val="20"/>
          <w:szCs w:val="20"/>
          <w:color w:val="auto"/>
        </w:rPr>
        <w:tab/>
      </w:r>
      <w:r>
        <w:rPr>
          <w:rFonts w:ascii="Arial" w:cs="Arial" w:eastAsia="Arial" w:hAnsi="Arial"/>
          <w:sz w:val="19"/>
          <w:szCs w:val="19"/>
          <w:u w:val="single" w:color="auto"/>
          <w:color w:val="auto"/>
        </w:rPr>
        <w:t>Exculpation and Indemnification.</w:t>
      </w:r>
    </w:p>
    <w:p>
      <w:pPr>
        <w:spacing w:after="0" w:line="218" w:lineRule="exact"/>
        <w:rPr>
          <w:sz w:val="20"/>
          <w:szCs w:val="20"/>
          <w:color w:val="auto"/>
        </w:rPr>
      </w:pPr>
    </w:p>
    <w:p>
      <w:pPr>
        <w:jc w:val="both"/>
        <w:ind w:firstLine="1305"/>
        <w:spacing w:after="0" w:line="248" w:lineRule="auto"/>
        <w:tabs>
          <w:tab w:leader="none" w:pos="1768"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Notwithstanding any other terms of this Agreement, whether express or implied, or any obligation or duty at law or in equity, no Partner nor any of its officers, directors, shareholders, members, partners, employees, representatives or agents nor any officer, employee, representative, investment manager or agent of the Partnership or its Affiliates (individually, a “</w:t>
      </w:r>
      <w:r>
        <w:rPr>
          <w:rFonts w:ascii="Arial" w:cs="Arial" w:eastAsia="Arial" w:hAnsi="Arial"/>
          <w:sz w:val="21"/>
          <w:szCs w:val="21"/>
          <w:u w:val="single" w:color="auto"/>
          <w:color w:val="auto"/>
        </w:rPr>
        <w:t>Covered Person</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Covered Persons</w:t>
      </w:r>
      <w:r>
        <w:rPr>
          <w:rFonts w:ascii="Arial" w:cs="Arial" w:eastAsia="Arial" w:hAnsi="Arial"/>
          <w:sz w:val="21"/>
          <w:szCs w:val="21"/>
          <w:color w:val="auto"/>
        </w:rPr>
        <w:t>”) shall be liable to the Partnership or any other Partner for (i) any act or omission taken or suffered by such Covered Person in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3" w:name="page134"/>
    <w:bookmarkEnd w:id="133"/>
    <w:p>
      <w:pPr>
        <w:jc w:val="both"/>
        <w:spacing w:after="0" w:line="274" w:lineRule="auto"/>
        <w:rPr>
          <w:sz w:val="20"/>
          <w:szCs w:val="20"/>
          <w:color w:val="auto"/>
        </w:rPr>
      </w:pPr>
      <w:r>
        <w:rPr>
          <w:rFonts w:ascii="Arial" w:cs="Arial" w:eastAsia="Arial" w:hAnsi="Arial"/>
          <w:sz w:val="19"/>
          <w:szCs w:val="19"/>
          <w:color w:val="auto"/>
        </w:rPr>
        <w:t>connection with the Partnership or otherwise in connection with this Agreement, any related document or the matters contemplated hereby or thereby, unless such act or omission resulted from fraud, bad faith, willful misconduct, gross negligence, a violation of applicable securities laws or a willful material uncured breach of this Agreement, the Investment Advisory Agreement, the Investment Management Agreement, the Fund Partnership Agreement or any related document by such Covered Person, or (ii) any mistake, negligence, dishonesty or bad faith of any broker or other agent of the Partnership unless such Covered Person was responsible for the selection or monitoring of such broker or agent and acted in such capacity with gross negligence, and except that nothing herein shall constitute a waiver or limitation of any rights which a Partner or the General Partner, on behalf of the Partnership, may have under applicable securities laws or of any rights under other laws which as a matter of law may not be waived.</w:t>
      </w:r>
    </w:p>
    <w:p>
      <w:pPr>
        <w:spacing w:after="0" w:line="165" w:lineRule="exact"/>
        <w:rPr>
          <w:sz w:val="20"/>
          <w:szCs w:val="20"/>
          <w:color w:val="auto"/>
        </w:rPr>
      </w:pPr>
    </w:p>
    <w:p>
      <w:pPr>
        <w:jc w:val="both"/>
        <w:ind w:firstLine="1305"/>
        <w:spacing w:after="0" w:line="269" w:lineRule="auto"/>
        <w:tabs>
          <w:tab w:leader="none" w:pos="1751"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law, the Partnership shall indemnify and save harmless (but only to the extent of its assets) each Covered Person from and against any and all claims, liabilities, damages, losses, costs and expenses (including amounts paid in satisfaction of judgments, in compromises and settlements, as fines and penalties and legal or other costs and reasonable expenses of investigating or defending against any claim or alleged claim) of any nature whatsoever, known or unknown, liquidated or unliquidated, arising from any and all claims, demands, actions, suits or proceedings, civil, criminal, administrative or investigative, in which the Covered Person may be involved, or threatened to be involved, as a party or otherwise, which relates to or arises out of or in connection with the Partnership, its property, its business or affairs, including acting as a director or the equivalent of a company any securities of which are or were a Private Equity Investment;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Covered Person shall be entitled to indemnification hereunder only to the extent that such Covered Person’s conduct did not constitute fraud, bad faith, willful misconduct, gross negligence or a willful material uncured breach of this Agreement, the Investment Advisory Agreement, the Investment Management Agreement, the Fund Partnership Agreement or any related document by such Covered Person, and nothing herein shall constitute a waiver or limitation of any rights which a Partner or the General Partner, on behalf of the Partnership, may have under applicable securities laws or of rights under other laws which as a matter of law may not be waived. To the fullest extent permitted by law, expenses (including legal fees) incurred by a Covered Person in defense or settlement of any claim, demand, action, suit or proceeding may, with the approval of the General Partner, from time to time, be advanced by the Partnership prior to the final disposition of such claim, demand, action, suit or proceeding upon receipt by the Partnership of a written undertaking by or on behalf of the Covered Person to repay such amount to the extent that it shall be determined that the Covered Person is not entitled to be indemnified as authorized hereunder. Prior to any claim for indemnification hereunder, the Partnership or the Covered Person shall first seek recovery under any other indemnity or insurance policy by which such Person is indemnified or covered (other than under the terms of the constitutive documents of the Investment Manager, the Investment Advisor and their Affiliates) to the extent such other indemnity or insurance policy would cover the relevant liability on a timely basis.</w:t>
      </w:r>
    </w:p>
    <w:p>
      <w:pPr>
        <w:spacing w:after="0" w:line="178" w:lineRule="exact"/>
        <w:rPr>
          <w:rFonts w:ascii="Arial" w:cs="Arial" w:eastAsia="Arial" w:hAnsi="Arial"/>
          <w:sz w:val="19"/>
          <w:szCs w:val="19"/>
          <w:color w:val="auto"/>
        </w:rPr>
      </w:pPr>
    </w:p>
    <w:p>
      <w:pPr>
        <w:jc w:val="both"/>
        <w:ind w:firstLine="1305"/>
        <w:spacing w:after="0" w:line="254" w:lineRule="auto"/>
        <w:tabs>
          <w:tab w:leader="none" w:pos="17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right of any Covered Person to the indemnification provided herein shall be cumulative of, and in addition to, any and all rights to which such Covered Person may otherwise be entitled by contract or as a matter of law or equity and shall extend to such Covered Person’s successors, assigns and legal representatives.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4" w:name="page135"/>
    <w:bookmarkEnd w:id="134"/>
    <w:p>
      <w:pPr>
        <w:jc w:val="both"/>
        <w:ind w:firstLine="1305"/>
        <w:spacing w:after="0" w:line="263" w:lineRule="auto"/>
        <w:tabs>
          <w:tab w:leader="none" w:pos="1849"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the extent that, at law or in equity, a Partner has duties (including fiduciary duties) and liabilities relating thereto to the Partnership or to another Partner, such Partner acting under this Agreement shall not be liable to the Partnership or to any such other Partner for his or her good faith reliance on the provisions of this Agreement. The provisions of this Agreement, to the extent that they expand or restrict the duties and liabilities of a Partner otherwise existing at law or in equity, are agreed by the Partners to modify to that extent such other duties and liabilities of such Partner.</w:t>
      </w:r>
    </w:p>
    <w:p>
      <w:pPr>
        <w:spacing w:after="0" w:line="171" w:lineRule="exact"/>
        <w:rPr>
          <w:rFonts w:ascii="Arial" w:cs="Arial" w:eastAsia="Arial" w:hAnsi="Arial"/>
          <w:sz w:val="20"/>
          <w:szCs w:val="20"/>
          <w:color w:val="auto"/>
        </w:rPr>
      </w:pPr>
    </w:p>
    <w:p>
      <w:pPr>
        <w:jc w:val="both"/>
        <w:ind w:firstLine="1305"/>
        <w:spacing w:after="0" w:line="280" w:lineRule="auto"/>
        <w:tabs>
          <w:tab w:leader="none" w:pos="191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Whenever in this Agreement a person is permitted or required to make a decision (i) in his or her “sole discretion,” “sole and absolute discretion” or “discretion” or under a grant of similar authority or latitude, the person shall be entitled to consider any interests and factors as it desires, including its own interests, or (ii) in its “good faith” or under another express standard, the person shall act under such express standard and shall not be subject to any other or different standards imposed by this Agreement or any other agreement contemplated herein or by relevant provisions of law or in equity or otherwise.</w:t>
      </w:r>
    </w:p>
    <w:p>
      <w:pPr>
        <w:spacing w:after="0" w:line="157"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3.3</w:t>
      </w:r>
      <w:r>
        <w:rPr>
          <w:sz w:val="20"/>
          <w:szCs w:val="20"/>
          <w:color w:val="auto"/>
        </w:rPr>
        <w:tab/>
      </w:r>
      <w:r>
        <w:rPr>
          <w:rFonts w:ascii="Arial" w:cs="Arial" w:eastAsia="Arial" w:hAnsi="Arial"/>
          <w:sz w:val="19"/>
          <w:szCs w:val="19"/>
          <w:u w:val="single" w:color="auto"/>
          <w:color w:val="auto"/>
        </w:rPr>
        <w:t>Officers.</w:t>
      </w:r>
    </w:p>
    <w:p>
      <w:pPr>
        <w:spacing w:after="0" w:line="21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Subject to the direction of the General Partner, the day-to-day administration of the business of the Partnership may be carried out by employees and agents of the General Partner who may be designated as officers, with titles including but not limited to “founder,” “chairman,” “vice-chairman,” “principal,” “president,” “vice president,” “treasurer,” “assistant treasurer,” “secretary,” “assistant secretary,” “general manager,” “senior managing director,” “managing director,” “director,” “chief operating officer,” “and “chief financial officer,” as and to the extent authorized by the General Partner. The officers of the Partnership shall have such titles and powers and perform such duties as shall be determined from time to time by the General Partner and otherwise as shall customarily pertain to such offices. Any number of offices may be held by the same person. Where such employees or agents administer the business of the Partnership, such administration shall be conducted outside of Canada to the extent possible.</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IV</w:t>
      </w:r>
    </w:p>
    <w:p>
      <w:pPr>
        <w:spacing w:after="0" w:line="339" w:lineRule="exact"/>
        <w:rPr>
          <w:sz w:val="20"/>
          <w:szCs w:val="20"/>
          <w:color w:val="auto"/>
        </w:rPr>
      </w:pPr>
    </w:p>
    <w:p>
      <w:pPr>
        <w:jc w:val="center"/>
        <w:ind w:right="2860"/>
        <w:spacing w:after="0"/>
        <w:rPr>
          <w:sz w:val="20"/>
          <w:szCs w:val="20"/>
          <w:color w:val="auto"/>
        </w:rPr>
      </w:pPr>
      <w:r>
        <w:rPr>
          <w:rFonts w:ascii="Arial" w:cs="Arial" w:eastAsia="Arial" w:hAnsi="Arial"/>
          <w:sz w:val="21"/>
          <w:szCs w:val="21"/>
          <w:u w:val="single" w:color="auto"/>
          <w:color w:val="auto"/>
        </w:rPr>
        <w:t>Distributions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4.1</w:t>
      </w:r>
      <w:r>
        <w:rPr>
          <w:sz w:val="20"/>
          <w:szCs w:val="20"/>
          <w:color w:val="auto"/>
        </w:rPr>
        <w:tab/>
      </w:r>
      <w:r>
        <w:rPr>
          <w:rFonts w:ascii="Arial" w:cs="Arial" w:eastAsia="Arial" w:hAnsi="Arial"/>
          <w:sz w:val="19"/>
          <w:szCs w:val="19"/>
          <w:u w:val="single" w:color="auto"/>
          <w:color w:val="auto"/>
        </w:rPr>
        <w:t>Distributions — General Principles and Definitions.</w:t>
      </w:r>
    </w:p>
    <w:p>
      <w:pPr>
        <w:spacing w:after="0" w:line="218" w:lineRule="exact"/>
        <w:rPr>
          <w:sz w:val="20"/>
          <w:szCs w:val="20"/>
          <w:color w:val="auto"/>
        </w:rPr>
      </w:pPr>
    </w:p>
    <w:p>
      <w:pPr>
        <w:jc w:val="both"/>
        <w:ind w:firstLine="1305"/>
        <w:spacing w:after="0" w:line="248" w:lineRule="auto"/>
        <w:tabs>
          <w:tab w:leader="none" w:pos="1831"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Except as otherwise expressly provided in this Article IV or in Article VII of this Agreement or as permitted under the Act, no Partner shall have the right to withdraw capital from the Partnership or to receive any distribution or return of any capital contribution. Notwithstanding any provision to the contrary contained in this Agreement, the Partnership shall not be required to make a distribution to a Partner on account of such Partner’s interest in the Partnership if such distribution would violate the Act or any other applicable law.</w:t>
      </w:r>
    </w:p>
    <w:p>
      <w:pPr>
        <w:spacing w:after="0" w:line="183" w:lineRule="exact"/>
        <w:rPr>
          <w:rFonts w:ascii="Arial" w:cs="Arial" w:eastAsia="Arial" w:hAnsi="Arial"/>
          <w:sz w:val="21"/>
          <w:szCs w:val="21"/>
          <w:color w:val="auto"/>
        </w:rPr>
      </w:pPr>
    </w:p>
    <w:p>
      <w:pPr>
        <w:ind w:firstLine="1305"/>
        <w:spacing w:after="0" w:line="268" w:lineRule="auto"/>
        <w:tabs>
          <w:tab w:leader="none" w:pos="18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Distributions pursuant to this Article IV may be made in cash or in Securities,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distributions of Carried Interest Proceeds and Capital Proceeds shall be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5" w:name="page136"/>
    <w:bookmarkEnd w:id="135"/>
    <w:p>
      <w:pPr>
        <w:jc w:val="both"/>
        <w:spacing w:after="0" w:line="260" w:lineRule="auto"/>
        <w:rPr>
          <w:sz w:val="20"/>
          <w:szCs w:val="20"/>
          <w:color w:val="auto"/>
        </w:rPr>
      </w:pPr>
      <w:r>
        <w:rPr>
          <w:rFonts w:ascii="Arial" w:cs="Arial" w:eastAsia="Arial" w:hAnsi="Arial"/>
          <w:sz w:val="20"/>
          <w:szCs w:val="20"/>
          <w:color w:val="auto"/>
        </w:rPr>
        <w:t>made to the extent practicable in the same form and proportions as such Carried Interest Proceeds and Capital Proceeds are received by the Partnership from the Fund. Distributions of Securities shall be made in the same manner as if cash in an amount equal to the Fair Market Value of such Securities were to be distributed. Distributions consisting of both cash and Securities shall be made, to the extent practicable, in the same proportions of cash and Securities to each Partner receiving such distributions. To the extent practicable, distributions consisting of or including Securities shall be made in a manner such that each Partner entitled to receive such a distribution shall receive Securities with the same rights attendant thereto (including registration, voting and anti-dilution rights) as the other Partners receiving such Securities in any concurrent distribution.</w:t>
      </w:r>
    </w:p>
    <w:p>
      <w:pPr>
        <w:spacing w:after="0" w:line="174" w:lineRule="exact"/>
        <w:rPr>
          <w:sz w:val="20"/>
          <w:szCs w:val="20"/>
          <w:color w:val="auto"/>
        </w:rPr>
      </w:pPr>
    </w:p>
    <w:p>
      <w:pPr>
        <w:ind w:left="1760" w:hanging="455"/>
        <w:spacing w:after="0"/>
        <w:tabs>
          <w:tab w:leader="none" w:pos="17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Certain Definitions.</w:t>
      </w:r>
    </w:p>
    <w:p>
      <w:pPr>
        <w:spacing w:after="0" w:line="217" w:lineRule="exact"/>
        <w:rPr>
          <w:rFonts w:ascii="Arial" w:cs="Arial" w:eastAsia="Arial" w:hAnsi="Arial"/>
          <w:sz w:val="21"/>
          <w:szCs w:val="21"/>
          <w:color w:val="auto"/>
        </w:rPr>
      </w:pPr>
    </w:p>
    <w:p>
      <w:pPr>
        <w:ind w:firstLine="1953"/>
        <w:spacing w:after="0" w:line="268" w:lineRule="auto"/>
        <w:tabs>
          <w:tab w:leader="none" w:pos="2464"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Temporary Investment Proceeds</w:t>
      </w:r>
      <w:r>
        <w:rPr>
          <w:rFonts w:ascii="Arial" w:cs="Arial" w:eastAsia="Arial" w:hAnsi="Arial"/>
          <w:sz w:val="21"/>
          <w:szCs w:val="21"/>
          <w:color w:val="auto"/>
        </w:rPr>
        <w:t>” means income from sources other than the Fund or Private Equity Investments, net of Partnership expenses and reserves for Partnership expenses allocable thereto.</w:t>
      </w:r>
    </w:p>
    <w:p>
      <w:pPr>
        <w:spacing w:after="0" w:line="162" w:lineRule="exact"/>
        <w:rPr>
          <w:rFonts w:ascii="Arial" w:cs="Arial" w:eastAsia="Arial" w:hAnsi="Arial"/>
          <w:sz w:val="21"/>
          <w:szCs w:val="21"/>
          <w:color w:val="auto"/>
        </w:rPr>
      </w:pPr>
    </w:p>
    <w:p>
      <w:pPr>
        <w:jc w:val="both"/>
        <w:ind w:firstLine="1953"/>
        <w:spacing w:after="0" w:line="285" w:lineRule="auto"/>
        <w:tabs>
          <w:tab w:leader="none" w:pos="2563" w:val="left"/>
        </w:tabs>
        <w:numPr>
          <w:ilvl w:val="1"/>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Proceeds</w:t>
      </w:r>
      <w:r>
        <w:rPr>
          <w:rFonts w:ascii="Arial" w:cs="Arial" w:eastAsia="Arial" w:hAnsi="Arial"/>
          <w:sz w:val="19"/>
          <w:szCs w:val="19"/>
          <w:color w:val="auto"/>
        </w:rPr>
        <w:t>” with respect to the Partnership or any other person means the distributions and proceeds to the Partnership or such other person from the Fund other than Carried Interest Proceeds, including distributions and proceeds representing the return (whether of current income or disposition proceeds) in respect of having made capital contributions for such Private Equity Investments, net of Partnership expenses and reserves for Partnership expenses allocable thereto.</w:t>
      </w:r>
    </w:p>
    <w:p>
      <w:pPr>
        <w:spacing w:after="0" w:line="150" w:lineRule="exact"/>
        <w:rPr>
          <w:rFonts w:ascii="Arial" w:cs="Arial" w:eastAsia="Arial" w:hAnsi="Arial"/>
          <w:sz w:val="19"/>
          <w:szCs w:val="19"/>
          <w:color w:val="auto"/>
        </w:rPr>
      </w:pPr>
    </w:p>
    <w:p>
      <w:pPr>
        <w:jc w:val="both"/>
        <w:ind w:firstLine="1953"/>
        <w:spacing w:after="0" w:line="254" w:lineRule="auto"/>
        <w:tabs>
          <w:tab w:leader="none" w:pos="2527"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Carried Interest Proceeds</w:t>
      </w:r>
      <w:r>
        <w:rPr>
          <w:rFonts w:ascii="Arial" w:cs="Arial" w:eastAsia="Arial" w:hAnsi="Arial"/>
          <w:sz w:val="21"/>
          <w:szCs w:val="21"/>
          <w:color w:val="auto"/>
        </w:rPr>
        <w:t>” with respect to the Partnership or any other person means the distributions and proceeds to the Partnership or such other person of Carried Interest (including any amounts placed on behalf of such other person into the Holdback Account pursuant to Section 4.5(a) hereof).</w:t>
      </w:r>
    </w:p>
    <w:p>
      <w:pPr>
        <w:spacing w:after="0" w:line="178" w:lineRule="exact"/>
        <w:rPr>
          <w:rFonts w:ascii="Arial" w:cs="Arial" w:eastAsia="Arial" w:hAnsi="Arial"/>
          <w:sz w:val="21"/>
          <w:szCs w:val="21"/>
          <w:color w:val="auto"/>
        </w:rPr>
      </w:pPr>
    </w:p>
    <w:p>
      <w:pPr>
        <w:jc w:val="both"/>
        <w:ind w:firstLine="1305"/>
        <w:spacing w:after="0" w:line="305" w:lineRule="auto"/>
        <w:tabs>
          <w:tab w:leader="none" w:pos="18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Section 4.5 and to the maintenance of the Operating Reserve, distributions to the Partners of Capital Proceeds and Carried Interest Proceeds shall be made as soon as practicable after the date such Capital Proceeds and Carried Interest Proceeds are received by the Partnership. Subject to the maintenance of the Operating Reserve, Temporary Investment Proceeds shall be distributed on an annual basis, or at such times as determined in the sole and absolute discretion of the General Partner.</w:t>
      </w:r>
    </w:p>
    <w:p>
      <w:pPr>
        <w:spacing w:after="0" w:line="136"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4.2</w:t>
      </w:r>
      <w:r>
        <w:rPr>
          <w:sz w:val="20"/>
          <w:szCs w:val="20"/>
          <w:color w:val="auto"/>
        </w:rPr>
        <w:tab/>
      </w:r>
      <w:r>
        <w:rPr>
          <w:rFonts w:ascii="Arial" w:cs="Arial" w:eastAsia="Arial" w:hAnsi="Arial"/>
          <w:sz w:val="19"/>
          <w:szCs w:val="19"/>
          <w:u w:val="single" w:color="auto"/>
          <w:color w:val="auto"/>
        </w:rPr>
        <w:t>Amounts and Priority of Distributions.</w:t>
      </w:r>
    </w:p>
    <w:p>
      <w:pPr>
        <w:spacing w:after="0" w:line="218" w:lineRule="exact"/>
        <w:rPr>
          <w:sz w:val="20"/>
          <w:szCs w:val="20"/>
          <w:color w:val="auto"/>
        </w:rPr>
      </w:pPr>
    </w:p>
    <w:p>
      <w:pPr>
        <w:jc w:val="both"/>
        <w:ind w:firstLine="1305"/>
        <w:spacing w:after="0" w:line="254" w:lineRule="auto"/>
        <w:tabs>
          <w:tab w:leader="none" w:pos="1756"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Treatment of Capital Proceeds</w:t>
      </w:r>
      <w:r>
        <w:rPr>
          <w:rFonts w:ascii="Arial" w:cs="Arial" w:eastAsia="Arial" w:hAnsi="Arial"/>
          <w:sz w:val="21"/>
          <w:szCs w:val="21"/>
          <w:color w:val="auto"/>
        </w:rPr>
        <w:t>. Each distribution of Capital Proceeds with respect to a Private Equity Investment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made to the Partners in proportion to their respective capital contributions (as adjusted pursuant to this Agreement) through the Partnership for such Private Equity Investment.</w:t>
      </w:r>
    </w:p>
    <w:p>
      <w:pPr>
        <w:spacing w:after="0" w:line="178" w:lineRule="exact"/>
        <w:rPr>
          <w:rFonts w:ascii="Arial" w:cs="Arial" w:eastAsia="Arial" w:hAnsi="Arial"/>
          <w:sz w:val="21"/>
          <w:szCs w:val="21"/>
          <w:color w:val="auto"/>
        </w:rPr>
      </w:pPr>
    </w:p>
    <w:p>
      <w:pPr>
        <w:jc w:val="both"/>
        <w:ind w:firstLine="1305"/>
        <w:spacing w:after="0" w:line="254" w:lineRule="auto"/>
        <w:tabs>
          <w:tab w:leader="none" w:pos="1768"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Treatment of Carried Interest Proceeds</w:t>
      </w:r>
      <w:r>
        <w:rPr>
          <w:rFonts w:ascii="Arial" w:cs="Arial" w:eastAsia="Arial" w:hAnsi="Arial"/>
          <w:sz w:val="21"/>
          <w:szCs w:val="21"/>
          <w:color w:val="auto"/>
        </w:rPr>
        <w:t>. Subject to Section 4.5, any Carried Interest Proceeds shall be paid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Partners in proportion to their respective Profit Sharing Percentages as of the date of such Partners’ distribution (taking into account adjustments as provided herein, including any reduction pursuant to Section 4.4).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6" w:name="page137"/>
    <w:bookmarkEnd w:id="136"/>
    <w:p>
      <w:pPr>
        <w:jc w:val="both"/>
        <w:ind w:firstLine="1305"/>
        <w:spacing w:after="0" w:line="254" w:lineRule="auto"/>
        <w:tabs>
          <w:tab w:leader="none" w:pos="1878"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Treatment of Temporary Investment Proceeds</w:t>
      </w:r>
      <w:r>
        <w:rPr>
          <w:rFonts w:ascii="Arial" w:cs="Arial" w:eastAsia="Arial" w:hAnsi="Arial"/>
          <w:sz w:val="21"/>
          <w:szCs w:val="21"/>
          <w:color w:val="auto"/>
        </w:rPr>
        <w:t>. Each distribution of Temporary Investment Proceeds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distributed among the Partners in proportion to their respective proportionate interests in the Partnership property or funds that produced such Temporary Investment Proceeds, as reasonably determined by the General Partner.</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4.3</w:t>
      </w:r>
      <w:r>
        <w:rPr>
          <w:sz w:val="20"/>
          <w:szCs w:val="20"/>
          <w:color w:val="auto"/>
        </w:rPr>
        <w:tab/>
      </w:r>
      <w:r>
        <w:rPr>
          <w:rFonts w:ascii="Arial" w:cs="Arial" w:eastAsia="Arial" w:hAnsi="Arial"/>
          <w:sz w:val="19"/>
          <w:szCs w:val="19"/>
          <w:u w:val="single" w:color="auto"/>
          <w:color w:val="auto"/>
        </w:rPr>
        <w:t>Certain Adjustments in Profit Sharing Percentages.</w:t>
      </w:r>
    </w:p>
    <w:p>
      <w:pPr>
        <w:spacing w:after="0" w:line="218" w:lineRule="exact"/>
        <w:rPr>
          <w:sz w:val="20"/>
          <w:szCs w:val="20"/>
          <w:color w:val="auto"/>
        </w:rPr>
      </w:pPr>
    </w:p>
    <w:p>
      <w:pPr>
        <w:jc w:val="both"/>
        <w:ind w:firstLine="1305"/>
        <w:spacing w:after="0" w:line="278" w:lineRule="auto"/>
        <w:tabs>
          <w:tab w:leader="none" w:pos="1784"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Increases in Profit Sharing Percentages and Unpaid Capital Commitments of Partners Following Various Events Specified in Section 4.4. The amount, if any, by which the Profit Sharing Percentage of a Partner is reduced pursuant to Section 4.4 shall be reallocated among the other Non-Affiliated Limited Partners in proportion to their existing Profit Sharing Percentages or in such other manner and in such other amounts (which need not be proportionate) as the General Partner shall determine. The amount, if any, by which the Unpaid Capital Commitment of a Partner is reduced pursuant to Section 4.4 shall be reallocated among GP Holdings and any Affiliate of the General Partner in such manner and in such amounts as the General Partner shall determine.</w:t>
      </w:r>
    </w:p>
    <w:p>
      <w:pPr>
        <w:spacing w:after="0" w:line="156" w:lineRule="exact"/>
        <w:rPr>
          <w:rFonts w:ascii="Arial" w:cs="Arial" w:eastAsia="Arial" w:hAnsi="Arial"/>
          <w:sz w:val="19"/>
          <w:szCs w:val="19"/>
          <w:color w:val="auto"/>
        </w:rPr>
      </w:pPr>
    </w:p>
    <w:p>
      <w:pPr>
        <w:jc w:val="both"/>
        <w:ind w:firstLine="1305"/>
        <w:spacing w:after="0" w:line="274" w:lineRule="auto"/>
        <w:tabs>
          <w:tab w:leader="none" w:pos="1835"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Restriction on Reduction in Profit Sharing Percentages or Unpaid Capital Commitments</w:t>
      </w:r>
      <w:r>
        <w:rPr>
          <w:rFonts w:ascii="Arial" w:cs="Arial" w:eastAsia="Arial" w:hAnsi="Arial"/>
          <w:sz w:val="19"/>
          <w:szCs w:val="19"/>
          <w:color w:val="auto"/>
        </w:rPr>
        <w:t>. Except as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in a Partner’s Terms Letter or in this Agreement, neither the Profit Sharing Percentage nor the Unpaid Capital Commitment of any Partner and his or her Family Related Limited Partners shall be reduced without his or her consent. Except as provided in a Special Limited Partner's Terms Letter or other agreement with the Partnership regarding the termination of such Special Limited Partner's employment or consultancy, or as expressly provided in this Agreement, neither the Profit Sharing Percentage nor the Unpaid Capital Commitment of a Special Limited Partner shall be subject to reduction. Neither the Profit Sharing Percentage nor the Unpaid Capital Commitment of GP Holdings shall be subject to reduction or increase. For the avoidance of doubt, any adjustments pursuant to Section 4.3(c) shall not be considered “reductions” for purposes of this Section 4.3(b).</w:t>
      </w:r>
    </w:p>
    <w:p>
      <w:pPr>
        <w:spacing w:after="0" w:line="165" w:lineRule="exact"/>
        <w:rPr>
          <w:rFonts w:ascii="Arial" w:cs="Arial" w:eastAsia="Arial" w:hAnsi="Arial"/>
          <w:sz w:val="19"/>
          <w:szCs w:val="19"/>
          <w:color w:val="auto"/>
        </w:rPr>
      </w:pPr>
    </w:p>
    <w:p>
      <w:pPr>
        <w:jc w:val="both"/>
        <w:ind w:firstLine="1305"/>
        <w:spacing w:after="0" w:line="271" w:lineRule="auto"/>
        <w:tabs>
          <w:tab w:leader="none" w:pos="1810"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Adjustments Due to Issuance of Interests</w:t>
      </w:r>
      <w:r>
        <w:rPr>
          <w:rFonts w:ascii="Arial" w:cs="Arial" w:eastAsia="Arial" w:hAnsi="Arial"/>
          <w:sz w:val="19"/>
          <w:szCs w:val="19"/>
          <w:color w:val="auto"/>
        </w:rPr>
        <w:t>. In the event of the admission of any person as an additional Partner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Section 9.1 or the issuance of any Interest to any existing Partner and any Family Related Limited Partner, (i) the Profit Sharing Percentage allocated to such Partner in connection therewith shall reduce the Profit Sharing Percentages of all other Non-Affiliated Limited Partners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upon their Profit Sharing Percentages immediately prior to such admission or issuance and</w:t>
      </w:r>
    </w:p>
    <w:p>
      <w:pPr>
        <w:spacing w:after="0" w:line="3" w:lineRule="exact"/>
        <w:rPr>
          <w:rFonts w:ascii="Arial" w:cs="Arial" w:eastAsia="Arial" w:hAnsi="Arial"/>
          <w:sz w:val="19"/>
          <w:szCs w:val="19"/>
          <w:color w:val="auto"/>
        </w:rPr>
      </w:pPr>
    </w:p>
    <w:p>
      <w:pPr>
        <w:jc w:val="both"/>
        <w:ind w:firstLine="8"/>
        <w:spacing w:after="0" w:line="243" w:lineRule="auto"/>
        <w:tabs>
          <w:tab w:leader="none" w:pos="314"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such Partner’s Capital Commitment shall reduce the Capital Commitments (and therefore the Unpaid Capital Commitments) of all other Non-Affiliated Limited Partners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based upon their Capital Commitments immediately prior to such admission or issuance, unless such new Partner’s Capital Commitment corresponds to, and does not exceed, an increase in the General Partner Capital Commitment;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General Partner may, in its sole and absolute discretion determine that clause (i) and/or (ii) shall not apply to one or more Partners in any given instance.</w:t>
      </w:r>
    </w:p>
    <w:p>
      <w:pPr>
        <w:spacing w:after="0" w:line="191"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21"/>
          <w:szCs w:val="21"/>
          <w:u w:val="single" w:color="auto"/>
          <w:color w:val="auto"/>
        </w:rPr>
        <w:t>SECTION 4.4</w:t>
      </w:r>
      <w:r>
        <w:rPr>
          <w:sz w:val="20"/>
          <w:szCs w:val="20"/>
          <w:color w:val="auto"/>
        </w:rPr>
        <w:tab/>
      </w:r>
      <w:r>
        <w:rPr>
          <w:rFonts w:ascii="Arial" w:cs="Arial" w:eastAsia="Arial" w:hAnsi="Arial"/>
          <w:sz w:val="19"/>
          <w:szCs w:val="19"/>
          <w:u w:val="single" w:color="auto"/>
          <w:color w:val="auto"/>
        </w:rPr>
        <w:t>Repurchase/Reductions Following Termination of Employment and Default with Respect to Capital</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Contributions.</w:t>
      </w:r>
    </w:p>
    <w:p>
      <w:pPr>
        <w:spacing w:after="0" w:line="200" w:lineRule="exact"/>
        <w:rPr>
          <w:sz w:val="20"/>
          <w:szCs w:val="20"/>
          <w:color w:val="auto"/>
        </w:rPr>
      </w:pPr>
    </w:p>
    <w:p>
      <w:pPr>
        <w:ind w:firstLine="1305"/>
        <w:spacing w:after="0" w:line="268" w:lineRule="auto"/>
        <w:tabs>
          <w:tab w:leader="none" w:pos="1824" w:val="left"/>
        </w:tabs>
        <w:numPr>
          <w:ilvl w:val="0"/>
          <w:numId w:val="55"/>
        </w:numPr>
        <w:rPr>
          <w:rFonts w:ascii="Arial" w:cs="Arial" w:eastAsia="Arial" w:hAnsi="Arial"/>
          <w:sz w:val="21"/>
          <w:szCs w:val="21"/>
          <w:color w:val="auto"/>
        </w:rPr>
      </w:pPr>
      <w:r>
        <w:rPr>
          <w:rFonts w:ascii="Arial" w:cs="Arial" w:eastAsia="Arial" w:hAnsi="Arial"/>
          <w:sz w:val="21"/>
          <w:szCs w:val="21"/>
          <w:i w:val="1"/>
          <w:iCs w:val="1"/>
          <w:color w:val="auto"/>
        </w:rPr>
        <w:t>Rights Following Termination of Employment</w:t>
      </w:r>
      <w:r>
        <w:rPr>
          <w:rFonts w:ascii="Arial" w:cs="Arial" w:eastAsia="Arial" w:hAnsi="Arial"/>
          <w:sz w:val="21"/>
          <w:szCs w:val="21"/>
          <w:color w:val="auto"/>
        </w:rPr>
        <w:t>. Following the termination of employment or, in the case of an</w:t>
      </w:r>
      <w:r>
        <w:rPr>
          <w:rFonts w:ascii="Arial" w:cs="Arial" w:eastAsia="Arial" w:hAnsi="Arial"/>
          <w:sz w:val="21"/>
          <w:szCs w:val="21"/>
          <w:i w:val="1"/>
          <w:iCs w:val="1"/>
          <w:color w:val="auto"/>
        </w:rPr>
        <w:t xml:space="preserve"> </w:t>
      </w:r>
      <w:r>
        <w:rPr>
          <w:rFonts w:ascii="Arial" w:cs="Arial" w:eastAsia="Arial" w:hAnsi="Arial"/>
          <w:sz w:val="21"/>
          <w:szCs w:val="21"/>
          <w:color w:val="auto"/>
        </w:rPr>
        <w:t>Operating Executive, consultancy of a Partner with EPI (or,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7" w:name="page138"/>
    <w:bookmarkEnd w:id="137"/>
    <w:p>
      <w:pPr>
        <w:jc w:val="both"/>
        <w:spacing w:after="0" w:line="269" w:lineRule="auto"/>
        <w:rPr>
          <w:sz w:val="20"/>
          <w:szCs w:val="20"/>
          <w:color w:val="auto"/>
        </w:rPr>
      </w:pPr>
      <w:r>
        <w:rPr>
          <w:rFonts w:ascii="Arial" w:cs="Arial" w:eastAsia="Arial" w:hAnsi="Arial"/>
          <w:sz w:val="19"/>
          <w:szCs w:val="19"/>
          <w:color w:val="auto"/>
        </w:rPr>
        <w:t>if the Partner is not an employee or consultant of EPI, but is instead an entity or investment vehicle of an employee or consultant of EPI, termination of the employment or consultancy of the applicable EPI employee (together with a terminated EPI Limited Partner, a “</w:t>
      </w:r>
      <w:r>
        <w:rPr>
          <w:rFonts w:ascii="Arial" w:cs="Arial" w:eastAsia="Arial" w:hAnsi="Arial"/>
          <w:sz w:val="19"/>
          <w:szCs w:val="19"/>
          <w:u w:val="single" w:color="auto"/>
          <w:color w:val="auto"/>
        </w:rPr>
        <w:t>Terminated Partner</w:t>
      </w:r>
      <w:r>
        <w:rPr>
          <w:rFonts w:ascii="Arial" w:cs="Arial" w:eastAsia="Arial" w:hAnsi="Arial"/>
          <w:sz w:val="19"/>
          <w:szCs w:val="19"/>
          <w:color w:val="auto"/>
        </w:rPr>
        <w:t>”)), the Investment Advisor, the Investment Manager or any of their respective Affiliates (the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General Partner, on behalf of the Partnership, shall have the right, but not the obligation, (x) to assume (or to cause one or more of its Affiliates and/or permit one or more employees or consultants of EPI to assume) all or a portion of such Terminated Partner’s Unfunded Capital Commitment within 90 days of the applicable Termination Date, (y) reduce such Partner’s Profit Sharing Percentage (if any) by a percentage not to exceed such Partner’s Profit Sharing Reduction Percentage, in each case subject to and in accordance with the provisions of, and solely to the extent set forth in, this Agreement and such Partner’s Terms Letter and (z) with respect to a Limited Partner that is a Team Member (or is associated with a Team Member) who becomes a Terminated Partner due to such Partner’s employment or consultancy with EPI being terminated for Cause, repurchase (or cause one or more of its Affiliate and/or permit one or more employees or consultants of EPI to repurchase) for the Repurchase Price a percentage of such Partner’s Interest represented by its Capital Contributions, such percentage not to exceed the lesser of (i) such Partner’s Capital Repurchase Percentage as of the Termination Date and (ii) a percentage, expressed as a fraction, the numerator of which is $1 million and the denominator of which is the Capital Commitment of such Partner. If the General Partner exercises the option set forth in the foregoing clause (x) within such time period, the Terminated Partner’s Unfunded Capital Commitment shall automatically, without any action of any Person, be Transferred to the General Partner (or such other Person as contemplated above). Notwithstanding the foregoing, such Partner may be obligated to repay to the Partnership any payments received by such Partner from the Partnership following termination of such Partner’s employment or consultancy in respect of any Profit Sharing Percentage not reduced by the Partnership upon violation of any of the conditions set forth in such Partner’s Terms Letter. The General Partner shall allocate all items of profit and loss and all distributions associated with the Interest originally subscribed by the Terminated Partner between the Terminated Partner on the one hand and the General Partner (or such other Person as contemplated above) on the other on such basis as it determines to be equitable in its discretion, and any such allocations shall be final and binding upon the Investor. For the avoidance of doubt, a Terminated Partner shall remain obligated for further capital contributions with respect to such Partner’s remaining Unfunded Capital Commitment, if any, and shall be responsible for such Partner’s (A) Give-Back Amount and (B) share of other returns of distributions with respect to any Funded Private Equity Investments realized prior to the date of determination and any portion of such Partner’s Profit Sharing Percentage not reduced or Capital Contributions not repurchased. For the avoidance of doubt, this Section 4.4(a) shall not apply with respect to GP Holdings.</w:t>
      </w:r>
    </w:p>
    <w:p>
      <w:pPr>
        <w:spacing w:after="0" w:line="168" w:lineRule="exact"/>
        <w:rPr>
          <w:sz w:val="20"/>
          <w:szCs w:val="20"/>
          <w:color w:val="auto"/>
        </w:rPr>
      </w:pPr>
    </w:p>
    <w:p>
      <w:pPr>
        <w:jc w:val="both"/>
        <w:ind w:firstLine="1305"/>
        <w:spacing w:after="0" w:line="261" w:lineRule="auto"/>
        <w:tabs>
          <w:tab w:leader="none" w:pos="1781" w:val="left"/>
        </w:tabs>
        <w:numPr>
          <w:ilvl w:val="0"/>
          <w:numId w:val="56"/>
        </w:numPr>
        <w:rPr>
          <w:rFonts w:ascii="Arial" w:cs="Arial" w:eastAsia="Arial" w:hAnsi="Arial"/>
          <w:sz w:val="20"/>
          <w:szCs w:val="20"/>
          <w:color w:val="auto"/>
        </w:rPr>
      </w:pPr>
      <w:r>
        <w:rPr>
          <w:rFonts w:ascii="Arial" w:cs="Arial" w:eastAsia="Arial" w:hAnsi="Arial"/>
          <w:sz w:val="20"/>
          <w:szCs w:val="20"/>
          <w:i w:val="1"/>
          <w:iCs w:val="1"/>
          <w:color w:val="auto"/>
        </w:rPr>
        <w:t>Rights Following Default in Capital Contributions</w:t>
      </w:r>
      <w:r>
        <w:rPr>
          <w:rFonts w:ascii="Arial" w:cs="Arial" w:eastAsia="Arial" w:hAnsi="Arial"/>
          <w:sz w:val="20"/>
          <w:szCs w:val="20"/>
          <w:color w:val="auto"/>
        </w:rPr>
        <w:t>. If a Partner defaults with respect to such Partner’s obligation</w:t>
      </w:r>
      <w:r>
        <w:rPr>
          <w:rFonts w:ascii="Arial" w:cs="Arial" w:eastAsia="Arial" w:hAnsi="Arial"/>
          <w:sz w:val="20"/>
          <w:szCs w:val="20"/>
          <w:i w:val="1"/>
          <w:iCs w:val="1"/>
          <w:color w:val="auto"/>
        </w:rPr>
        <w:t xml:space="preserve"> </w:t>
      </w:r>
      <w:r>
        <w:rPr>
          <w:rFonts w:ascii="Arial" w:cs="Arial" w:eastAsia="Arial" w:hAnsi="Arial"/>
          <w:sz w:val="20"/>
          <w:szCs w:val="20"/>
          <w:color w:val="auto"/>
        </w:rPr>
        <w:t>to make capital contributions pursuant to Section 5.1(a) below, the General Partner, on behalf of the Partnership, shall take such steps as set forth in Section 5.1(b) to the extent necessary to ensure that the Partnership does not default on its capital contribution obligation to the Fund. Further, the General Partner, on behalf of the Partnership, shall have the right, but not the obligation, to (x) repurchase such defaulting Partner’s entire Interest represented by its Capital Contributions as of the date of default (i.e., the Capital Repurchase Percentage shall be deemed to equal 100%) for the Repurchase Price, (y) reduce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8" w:name="page139"/>
    <w:bookmarkEnd w:id="138"/>
    <w:p>
      <w:pPr>
        <w:jc w:val="both"/>
        <w:spacing w:after="0" w:line="250" w:lineRule="auto"/>
        <w:rPr>
          <w:sz w:val="20"/>
          <w:szCs w:val="20"/>
          <w:color w:val="auto"/>
        </w:rPr>
      </w:pPr>
      <w:r>
        <w:rPr>
          <w:rFonts w:ascii="Arial" w:cs="Arial" w:eastAsia="Arial" w:hAnsi="Arial"/>
          <w:sz w:val="21"/>
          <w:szCs w:val="21"/>
          <w:color w:val="auto"/>
        </w:rPr>
        <w:t xml:space="preserve">such defaulting Partner’s Unpaid Capital Commitment to zero as of the date of default and (z) reduce such defaulting Partner’s Profit Sharing Percentage to zero as of the date of default (i.e., the Profit Sharing Reduction Percentage shall be deemed to equal 100%);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 default shall not be deemed to have occurred until a ten day period immediately following the initial failure by such</w:t>
      </w:r>
      <w:r>
        <w:rPr>
          <w:rFonts w:ascii="Arial" w:cs="Arial" w:eastAsia="Arial" w:hAnsi="Arial"/>
          <w:sz w:val="21"/>
          <w:szCs w:val="21"/>
          <w:i w:val="1"/>
          <w:iCs w:val="1"/>
          <w:color w:val="auto"/>
        </w:rPr>
        <w:t xml:space="preserve"> </w:t>
      </w:r>
      <w:r>
        <w:rPr>
          <w:rFonts w:ascii="Arial" w:cs="Arial" w:eastAsia="Arial" w:hAnsi="Arial"/>
          <w:sz w:val="21"/>
          <w:szCs w:val="21"/>
          <w:color w:val="auto"/>
        </w:rPr>
        <w:t>Partner to make such capital contribution shall have expired.</w:t>
      </w:r>
    </w:p>
    <w:p>
      <w:pPr>
        <w:spacing w:after="0" w:line="182" w:lineRule="exact"/>
        <w:rPr>
          <w:sz w:val="20"/>
          <w:szCs w:val="20"/>
          <w:color w:val="auto"/>
        </w:rPr>
      </w:pPr>
    </w:p>
    <w:p>
      <w:pPr>
        <w:jc w:val="both"/>
        <w:ind w:firstLine="1305"/>
        <w:spacing w:after="0" w:line="258" w:lineRule="auto"/>
        <w:tabs>
          <w:tab w:leader="none" w:pos="18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repurchase and reduction rights set forth in this Section 4.4 may be exercised by notice provided by the Partnership to the applicable Partner (a “</w:t>
      </w:r>
      <w:r>
        <w:rPr>
          <w:rFonts w:ascii="Arial" w:cs="Arial" w:eastAsia="Arial" w:hAnsi="Arial"/>
          <w:sz w:val="20"/>
          <w:szCs w:val="20"/>
          <w:u w:val="single" w:color="auto"/>
          <w:color w:val="auto"/>
        </w:rPr>
        <w:t>Repurchase/Reduction Notice</w:t>
      </w:r>
      <w:r>
        <w:rPr>
          <w:rFonts w:ascii="Arial" w:cs="Arial" w:eastAsia="Arial" w:hAnsi="Arial"/>
          <w:sz w:val="20"/>
          <w:szCs w:val="20"/>
          <w:color w:val="auto"/>
        </w:rPr>
        <w:t>”), specifying (w) the percentage of such Partner’s Interest represented by its Capital Contributions that is to be repurchased and the Purchase Price therefor, (y) the amount to which such Partner’s Unpaid Capital Commitments is to be assumed by the General Partner or any of its Affiliates and (z) the amount to which such Partner’s Profit Sharing Percentage is to be reduced. A Repurchase/Reduction Notice shall be given by the Partnership to the applicable Partner within 90 days after such Partner’s default or termination of employment, as the case may be. Upon receipt of a Repurchase/Reduction Notice, the Partner who receives such Repurchase/Reduction Notice shall be obligated to sell to the General Partner or its designee for the Repurchase Price the percentage of such Partner’s Interest represented by its Capital Contributions that is to be repurchased as specified by the Partnership in the Repurchase Notice.</w:t>
      </w:r>
    </w:p>
    <w:p>
      <w:pPr>
        <w:spacing w:after="0" w:line="178" w:lineRule="exact"/>
        <w:rPr>
          <w:rFonts w:ascii="Arial" w:cs="Arial" w:eastAsia="Arial" w:hAnsi="Arial"/>
          <w:sz w:val="20"/>
          <w:szCs w:val="20"/>
          <w:color w:val="auto"/>
        </w:rPr>
      </w:pPr>
    </w:p>
    <w:p>
      <w:pPr>
        <w:jc w:val="both"/>
        <w:ind w:firstLine="1305"/>
        <w:spacing w:after="0" w:line="250" w:lineRule="auto"/>
        <w:tabs>
          <w:tab w:leader="none" w:pos="1769"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4.4 and the Terms Letters, the General Partner in its sole and absolute discretion may agree to vary in any manner more favorable to a Partner the amount by which such Partner’s Profit Sharing Percentage, Interest represented by its Capital Contributions and/or Unpaid Capital Commitments would be reduced or repurchased by the operation of the provisions of this Section 4.4 and the Terms Letters.</w:t>
      </w:r>
    </w:p>
    <w:p>
      <w:pPr>
        <w:spacing w:after="0" w:line="182" w:lineRule="exact"/>
        <w:rPr>
          <w:rFonts w:ascii="Arial" w:cs="Arial" w:eastAsia="Arial" w:hAnsi="Arial"/>
          <w:sz w:val="21"/>
          <w:szCs w:val="21"/>
          <w:color w:val="auto"/>
        </w:rPr>
      </w:pPr>
    </w:p>
    <w:p>
      <w:pPr>
        <w:jc w:val="both"/>
        <w:ind w:firstLine="1305"/>
        <w:spacing w:after="0" w:line="246" w:lineRule="auto"/>
        <w:tabs>
          <w:tab w:leader="none" w:pos="181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provisions and remedies in this Section 4.4 are not exclusive, and each such provision or remedy shall be cumulative and in addition to every other right, power or remedy whether conferred herein or now or hereafter available at law or in equity or by statute or otherwise. Each Partner acknowledges by his or her execution hereof that such Partner has been admitted to the Partnership in reliance upon such Partner’s agreements hereunder, that the Partnership and the other Partners may have no adequate remedy at law for a breach hereof and that damages resulting from a breach hereof may be impossible to ascertain at the time hereof or of such breach.</w:t>
      </w:r>
    </w:p>
    <w:p>
      <w:pPr>
        <w:spacing w:after="0" w:line="189" w:lineRule="exact"/>
        <w:rPr>
          <w:rFonts w:ascii="Arial" w:cs="Arial" w:eastAsia="Arial" w:hAnsi="Arial"/>
          <w:sz w:val="21"/>
          <w:szCs w:val="21"/>
          <w:color w:val="auto"/>
        </w:rPr>
      </w:pPr>
    </w:p>
    <w:p>
      <w:pPr>
        <w:ind w:firstLine="1305"/>
        <w:spacing w:after="0" w:line="268" w:lineRule="auto"/>
        <w:tabs>
          <w:tab w:leader="none" w:pos="1828" w:val="left"/>
        </w:tabs>
        <w:numPr>
          <w:ilvl w:val="0"/>
          <w:numId w:val="57"/>
        </w:numPr>
        <w:rPr>
          <w:rFonts w:ascii="Arial" w:cs="Arial" w:eastAsia="Arial" w:hAnsi="Arial"/>
          <w:sz w:val="21"/>
          <w:szCs w:val="21"/>
          <w:color w:val="auto"/>
        </w:rPr>
      </w:pPr>
      <w:r>
        <w:rPr>
          <w:rFonts w:ascii="Arial" w:cs="Arial" w:eastAsia="Arial" w:hAnsi="Arial"/>
          <w:sz w:val="21"/>
          <w:szCs w:val="21"/>
          <w:color w:val="auto"/>
        </w:rPr>
        <w:t>Any adjustment made pursuant to Section 4.4, including to a Partner’s Capital Commitment, Unpaid Capital Commitment or Profit Sharing Percentage, shall be reflected on the books and records of the Partnership.</w:t>
      </w:r>
    </w:p>
    <w:p>
      <w:pPr>
        <w:spacing w:after="0" w:line="163"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4.5</w:t>
      </w:r>
      <w:r>
        <w:rPr>
          <w:sz w:val="20"/>
          <w:szCs w:val="20"/>
          <w:color w:val="auto"/>
        </w:rPr>
        <w:tab/>
      </w:r>
      <w:r>
        <w:rPr>
          <w:rFonts w:ascii="Arial" w:cs="Arial" w:eastAsia="Arial" w:hAnsi="Arial"/>
          <w:sz w:val="19"/>
          <w:szCs w:val="19"/>
          <w:u w:val="single" w:color="auto"/>
          <w:color w:val="auto"/>
        </w:rPr>
        <w:t>Holdback Account; Payment of Give-Back Obligation to the Fund.</w:t>
      </w:r>
    </w:p>
    <w:p>
      <w:pPr>
        <w:spacing w:after="0" w:line="218" w:lineRule="exact"/>
        <w:rPr>
          <w:sz w:val="20"/>
          <w:szCs w:val="20"/>
          <w:color w:val="auto"/>
        </w:rPr>
      </w:pPr>
    </w:p>
    <w:p>
      <w:pPr>
        <w:jc w:val="both"/>
        <w:ind w:firstLine="1305"/>
        <w:spacing w:after="0" w:line="250" w:lineRule="auto"/>
        <w:tabs>
          <w:tab w:leader="none" w:pos="1891" w:val="left"/>
        </w:tabs>
        <w:numPr>
          <w:ilvl w:val="0"/>
          <w:numId w:val="58"/>
        </w:numPr>
        <w:rPr>
          <w:rFonts w:ascii="Arial" w:cs="Arial" w:eastAsia="Arial" w:hAnsi="Arial"/>
          <w:sz w:val="21"/>
          <w:szCs w:val="21"/>
          <w:color w:val="auto"/>
        </w:rPr>
      </w:pPr>
      <w:r>
        <w:rPr>
          <w:rFonts w:ascii="Arial" w:cs="Arial" w:eastAsia="Arial" w:hAnsi="Arial"/>
          <w:sz w:val="21"/>
          <w:szCs w:val="21"/>
          <w:i w:val="1"/>
          <w:iCs w:val="1"/>
          <w:color w:val="auto"/>
        </w:rPr>
        <w:t>Establishment of the Holdback Account</w:t>
      </w:r>
      <w:r>
        <w:rPr>
          <w:rFonts w:ascii="Arial" w:cs="Arial" w:eastAsia="Arial" w:hAnsi="Arial"/>
          <w:sz w:val="21"/>
          <w:szCs w:val="21"/>
          <w:color w:val="auto"/>
        </w:rPr>
        <w:t>. The Partnership shall establish a separate account (the “</w:t>
      </w:r>
      <w:r>
        <w:rPr>
          <w:rFonts w:ascii="Arial" w:cs="Arial" w:eastAsia="Arial" w:hAnsi="Arial"/>
          <w:sz w:val="21"/>
          <w:szCs w:val="21"/>
          <w:u w:val="single" w:color="auto"/>
          <w:color w:val="auto"/>
        </w:rPr>
        <w:t>Holdback</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Account</w:t>
      </w:r>
      <w:r>
        <w:rPr>
          <w:rFonts w:ascii="Arial" w:cs="Arial" w:eastAsia="Arial" w:hAnsi="Arial"/>
          <w:sz w:val="21"/>
          <w:szCs w:val="21"/>
          <w:color w:val="auto"/>
        </w:rPr>
        <w:t>”) with a sub-account for each Partner. Except as provided in this Section 4.5, in lieu of distributing to the Partners the Carried Interest Proceeds to which they are otherwise entitled hereunder, the Partnership shall retain such Carried Interest Proceeds and shall credit the sub-account of each such Partner in the Holdback Account with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39" w:name="page140"/>
    <w:bookmarkEnd w:id="139"/>
    <w:p>
      <w:pPr>
        <w:jc w:val="both"/>
        <w:spacing w:after="0" w:line="246" w:lineRule="auto"/>
        <w:rPr>
          <w:sz w:val="20"/>
          <w:szCs w:val="20"/>
          <w:color w:val="auto"/>
        </w:rPr>
      </w:pPr>
      <w:r>
        <w:rPr>
          <w:rFonts w:ascii="Arial" w:cs="Arial" w:eastAsia="Arial" w:hAnsi="Arial"/>
          <w:sz w:val="21"/>
          <w:szCs w:val="21"/>
          <w:color w:val="auto"/>
        </w:rPr>
        <w:t>amount of Carried Interest Proceeds otherwise distributable to such Partner, in an amount determined by the General Partner in its reasonable discretion. Subject to Section 4.5(b), in the event that an EPI Limited Partner ceases to be employed or retained as a consultant by any of EPI, the Investment Advisor, the Investment Manager or any of their respective Affiliates and, thereby, becomes a Special Limited Partner, 100% of the Carried Interest Proceeds otherwise distributable to such EPI Limited Partner and / or his or her Family Related Limited Partners shall be retained by the Partnership and credited to the sub-account of such Partner in the Holdback Account.</w:t>
      </w:r>
    </w:p>
    <w:p>
      <w:pPr>
        <w:spacing w:after="0" w:line="190" w:lineRule="exact"/>
        <w:rPr>
          <w:sz w:val="20"/>
          <w:szCs w:val="20"/>
          <w:color w:val="auto"/>
        </w:rPr>
      </w:pPr>
    </w:p>
    <w:p>
      <w:pPr>
        <w:jc w:val="both"/>
        <w:ind w:firstLine="1305"/>
        <w:spacing w:after="0" w:line="246" w:lineRule="auto"/>
        <w:tabs>
          <w:tab w:leader="none" w:pos="1776" w:val="left"/>
        </w:tabs>
        <w:numPr>
          <w:ilvl w:val="0"/>
          <w:numId w:val="59"/>
        </w:numPr>
        <w:rPr>
          <w:rFonts w:ascii="Arial" w:cs="Arial" w:eastAsia="Arial" w:hAnsi="Arial"/>
          <w:sz w:val="21"/>
          <w:szCs w:val="21"/>
          <w:color w:val="auto"/>
        </w:rPr>
      </w:pPr>
      <w:r>
        <w:rPr>
          <w:rFonts w:ascii="Arial" w:cs="Arial" w:eastAsia="Arial" w:hAnsi="Arial"/>
          <w:sz w:val="21"/>
          <w:szCs w:val="21"/>
          <w:color w:val="auto"/>
        </w:rPr>
        <w:t>Distributions out of the Holdback Account. (i) The General Partner in its reasonable discretion may determine to distribute to any Partner all or any portion of the amounts in such Partner’s sub-account in the Holdback Account and/or terminate the requirement that such Partner’s distributions of Carried Interest Proceeds be placed in the Holdback Account, subject to such conditions, undertakings, guarantees, security, credit support and/or other provisions, as the General Partner in its sole and absolute discretion at that time may deem necessary or advisable, without regard as to whether similar or different requirements have been established with respect to other Partners.</w:t>
      </w:r>
    </w:p>
    <w:p>
      <w:pPr>
        <w:spacing w:after="0" w:line="189" w:lineRule="exact"/>
        <w:rPr>
          <w:rFonts w:ascii="Arial" w:cs="Arial" w:eastAsia="Arial" w:hAnsi="Arial"/>
          <w:sz w:val="21"/>
          <w:szCs w:val="21"/>
          <w:color w:val="auto"/>
        </w:rPr>
      </w:pPr>
    </w:p>
    <w:p>
      <w:pPr>
        <w:jc w:val="both"/>
        <w:ind w:firstLine="1953"/>
        <w:spacing w:after="0" w:line="254" w:lineRule="auto"/>
        <w:tabs>
          <w:tab w:leader="none" w:pos="2457" w:val="left"/>
        </w:tabs>
        <w:numPr>
          <w:ilvl w:val="1"/>
          <w:numId w:val="59"/>
        </w:numPr>
        <w:rPr>
          <w:rFonts w:ascii="Arial" w:cs="Arial" w:eastAsia="Arial" w:hAnsi="Arial"/>
          <w:sz w:val="21"/>
          <w:szCs w:val="21"/>
          <w:color w:val="auto"/>
        </w:rPr>
      </w:pPr>
      <w:r>
        <w:rPr>
          <w:rFonts w:ascii="Arial" w:cs="Arial" w:eastAsia="Arial" w:hAnsi="Arial"/>
          <w:sz w:val="21"/>
          <w:szCs w:val="21"/>
          <w:color w:val="auto"/>
        </w:rPr>
        <w:t>An amount equal to the interest or other amounts earned on the funds in the Holdback Account may be released and paid to the Partners in proportion to their respective interests in the Holdback Account as determined from time to time by the General Partner.</w:t>
      </w:r>
    </w:p>
    <w:p>
      <w:pPr>
        <w:spacing w:after="0" w:line="178" w:lineRule="exact"/>
        <w:rPr>
          <w:rFonts w:ascii="Arial" w:cs="Arial" w:eastAsia="Arial" w:hAnsi="Arial"/>
          <w:sz w:val="21"/>
          <w:szCs w:val="21"/>
          <w:color w:val="auto"/>
        </w:rPr>
      </w:pPr>
    </w:p>
    <w:p>
      <w:pPr>
        <w:ind w:firstLine="1305"/>
        <w:spacing w:after="0" w:line="268" w:lineRule="auto"/>
        <w:tabs>
          <w:tab w:leader="none" w:pos="1752" w:val="left"/>
        </w:tabs>
        <w:numPr>
          <w:ilvl w:val="0"/>
          <w:numId w:val="59"/>
        </w:numPr>
        <w:rPr>
          <w:rFonts w:ascii="Arial" w:cs="Arial" w:eastAsia="Arial" w:hAnsi="Arial"/>
          <w:sz w:val="21"/>
          <w:szCs w:val="21"/>
          <w:color w:val="auto"/>
        </w:rPr>
      </w:pPr>
      <w:r>
        <w:rPr>
          <w:rFonts w:ascii="Arial" w:cs="Arial" w:eastAsia="Arial" w:hAnsi="Arial"/>
          <w:sz w:val="21"/>
          <w:szCs w:val="21"/>
          <w:color w:val="auto"/>
        </w:rPr>
        <w:t>Payment of Give-Back Obligation to the Fund. (i) If at any time the General Partner, on behalf of the Partnership, is still required to contribute any portion of the Give-Back Obligation to the Fund, then:</w:t>
      </w:r>
    </w:p>
    <w:p>
      <w:pPr>
        <w:spacing w:after="0" w:line="163" w:lineRule="exact"/>
        <w:rPr>
          <w:sz w:val="20"/>
          <w:szCs w:val="20"/>
          <w:color w:val="auto"/>
        </w:rPr>
      </w:pPr>
    </w:p>
    <w:p>
      <w:pPr>
        <w:jc w:val="both"/>
        <w:ind w:left="660" w:firstLine="1293"/>
        <w:spacing w:after="0" w:line="276" w:lineRule="auto"/>
        <w:tabs>
          <w:tab w:leader="none" w:pos="255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there shall be deducted against each Partner’s sub-account in the Holdback Account an amount (such Partner’s “</w:t>
      </w:r>
      <w:r>
        <w:rPr>
          <w:rFonts w:ascii="Arial" w:cs="Arial" w:eastAsia="Arial" w:hAnsi="Arial"/>
          <w:sz w:val="19"/>
          <w:szCs w:val="19"/>
          <w:u w:val="single" w:color="auto"/>
          <w:color w:val="auto"/>
        </w:rPr>
        <w:t>Give-Back Amount</w:t>
      </w:r>
      <w:r>
        <w:rPr>
          <w:rFonts w:ascii="Arial" w:cs="Arial" w:eastAsia="Arial" w:hAnsi="Arial"/>
          <w:sz w:val="19"/>
          <w:szCs w:val="19"/>
          <w:color w:val="auto"/>
        </w:rPr>
        <w:t>”) which equals (1) the product of (x) such Partner’s Carried Interest Give Back Percentage and</w:t>
      </w:r>
    </w:p>
    <w:p>
      <w:pPr>
        <w:spacing w:after="0" w:line="1" w:lineRule="exact"/>
        <w:rPr>
          <w:rFonts w:ascii="Arial" w:cs="Arial" w:eastAsia="Arial" w:hAnsi="Arial"/>
          <w:sz w:val="19"/>
          <w:szCs w:val="19"/>
          <w:color w:val="auto"/>
        </w:rPr>
      </w:pPr>
    </w:p>
    <w:p>
      <w:pPr>
        <w:ind w:left="660" w:hanging="4"/>
        <w:spacing w:after="0" w:line="250" w:lineRule="auto"/>
        <w:tabs>
          <w:tab w:leader="none" w:pos="962"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portion of the Give-Back Obligation that the General Partner, on behalf of the Partnership, is still required to contribute to the Fund,</w:t>
      </w:r>
    </w:p>
    <w:p>
      <w:pPr>
        <w:spacing w:after="0" w:line="181" w:lineRule="exact"/>
        <w:rPr>
          <w:rFonts w:ascii="Arial" w:cs="Arial" w:eastAsia="Arial" w:hAnsi="Arial"/>
          <w:sz w:val="21"/>
          <w:szCs w:val="21"/>
          <w:color w:val="auto"/>
        </w:rPr>
      </w:pPr>
    </w:p>
    <w:p>
      <w:pPr>
        <w:ind w:left="660" w:firstLine="1293"/>
        <w:spacing w:after="0" w:line="321" w:lineRule="auto"/>
        <w:tabs>
          <w:tab w:leader="none" w:pos="245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each Partner shall promptly contribute to the Partnership an amount equal to the excess, if any, of (1) such Partner’s Give-Back Amount over (2) the amount of such Partner’s sub-account, if any, in the Holdback Account, and</w:t>
      </w:r>
    </w:p>
    <w:p>
      <w:pPr>
        <w:spacing w:after="0" w:line="117" w:lineRule="exact"/>
        <w:rPr>
          <w:rFonts w:ascii="Arial" w:cs="Arial" w:eastAsia="Arial" w:hAnsi="Arial"/>
          <w:sz w:val="19"/>
          <w:szCs w:val="19"/>
          <w:color w:val="auto"/>
        </w:rPr>
      </w:pPr>
    </w:p>
    <w:p>
      <w:pPr>
        <w:ind w:left="660" w:firstLine="1293"/>
        <w:spacing w:after="0" w:line="268" w:lineRule="auto"/>
        <w:tabs>
          <w:tab w:leader="none" w:pos="2452"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portion of the Give-Back Obligation shall be paid out of the funds deducted or contributed pursuant to clauses (A) and (B) above.</w:t>
      </w:r>
    </w:p>
    <w:p>
      <w:pPr>
        <w:spacing w:after="0" w:line="163" w:lineRule="exact"/>
        <w:rPr>
          <w:sz w:val="20"/>
          <w:szCs w:val="20"/>
          <w:color w:val="auto"/>
        </w:rPr>
      </w:pPr>
    </w:p>
    <w:p>
      <w:pPr>
        <w:jc w:val="both"/>
        <w:ind w:firstLine="1953"/>
        <w:spacing w:after="0" w:line="280" w:lineRule="auto"/>
        <w:tabs>
          <w:tab w:leader="none" w:pos="24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General Partner, on behalf of the Partnership, shall be entitled to collect interest on the amount which any Partner has failed to timely pay pursuant to this Section 4.5(c) from the date such amount was to have been paid to the date of payment in full at a rate equal to the Default Interest Rate. Any Partner defaulting on his or her obligation to contribute to the Partnership any amount pursuant to this Section 4.5(c) shall be obligated to reimburse the Partnership for all reasonable attorney’s fees and expenses and all other costs and expenses incurred by the Partnership in enforcing against such Partner such obligation.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0" w:name="page141"/>
    <w:bookmarkEnd w:id="140"/>
    <w:p>
      <w:pPr>
        <w:jc w:val="both"/>
        <w:spacing w:after="0" w:line="272" w:lineRule="auto"/>
        <w:rPr>
          <w:sz w:val="20"/>
          <w:szCs w:val="20"/>
          <w:color w:val="auto"/>
        </w:rPr>
      </w:pPr>
      <w:r>
        <w:rPr>
          <w:rFonts w:ascii="Arial" w:cs="Arial" w:eastAsia="Arial" w:hAnsi="Arial"/>
          <w:sz w:val="19"/>
          <w:szCs w:val="19"/>
          <w:color w:val="auto"/>
        </w:rPr>
        <w:t>General Partner, on behalf of the Partnership, shall have the right to set-off as appropriate and apply against such Partner’s obligation to make such contribution, any default interest accruing thereon and such Partner’s reimbursement obligations hereunder, any amounts otherwise payable to such Partner by the General Partner, on behalf of the Partnership, or any other Affiliate thereof (including amounts unrelated to Carried Interest Proceeds, such as returns of capital, profit thereon and dividends, as well as employee salary or bonus). In addition, subject to Sections 10.17 and 10.19, in the event that any Partner defaults on his or her obligation to contribute to the Partnership any amount pursuant to this Section 4.5(c) (a “</w:t>
      </w:r>
      <w:r>
        <w:rPr>
          <w:rFonts w:ascii="Arial" w:cs="Arial" w:eastAsia="Arial" w:hAnsi="Arial"/>
          <w:sz w:val="19"/>
          <w:szCs w:val="19"/>
          <w:u w:val="single" w:color="auto"/>
          <w:color w:val="auto"/>
        </w:rPr>
        <w:t>Defaulted Amount</w:t>
      </w:r>
      <w:r>
        <w:rPr>
          <w:rFonts w:ascii="Arial" w:cs="Arial" w:eastAsia="Arial" w:hAnsi="Arial"/>
          <w:sz w:val="19"/>
          <w:szCs w:val="19"/>
          <w:color w:val="auto"/>
        </w:rPr>
        <w:t xml:space="preserve">”), each Partner shall be required to contribute an amount which equals the product of (1) the percentage obtained by dividing (x) such Partner’s Give-Back Amount by (y) the aggregate amount of Give-Back Amounts of all Partners and (2) the Defaulted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any Partner be obligated to contribute an amount in excess of 125% of such Partner’s Give-Back Amount. The General Partner may determine in its sole discretion to reimburse to any Partner who has contributed a portion of a Defaulted Amount any amounts collected, pursuant to the Partnership’s right of set-off or otherwise, from the defaulting Partner.</w:t>
      </w:r>
    </w:p>
    <w:p>
      <w:pPr>
        <w:spacing w:after="0" w:line="166" w:lineRule="exact"/>
        <w:rPr>
          <w:sz w:val="20"/>
          <w:szCs w:val="20"/>
          <w:color w:val="auto"/>
        </w:rPr>
      </w:pPr>
    </w:p>
    <w:p>
      <w:pPr>
        <w:jc w:val="both"/>
        <w:ind w:firstLine="1953"/>
        <w:spacing w:after="0" w:line="250" w:lineRule="auto"/>
        <w:tabs>
          <w:tab w:leader="none" w:pos="2581" w:val="left"/>
        </w:tabs>
        <w:numPr>
          <w:ilvl w:val="1"/>
          <w:numId w:val="63"/>
        </w:numPr>
        <w:rPr>
          <w:rFonts w:ascii="Arial" w:cs="Arial" w:eastAsia="Arial" w:hAnsi="Arial"/>
          <w:sz w:val="21"/>
          <w:szCs w:val="21"/>
          <w:color w:val="auto"/>
        </w:rPr>
      </w:pPr>
      <w:r>
        <w:rPr>
          <w:rFonts w:ascii="Arial" w:cs="Arial" w:eastAsia="Arial" w:hAnsi="Arial"/>
          <w:sz w:val="21"/>
          <w:szCs w:val="21"/>
          <w:color w:val="auto"/>
        </w:rPr>
        <w:t>A Partner’s obligation to make payments under this Section 4.5 shall survive the termination of the Partnership, termination of such Partner’s employment or consultancy with EPI, the Investment Advisor, the Investment Manager or any of their respective Affiliates and such Partner’s withdrawal from the Partnership, so that for purposes of this Section 4.5 a former Partner shall continue to be treated as a Partner.</w:t>
      </w:r>
    </w:p>
    <w:p>
      <w:pPr>
        <w:spacing w:after="0" w:line="182" w:lineRule="exact"/>
        <w:rPr>
          <w:rFonts w:ascii="Arial" w:cs="Arial" w:eastAsia="Arial" w:hAnsi="Arial"/>
          <w:sz w:val="21"/>
          <w:szCs w:val="21"/>
          <w:color w:val="auto"/>
        </w:rPr>
      </w:pPr>
    </w:p>
    <w:p>
      <w:pPr>
        <w:jc w:val="both"/>
        <w:ind w:firstLine="1305"/>
        <w:spacing w:after="0" w:line="244" w:lineRule="auto"/>
        <w:tabs>
          <w:tab w:leader="none" w:pos="1890" w:val="left"/>
        </w:tabs>
        <w:numPr>
          <w:ilvl w:val="0"/>
          <w:numId w:val="64"/>
        </w:numPr>
        <w:rPr>
          <w:rFonts w:ascii="Arial" w:cs="Arial" w:eastAsia="Arial" w:hAnsi="Arial"/>
          <w:sz w:val="21"/>
          <w:szCs w:val="21"/>
          <w:color w:val="auto"/>
        </w:rPr>
      </w:pPr>
      <w:r>
        <w:rPr>
          <w:rFonts w:ascii="Arial" w:cs="Arial" w:eastAsia="Arial" w:hAnsi="Arial"/>
          <w:sz w:val="21"/>
          <w:szCs w:val="21"/>
          <w:i w:val="1"/>
          <w:iCs w:val="1"/>
          <w:color w:val="auto"/>
        </w:rPr>
        <w:t>Release of Funds in Holdback Account; Contingent Liabilities</w:t>
      </w:r>
      <w:r>
        <w:rPr>
          <w:rFonts w:ascii="Arial" w:cs="Arial" w:eastAsia="Arial" w:hAnsi="Arial"/>
          <w:sz w:val="21"/>
          <w:szCs w:val="21"/>
          <w:color w:val="auto"/>
        </w:rPr>
        <w:t xml:space="preserve">. Any amounts remaining in a Partner’s sub-account in the Holdback Account after deduction of any amounts required by Section 4.5(c) shall be distributed to such Partner as promptly as practicable following the date of determination of the Give-Back Obligation;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any Proceeding then pending or any other liability or claim then outstanding against the Partnership or any Fund and the General Partner in its sole and absolute discretion determines that such amounts in the Holdback Account may be necessary to satisfy the Partners’ share of any obligation arising out of such Proceeding, liability or claim, then the General Partner shall so notify the Partners and, in that event, such amounts, or the portion thereof specified by the General Partner in such notice, shall be retained in the Holdback Account until such time or times as the General Partner in its sole and absolute discretion determines that such amounts may be distributed to the Partners.</w:t>
      </w:r>
    </w:p>
    <w:p>
      <w:pPr>
        <w:spacing w:after="0" w:line="194" w:lineRule="exact"/>
        <w:rPr>
          <w:rFonts w:ascii="Arial" w:cs="Arial" w:eastAsia="Arial" w:hAnsi="Arial"/>
          <w:sz w:val="21"/>
          <w:szCs w:val="21"/>
          <w:color w:val="auto"/>
        </w:rPr>
      </w:pPr>
    </w:p>
    <w:p>
      <w:pPr>
        <w:jc w:val="both"/>
        <w:ind w:firstLine="1305"/>
        <w:spacing w:after="0" w:line="258" w:lineRule="auto"/>
        <w:tabs>
          <w:tab w:leader="none" w:pos="1743"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Tax Matters Relating to the Holdback Account</w:t>
      </w:r>
      <w:r>
        <w:rPr>
          <w:rFonts w:ascii="Arial" w:cs="Arial" w:eastAsia="Arial" w:hAnsi="Arial"/>
          <w:sz w:val="20"/>
          <w:szCs w:val="20"/>
          <w:color w:val="auto"/>
        </w:rPr>
        <w:t>. To the extent determined by the General Partner from time to time</w:t>
      </w:r>
      <w:r>
        <w:rPr>
          <w:rFonts w:ascii="Arial" w:cs="Arial" w:eastAsia="Arial" w:hAnsi="Arial"/>
          <w:sz w:val="20"/>
          <w:szCs w:val="20"/>
          <w:i w:val="1"/>
          <w:iCs w:val="1"/>
          <w:color w:val="auto"/>
        </w:rPr>
        <w:t xml:space="preserve"> </w:t>
      </w:r>
      <w:r>
        <w:rPr>
          <w:rFonts w:ascii="Arial" w:cs="Arial" w:eastAsia="Arial" w:hAnsi="Arial"/>
          <w:sz w:val="20"/>
          <w:szCs w:val="20"/>
          <w:color w:val="auto"/>
        </w:rPr>
        <w:t>in its sole discretion, on an estimated tax payment date for a Partner on behalf of whom amounts are placed in the Holdback Account (a “</w:t>
      </w:r>
      <w:r>
        <w:rPr>
          <w:rFonts w:ascii="Arial" w:cs="Arial" w:eastAsia="Arial" w:hAnsi="Arial"/>
          <w:sz w:val="20"/>
          <w:szCs w:val="20"/>
          <w:u w:val="single" w:color="auto"/>
          <w:color w:val="auto"/>
        </w:rPr>
        <w:t>Holdback Partner</w:t>
      </w:r>
      <w:r>
        <w:rPr>
          <w:rFonts w:ascii="Arial" w:cs="Arial" w:eastAsia="Arial" w:hAnsi="Arial"/>
          <w:sz w:val="20"/>
          <w:szCs w:val="20"/>
          <w:color w:val="auto"/>
        </w:rPr>
        <w:t>”) in any year, the General Partner, on behalf of the Partnership, may make a cash advance against distributions of Carried Interest Proceeds to such Holdback Partner to the extent distributions actually received by such Holdback Partner (net of amounts placed in the Holdback Account) are not sufficient for such Holdback Partner to pay when due estimated income tax imposed on it, calculated using the Assumed Income Tax Rate (the “</w:t>
      </w:r>
      <w:r>
        <w:rPr>
          <w:rFonts w:ascii="Arial" w:cs="Arial" w:eastAsia="Arial" w:hAnsi="Arial"/>
          <w:sz w:val="20"/>
          <w:szCs w:val="20"/>
          <w:u w:val="single" w:color="auto"/>
          <w:color w:val="auto"/>
        </w:rPr>
        <w:t>Estimated Income Tax Amount</w:t>
      </w:r>
      <w:r>
        <w:rPr>
          <w:rFonts w:ascii="Arial" w:cs="Arial" w:eastAsia="Arial" w:hAnsi="Arial"/>
          <w:sz w:val="20"/>
          <w:szCs w:val="20"/>
          <w:color w:val="auto"/>
        </w:rPr>
        <w:t>”). Amounts of Carried Interest Proceeds otherwise distributable to a Holdback Partner pursuant to Section 4.2(b) shall be reduced by the amount of any Estimated Income Tax Amounts distributed to such Holdback Partner pursuant to this Section 4.5(e) until all such Estimated Income Tax Amounts are restored. As promptly as reasonably practicable following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1" w:name="page142"/>
    <w:bookmarkEnd w:id="141"/>
    <w:p>
      <w:pPr>
        <w:jc w:val="both"/>
        <w:spacing w:after="0" w:line="255" w:lineRule="auto"/>
        <w:rPr>
          <w:sz w:val="20"/>
          <w:szCs w:val="20"/>
          <w:color w:val="auto"/>
        </w:rPr>
      </w:pPr>
      <w:r>
        <w:rPr>
          <w:rFonts w:ascii="Arial" w:cs="Arial" w:eastAsia="Arial" w:hAnsi="Arial"/>
          <w:sz w:val="20"/>
          <w:szCs w:val="20"/>
          <w:color w:val="auto"/>
        </w:rPr>
        <w:t>the end of the fiscal year of the Partnership to which such Carried Interest Proceeds are attributable, the General Partner, on behalf of the Partnership, shall calculate, with respect to each Holdback Partner who has received a distribution of an Estimated Income Tax Amount, the product of (i) the actual taxable income allocable in respect of the Carried Interest Proceeds attributable to such Holdback Partner in such year less the cumulative taxable loss that has been allocated to such Holdback Partner to the extent such loss has not previously reduced taxable income pursuant to this provision and (ii) the Assumed Income Tax Rate (the “</w:t>
      </w:r>
      <w:r>
        <w:rPr>
          <w:rFonts w:ascii="Arial" w:cs="Arial" w:eastAsia="Arial" w:hAnsi="Arial"/>
          <w:sz w:val="20"/>
          <w:szCs w:val="20"/>
          <w:u w:val="single" w:color="auto"/>
          <w:color w:val="auto"/>
        </w:rPr>
        <w:t>Recalculated Income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w:t>
      </w:r>
      <w:r>
        <w:rPr>
          <w:rFonts w:ascii="Arial" w:cs="Arial" w:eastAsia="Arial" w:hAnsi="Arial"/>
          <w:sz w:val="20"/>
          <w:szCs w:val="20"/>
          <w:color w:val="auto"/>
        </w:rPr>
        <w:t>”). If any Holdback Partner has received distributions under this Section 4.5(e) or Section 4.5(b) for such year which are less than the Recalculated Income Tax Amount, as determined by the General Partner in its sole discretion, the General Partner, on behalf of the Partnership, may distribute to such Holdback Partner the amount of such deficiency, together with any penalties or interest assessed that are attributable to a differential between the Estimated Income Tax Amount and the Recalculated Income Tax Amount, out of the funds in the Holdback Account on the due date for the filing of such Holdback Partner’s tax return for such year. If any Holdback Partner has received distributions of aggregate Estimated Income Tax Amounts in excess of the Recalculated Income Tax Amount (such excess, the “</w:t>
      </w:r>
      <w:r>
        <w:rPr>
          <w:rFonts w:ascii="Arial" w:cs="Arial" w:eastAsia="Arial" w:hAnsi="Arial"/>
          <w:sz w:val="20"/>
          <w:szCs w:val="20"/>
          <w:u w:val="single" w:color="auto"/>
          <w:color w:val="auto"/>
        </w:rPr>
        <w:t>Excess Income Tax Amount</w:t>
      </w:r>
      <w:r>
        <w:rPr>
          <w:rFonts w:ascii="Arial" w:cs="Arial" w:eastAsia="Arial" w:hAnsi="Arial"/>
          <w:sz w:val="20"/>
          <w:szCs w:val="20"/>
          <w:color w:val="auto"/>
        </w:rPr>
        <w:t xml:space="preserve">”), such Holdback Partner shall as promptly as practicable (and, in any event, within 90 days of such notice) contribute to the Partnership the amount specified in such notice, without interest thereon, for credit to the Holdback Account;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until such Excess Income Tax Amount is repaid in full, to the fullest extent provided at law or in equity, the Partnership shall have a security interest in all rights, title and interest in and to such Partner’s interest in the Partnership, and, notwithstanding anything to the contrary contained in this Agreement, the Partnership shall not be obligated to make any further payment or distribution to such Partner until such Excess Income Tax Amount shall have been repaid. The General Partner, on behalf of the Partnership, shall have the right to set-off as appropriate and apply against such Partner’s obligation to make such contribution pursuant to this Section 4.5(e) the obligations of the Partnership to distribute funds pursuant to this Section 4.5(e) and any amounts otherwise payable to such Partner by the Partnership or any other Affiliate thereof (including amounts unrelated to Estimated Income Tax Amounts and Excess Income Tax Amounts, such as returns of capital, profit thereon and dividends, as well as employee salary or bonus).</w:t>
      </w:r>
    </w:p>
    <w:p>
      <w:pPr>
        <w:spacing w:after="0" w:line="256"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V</w:t>
      </w:r>
    </w:p>
    <w:p>
      <w:pPr>
        <w:spacing w:after="0" w:line="339" w:lineRule="exact"/>
        <w:rPr>
          <w:sz w:val="20"/>
          <w:szCs w:val="20"/>
          <w:color w:val="auto"/>
        </w:rPr>
      </w:pPr>
    </w:p>
    <w:p>
      <w:pPr>
        <w:ind w:left="1620"/>
        <w:spacing w:after="0"/>
        <w:rPr>
          <w:sz w:val="20"/>
          <w:szCs w:val="20"/>
          <w:color w:val="auto"/>
        </w:rPr>
      </w:pPr>
      <w:r>
        <w:rPr>
          <w:rFonts w:ascii="Arial" w:cs="Arial" w:eastAsia="Arial" w:hAnsi="Arial"/>
          <w:sz w:val="21"/>
          <w:szCs w:val="21"/>
          <w:u w:val="single" w:color="auto"/>
          <w:color w:val="auto"/>
        </w:rPr>
        <w:t>Capital Contributions and Capital Commitments; Allocations; Expenses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5.1</w:t>
      </w:r>
      <w:r>
        <w:rPr>
          <w:sz w:val="20"/>
          <w:szCs w:val="20"/>
          <w:color w:val="auto"/>
        </w:rPr>
        <w:tab/>
      </w:r>
      <w:r>
        <w:rPr>
          <w:rFonts w:ascii="Arial" w:cs="Arial" w:eastAsia="Arial" w:hAnsi="Arial"/>
          <w:sz w:val="19"/>
          <w:szCs w:val="19"/>
          <w:u w:val="single" w:color="auto"/>
          <w:color w:val="auto"/>
        </w:rPr>
        <w:t>Capital Contributions.</w:t>
      </w:r>
    </w:p>
    <w:p>
      <w:pPr>
        <w:spacing w:after="0" w:line="218" w:lineRule="exact"/>
        <w:rPr>
          <w:sz w:val="20"/>
          <w:szCs w:val="20"/>
          <w:color w:val="auto"/>
        </w:rPr>
      </w:pPr>
    </w:p>
    <w:p>
      <w:pPr>
        <w:ind w:left="1760" w:hanging="455"/>
        <w:spacing w:after="0"/>
        <w:tabs>
          <w:tab w:leader="none" w:pos="1760" w:val="left"/>
        </w:tabs>
        <w:numPr>
          <w:ilvl w:val="1"/>
          <w:numId w:val="65"/>
        </w:numPr>
        <w:rPr>
          <w:rFonts w:ascii="Arial" w:cs="Arial" w:eastAsia="Arial" w:hAnsi="Arial"/>
          <w:sz w:val="21"/>
          <w:szCs w:val="21"/>
          <w:color w:val="auto"/>
        </w:rPr>
      </w:pPr>
      <w:r>
        <w:rPr>
          <w:rFonts w:ascii="Arial" w:cs="Arial" w:eastAsia="Arial" w:hAnsi="Arial"/>
          <w:sz w:val="21"/>
          <w:szCs w:val="21"/>
          <w:color w:val="auto"/>
        </w:rPr>
        <w:t>Capital Calls.</w:t>
      </w:r>
    </w:p>
    <w:p>
      <w:pPr>
        <w:spacing w:after="0" w:line="217" w:lineRule="exact"/>
        <w:rPr>
          <w:rFonts w:ascii="Arial" w:cs="Arial" w:eastAsia="Arial" w:hAnsi="Arial"/>
          <w:sz w:val="21"/>
          <w:szCs w:val="21"/>
          <w:color w:val="auto"/>
        </w:rPr>
      </w:pPr>
    </w:p>
    <w:p>
      <w:pPr>
        <w:jc w:val="both"/>
        <w:ind w:firstLine="1953"/>
        <w:spacing w:after="0" w:line="273" w:lineRule="auto"/>
        <w:tabs>
          <w:tab w:leader="none" w:pos="2464" w:val="left"/>
        </w:tabs>
        <w:numPr>
          <w:ilvl w:val="2"/>
          <w:numId w:val="65"/>
        </w:numPr>
        <w:rPr>
          <w:rFonts w:ascii="Arial" w:cs="Arial" w:eastAsia="Arial" w:hAnsi="Arial"/>
          <w:sz w:val="19"/>
          <w:szCs w:val="19"/>
          <w:color w:val="auto"/>
        </w:rPr>
      </w:pPr>
      <w:r>
        <w:rPr>
          <w:rFonts w:ascii="Arial" w:cs="Arial" w:eastAsia="Arial" w:hAnsi="Arial"/>
          <w:sz w:val="19"/>
          <w:szCs w:val="19"/>
          <w:i w:val="1"/>
          <w:iCs w:val="1"/>
          <w:color w:val="auto"/>
        </w:rPr>
        <w:t>Capital Calls for Contributions to Fund</w:t>
      </w:r>
      <w:r>
        <w:rPr>
          <w:rFonts w:ascii="Arial" w:cs="Arial" w:eastAsia="Arial" w:hAnsi="Arial"/>
          <w:sz w:val="19"/>
          <w:szCs w:val="19"/>
          <w:color w:val="auto"/>
        </w:rPr>
        <w:t>. At least five Business Days prior to each date on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Partner, on behalf of the Partnership, is required to make a capital contribution pursuant to the Fund Partnership Agreement, each Partner shall make a capital contribution to the Partnership in immediately available funds in an amount equal to the product of</w:t>
      </w:r>
    </w:p>
    <w:p>
      <w:pPr>
        <w:spacing w:after="0" w:line="1" w:lineRule="exact"/>
        <w:rPr>
          <w:rFonts w:ascii="Arial" w:cs="Arial" w:eastAsia="Arial" w:hAnsi="Arial"/>
          <w:sz w:val="19"/>
          <w:szCs w:val="19"/>
          <w:color w:val="auto"/>
        </w:rPr>
      </w:pPr>
    </w:p>
    <w:p>
      <w:pPr>
        <w:jc w:val="both"/>
        <w:ind w:firstLine="8"/>
        <w:spacing w:after="0" w:line="246" w:lineRule="auto"/>
        <w:tabs>
          <w:tab w:leader="none" w:pos="371"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the amount of such capital contribution to be made by the Partnership and (B) a fraction the numerator of which shall be the Unpaid Capital Commitment of such Partner and the denominator of which shall be the Unpaid Capital Commitments of all Partners;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2" w:name="page143"/>
    <w:bookmarkEnd w:id="142"/>
    <w:p>
      <w:pPr>
        <w:jc w:val="both"/>
        <w:spacing w:after="0" w:line="259" w:lineRule="auto"/>
        <w:rPr>
          <w:sz w:val="20"/>
          <w:szCs w:val="20"/>
          <w:color w:val="auto"/>
        </w:rPr>
      </w:pPr>
      <w:r>
        <w:rPr>
          <w:rFonts w:ascii="Arial" w:cs="Arial" w:eastAsia="Arial" w:hAnsi="Arial"/>
          <w:sz w:val="20"/>
          <w:szCs w:val="20"/>
          <w:color w:val="auto"/>
        </w:rPr>
        <w:t>default shall be deemed to have occurred hereunder until the date on which the General Partner, on behalf of the Partnership, is required to make such capital contribution. The General Partner shall give each Partner at least five Business Days prior notice of the amount to be contributed by such Partner pursuant to this Section 5.1(a)(i). Any amount so contributed shall reduce such Partner’s Unpaid Capital Commitment. The General Partner, on behalf of the Partnership, may invest, until such capital contributions are made to the Fund, any funds received by it from a Partner pursuant to this Section 5.1(a)(i) in the manner determined by the General Partner. Any interest earned thereon shall be for the account of such Partner and shall be distributed to such Partner promptly following the date on which such capital contributions are made to the extent that the General Partner determines in good faith that such interest is not required to pay expenses of the Partnership.</w:t>
      </w:r>
    </w:p>
    <w:p>
      <w:pPr>
        <w:spacing w:after="0" w:line="175" w:lineRule="exact"/>
        <w:rPr>
          <w:sz w:val="20"/>
          <w:szCs w:val="20"/>
          <w:color w:val="auto"/>
        </w:rPr>
      </w:pPr>
    </w:p>
    <w:p>
      <w:pPr>
        <w:jc w:val="both"/>
        <w:ind w:firstLine="1953"/>
        <w:spacing w:after="0" w:line="257" w:lineRule="auto"/>
        <w:tabs>
          <w:tab w:leader="none" w:pos="2428" w:val="left"/>
        </w:tabs>
        <w:numPr>
          <w:ilvl w:val="0"/>
          <w:numId w:val="67"/>
        </w:numPr>
        <w:rPr>
          <w:rFonts w:ascii="Arial" w:cs="Arial" w:eastAsia="Arial" w:hAnsi="Arial"/>
          <w:sz w:val="20"/>
          <w:szCs w:val="20"/>
          <w:color w:val="auto"/>
        </w:rPr>
      </w:pPr>
      <w:r>
        <w:rPr>
          <w:rFonts w:ascii="Arial" w:cs="Arial" w:eastAsia="Arial" w:hAnsi="Arial"/>
          <w:sz w:val="20"/>
          <w:szCs w:val="20"/>
          <w:i w:val="1"/>
          <w:iCs w:val="1"/>
          <w:color w:val="auto"/>
        </w:rPr>
        <w:t>Other Capital Calls</w:t>
      </w:r>
      <w:r>
        <w:rPr>
          <w:rFonts w:ascii="Arial" w:cs="Arial" w:eastAsia="Arial" w:hAnsi="Arial"/>
          <w:sz w:val="20"/>
          <w:szCs w:val="20"/>
          <w:color w:val="auto"/>
        </w:rPr>
        <w:t>. The General Partner may determine in its sole and absolute discretion at any time 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from time to time that the Partnership requires additional capital to meet its obligations for extraordinary expenses such as litigation expenses, or other expenses of the Partnership. In the event the General Partner issues such a capital call, each Partner shall make a capital contribution to the Partnership in immediately available funds in an amount equal to the product of (A) the amount of such required capital and (B) such Partner’s Capital Sharing Percentage;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General Partner may calculate the capital contributions to be made by the Partners with respect to such expenses on any other basis (including on the basis of Unpaid Capital Commitments and/or requiring certain, but not all, Partners to make capital contributions for extraordinary expenses) if the General Partner determines in good faith that such other basis is clearly more equitable;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no Partner shall be required to make a capital contribution pursuant to this Section 5.1(a)(ii) in an amount greater than its Unpaid Capital Commitment. The General Partner shall give each Partner at least five Business Days prior notice of the amount to be contributed by such Partner pursuant to this Section 5.1(a)(ii). Any amount so contributed by a Partner shall reduce such Partner’s Unpaid Capital Commitment. The General Partner, on behalf of the Partnership, may determine, in its sole discretion, to advance funds out of the Operating Reserve to any Partner to fund such Partner’s capital contributions.</w:t>
      </w:r>
    </w:p>
    <w:p>
      <w:pPr>
        <w:spacing w:after="0" w:line="174" w:lineRule="exact"/>
        <w:rPr>
          <w:rFonts w:ascii="Arial" w:cs="Arial" w:eastAsia="Arial" w:hAnsi="Arial"/>
          <w:sz w:val="20"/>
          <w:szCs w:val="20"/>
          <w:color w:val="auto"/>
        </w:rPr>
      </w:pPr>
    </w:p>
    <w:p>
      <w:pPr>
        <w:jc w:val="both"/>
        <w:ind w:firstLine="1953"/>
        <w:spacing w:after="0" w:line="272" w:lineRule="auto"/>
        <w:tabs>
          <w:tab w:leader="none" w:pos="2487"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Returns of Distributions</w:t>
      </w:r>
      <w:r>
        <w:rPr>
          <w:rFonts w:ascii="Arial" w:cs="Arial" w:eastAsia="Arial" w:hAnsi="Arial"/>
          <w:sz w:val="19"/>
          <w:szCs w:val="19"/>
          <w:color w:val="auto"/>
        </w:rPr>
        <w:t>. If at any time the General Partner in its sole and absolute discretion determines</w:t>
      </w:r>
      <w:r>
        <w:rPr>
          <w:rFonts w:ascii="Arial" w:cs="Arial" w:eastAsia="Arial" w:hAnsi="Arial"/>
          <w:sz w:val="19"/>
          <w:szCs w:val="19"/>
          <w:i w:val="1"/>
          <w:iCs w:val="1"/>
          <w:color w:val="auto"/>
        </w:rPr>
        <w:t xml:space="preserve"> </w:t>
      </w:r>
      <w:r>
        <w:rPr>
          <w:rFonts w:ascii="Arial" w:cs="Arial" w:eastAsia="Arial" w:hAnsi="Arial"/>
          <w:sz w:val="19"/>
          <w:szCs w:val="19"/>
          <w:color w:val="auto"/>
        </w:rPr>
        <w:t>that the Partnership cannot meet its obligations for extraordinary expenses such as litigation expenses, including as a result of a Section 9.2 Liability (as defined in the Fund Partnership Agreement) the General Partner may require each Partner and former Partner to return distributions made to such Partner hereunder for the purpose of meeting such Partner’s pro rata share (based on the Partners’ After-Tax Carried Interest Amounts) of such obligations in an amount up to, but in no event in excess of, the aggregate amount of distributions actually received by such Partner from the Partnership. The General Partner shall give each Partner and former Partner at least five Business Days prior notice of the amount to be contributed by such Partner pursuant to this Section 5.1(a)(iii). The General Partner may require returns of distributions pursuant to this Section 5.1(a)(iii) without regard to whether a call for capital contributions could be made pursuant to Section 5.1(a)(ii). Notwithstanding the foregoing, no Partner shall be required to return distributions under this Section 5.1(a)(iii) other than for obligations arising primarily from activities of the Partnership during the period of such Partner’s (or in the case of a Family Related Limited Partner, its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3" w:name="page144"/>
    <w:bookmarkEnd w:id="143"/>
    <w:p>
      <w:pPr>
        <w:spacing w:after="0" w:line="268" w:lineRule="auto"/>
        <w:rPr>
          <w:sz w:val="20"/>
          <w:szCs w:val="20"/>
          <w:color w:val="auto"/>
        </w:rPr>
      </w:pPr>
      <w:r>
        <w:rPr>
          <w:rFonts w:ascii="Arial" w:cs="Arial" w:eastAsia="Arial" w:hAnsi="Arial"/>
          <w:sz w:val="21"/>
          <w:szCs w:val="21"/>
          <w:color w:val="auto"/>
        </w:rPr>
        <w:t>associated EPI Limited Partner’s) employment with, or retention by, EPI, the Investment Advisor, the Investment Manager or any of their respective Affiliates.</w:t>
      </w:r>
    </w:p>
    <w:p>
      <w:pPr>
        <w:spacing w:after="0" w:line="163" w:lineRule="exact"/>
        <w:rPr>
          <w:sz w:val="20"/>
          <w:szCs w:val="20"/>
          <w:color w:val="auto"/>
        </w:rPr>
      </w:pPr>
    </w:p>
    <w:p>
      <w:pPr>
        <w:jc w:val="both"/>
        <w:ind w:firstLine="1305"/>
        <w:spacing w:after="0" w:line="257" w:lineRule="auto"/>
        <w:tabs>
          <w:tab w:leader="none" w:pos="193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Consequences of Capital Call Default</w:t>
      </w:r>
      <w:r>
        <w:rPr>
          <w:rFonts w:ascii="Arial" w:cs="Arial" w:eastAsia="Arial" w:hAnsi="Arial"/>
          <w:sz w:val="20"/>
          <w:szCs w:val="20"/>
          <w:color w:val="auto"/>
        </w:rPr>
        <w:t>. In the event that a Partner defaults with respect to such Partner’s</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to make capital contributions or return distributions pursuant to Section 5.1(a) (such Partner being sometimes referred to herein as a “</w:t>
      </w:r>
      <w:r>
        <w:rPr>
          <w:rFonts w:ascii="Arial" w:cs="Arial" w:eastAsia="Arial" w:hAnsi="Arial"/>
          <w:sz w:val="20"/>
          <w:szCs w:val="20"/>
          <w:u w:val="single" w:color="auto"/>
          <w:color w:val="auto"/>
        </w:rPr>
        <w:t>Defaulting Partner</w:t>
      </w:r>
      <w:r>
        <w:rPr>
          <w:rFonts w:ascii="Arial" w:cs="Arial" w:eastAsia="Arial" w:hAnsi="Arial"/>
          <w:sz w:val="20"/>
          <w:szCs w:val="20"/>
          <w:color w:val="auto"/>
        </w:rPr>
        <w:t>”), the General Partner shall, to the extent necessary to ensure that the Partnership does not default on its capital contribution obligation to the Fund, arrange for the amount of such capital contribution to be advanced on behalf of such Defaulting Partner on such terms as the General Partner shall determine in its sole and absolute discretion to be fair and equitable, which may include provision for security as provided below and interest charged on such advanced amounts at a per annum rate equal to the Default Interest Rate on the principal amount of the funds advanced. Each Partner hereby grants to the Partnership a right of set-off and a security interest, effective upon such Partner becoming a Defaulting Partner, in all accounts receivable and other rights to receive payment (other than in respect of employee salary or bonus) from the Partnership or any of its Affiliates and agrees that, upon the effectiveness of such security interest, the General Partner, on behalf of the Partnership, may sell, collect or otherwise realize upon such collateral.</w:t>
      </w:r>
    </w:p>
    <w:p>
      <w:pPr>
        <w:spacing w:after="0" w:line="181" w:lineRule="exact"/>
        <w:rPr>
          <w:rFonts w:ascii="Arial" w:cs="Arial" w:eastAsia="Arial" w:hAnsi="Arial"/>
          <w:sz w:val="20"/>
          <w:szCs w:val="20"/>
          <w:color w:val="auto"/>
        </w:rPr>
      </w:pPr>
    </w:p>
    <w:p>
      <w:pPr>
        <w:jc w:val="both"/>
        <w:ind w:firstLine="1305"/>
        <w:spacing w:after="0" w:line="250" w:lineRule="auto"/>
        <w:tabs>
          <w:tab w:leader="none" w:pos="1861"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adjustment of the Capital Commitment of a Partner shall be reflected on the books and records of the Partnership. If at any time the Profit Sharing Percentage and Unpaid Capital Commitment of a Partner are reduced to zero and such Partner has not made a capital contribution to the Partnership, the General Partner may remove such Partner as a Partner of the Partnership.</w:t>
      </w:r>
    </w:p>
    <w:p>
      <w:pPr>
        <w:spacing w:after="0" w:line="182" w:lineRule="exact"/>
        <w:rPr>
          <w:rFonts w:ascii="Arial" w:cs="Arial" w:eastAsia="Arial" w:hAnsi="Arial"/>
          <w:sz w:val="21"/>
          <w:szCs w:val="21"/>
          <w:color w:val="auto"/>
        </w:rPr>
      </w:pPr>
    </w:p>
    <w:p>
      <w:pPr>
        <w:ind w:left="1940" w:hanging="635"/>
        <w:spacing w:after="0"/>
        <w:tabs>
          <w:tab w:leader="none" w:pos="19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Except as provided in this Section 5.1, no Partner shall be required to make capital contributions to the</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Partnership.</w:t>
      </w:r>
    </w:p>
    <w:p>
      <w:pPr>
        <w:spacing w:after="0" w:line="200"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5.2</w:t>
      </w:r>
      <w:r>
        <w:rPr>
          <w:sz w:val="20"/>
          <w:szCs w:val="20"/>
          <w:color w:val="auto"/>
        </w:rPr>
        <w:tab/>
      </w:r>
      <w:r>
        <w:rPr>
          <w:rFonts w:ascii="Arial" w:cs="Arial" w:eastAsia="Arial" w:hAnsi="Arial"/>
          <w:sz w:val="19"/>
          <w:szCs w:val="19"/>
          <w:u w:val="single" w:color="auto"/>
          <w:color w:val="auto"/>
        </w:rPr>
        <w:t>Capital Accounts.</w:t>
      </w:r>
    </w:p>
    <w:p>
      <w:pPr>
        <w:spacing w:after="0" w:line="21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A separate capital account (a “</w:t>
      </w:r>
      <w:r>
        <w:rPr>
          <w:rFonts w:ascii="Arial" w:cs="Arial" w:eastAsia="Arial" w:hAnsi="Arial"/>
          <w:sz w:val="20"/>
          <w:szCs w:val="20"/>
          <w:u w:val="single" w:color="auto"/>
          <w:color w:val="auto"/>
        </w:rPr>
        <w:t>Capital Account</w:t>
      </w:r>
      <w:r>
        <w:rPr>
          <w:rFonts w:ascii="Arial" w:cs="Arial" w:eastAsia="Arial" w:hAnsi="Arial"/>
          <w:sz w:val="20"/>
          <w:szCs w:val="20"/>
          <w:color w:val="auto"/>
        </w:rPr>
        <w:t>”) shall be established and maintained for each Partner. The Capital Account of each Partner shall be credited with such Partner’s capital contributions, if any, to the Partnership, all Profits allocated to such Partner pursuant to Section 5.3 and any items of income or gain which are specially allocated pursuant to Section 5.4; and shall be debited with all Losses allocated to such Partner pursuant to Section 5.3, any items of loss or deduction of the Partnership specially allocated to such Partner pursuant to Section 5.4, and all cash and the Carrying Value of any property (net of liabilities assumed by such Partner and the liabilities to which such property is subject) distributed by the Partnership to such Partner. To the extent not provided for in the preceding sentence, the Capital Accounts of the Partners shall be adjusted and maintained in accordance with the rules of Treasury Regulations Section 1.704-1(b)(2)(iv), as the same may be amended or revised.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4" w:name="page145"/>
    <w:bookmarkEnd w:id="144"/>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5.3</w:t>
      </w:r>
      <w:r>
        <w:rPr>
          <w:sz w:val="20"/>
          <w:szCs w:val="20"/>
          <w:color w:val="auto"/>
        </w:rPr>
        <w:tab/>
      </w:r>
      <w:r>
        <w:rPr>
          <w:rFonts w:ascii="Arial" w:cs="Arial" w:eastAsia="Arial" w:hAnsi="Arial"/>
          <w:sz w:val="19"/>
          <w:szCs w:val="19"/>
          <w:u w:val="single" w:color="auto"/>
          <w:color w:val="auto"/>
        </w:rPr>
        <w:t>Allocations of Profits and Losses.</w:t>
      </w:r>
    </w:p>
    <w:p>
      <w:pPr>
        <w:spacing w:after="0" w:line="21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0"/>
          <w:szCs w:val="20"/>
          <w:color w:val="auto"/>
        </w:rPr>
        <w:t>Except as otherwise provided in this Agreement, Profits and Losses and to the extent necessary, individual items of income, gain, loss or deduction of the Partnership shall be allocated among the Partners in a manner such that the Capital Account of each Partner, after giving effect to the special allocations set forth in Sections 5.4(b), (c), (d), (e), (f), (g), (h) and (i) and immediately after making such allocation, is, as nearly as possible, equal (proportionately) to (i) the distributions that would be made to such Partner pursuant to Section 7.3 if the Partnership were dissolved, its affairs wound up and its assets sold for cash equal to their respective Carrying Values, all Partnership liabilities were satisfied (limited with respect to each nonrecourse liability to the Carrying Value of the assets securing such liability), and the net assets of the Partnership were distributed in accordance with Section 7.3 to the Partners immediately after making such allocation, minus (ii) such Partner’s share of Partnership Minimum Gain and Partner Nonrecourse Debt Minimum Gain, computed immediately prior to the hypothetical sale of assets, minus (iii) such Partner’s obligations in respect of any Give-Back Obligation.</w:t>
      </w:r>
    </w:p>
    <w:p>
      <w:pPr>
        <w:spacing w:after="0" w:line="17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5.4</w:t>
      </w:r>
      <w:r>
        <w:rPr>
          <w:sz w:val="20"/>
          <w:szCs w:val="20"/>
          <w:color w:val="auto"/>
        </w:rPr>
        <w:tab/>
      </w:r>
      <w:r>
        <w:rPr>
          <w:rFonts w:ascii="Arial" w:cs="Arial" w:eastAsia="Arial" w:hAnsi="Arial"/>
          <w:sz w:val="19"/>
          <w:szCs w:val="19"/>
          <w:u w:val="single" w:color="auto"/>
          <w:color w:val="auto"/>
        </w:rPr>
        <w:t>Special Allocations.</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Notwithstanding any other provision in this Article V:</w:t>
      </w:r>
    </w:p>
    <w:p>
      <w:pPr>
        <w:spacing w:after="0" w:line="218" w:lineRule="exact"/>
        <w:rPr>
          <w:sz w:val="20"/>
          <w:szCs w:val="20"/>
          <w:color w:val="auto"/>
        </w:rPr>
      </w:pPr>
    </w:p>
    <w:p>
      <w:pPr>
        <w:jc w:val="both"/>
        <w:ind w:firstLine="1305"/>
        <w:spacing w:after="0" w:line="274" w:lineRule="auto"/>
        <w:tabs>
          <w:tab w:leader="none" w:pos="1743"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Minimum Gain Chargeback</w:t>
      </w:r>
      <w:r>
        <w:rPr>
          <w:rFonts w:ascii="Arial" w:cs="Arial" w:eastAsia="Arial" w:hAnsi="Arial"/>
          <w:sz w:val="19"/>
          <w:szCs w:val="19"/>
          <w:color w:val="auto"/>
        </w:rPr>
        <w:t>. If there is a net decrease in Partnership Minimum Gain or Partner Nonrecourse Debt</w:t>
      </w:r>
      <w:r>
        <w:rPr>
          <w:rFonts w:ascii="Arial" w:cs="Arial" w:eastAsia="Arial" w:hAnsi="Arial"/>
          <w:sz w:val="19"/>
          <w:szCs w:val="19"/>
          <w:i w:val="1"/>
          <w:iCs w:val="1"/>
          <w:color w:val="auto"/>
        </w:rPr>
        <w:t xml:space="preserve"> </w:t>
      </w:r>
      <w:r>
        <w:rPr>
          <w:rFonts w:ascii="Arial" w:cs="Arial" w:eastAsia="Arial" w:hAnsi="Arial"/>
          <w:sz w:val="19"/>
          <w:szCs w:val="19"/>
          <w:color w:val="auto"/>
        </w:rPr>
        <w:t>Minimum Gain (determined in accordance with the principles of Treasury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Section 5.4(a)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65" w:lineRule="exact"/>
        <w:rPr>
          <w:rFonts w:ascii="Arial" w:cs="Arial" w:eastAsia="Arial" w:hAnsi="Arial"/>
          <w:sz w:val="19"/>
          <w:szCs w:val="19"/>
          <w:color w:val="auto"/>
        </w:rPr>
      </w:pPr>
    </w:p>
    <w:p>
      <w:pPr>
        <w:jc w:val="both"/>
        <w:ind w:firstLine="1305"/>
        <w:spacing w:after="0" w:line="245" w:lineRule="auto"/>
        <w:tabs>
          <w:tab w:leader="none" w:pos="1903"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Qualified Income Offset</w:t>
      </w:r>
      <w:r>
        <w:rPr>
          <w:rFonts w:ascii="Arial" w:cs="Arial" w:eastAsia="Arial" w:hAnsi="Arial"/>
          <w:sz w:val="21"/>
          <w:szCs w:val="21"/>
          <w:color w:val="auto"/>
        </w:rPr>
        <w:t>. If any Partner unexpectedly receives any adjustments, allocations, or distributions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described in Treasury Regulations 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 allocation pursuant to this Section 5.4(b) shall be made only to the extent that a Partner would have a deficit Adjusted Capital Account Balance in excess of such sum after all other allocations provided for in this Article V have been tentatively made as if this Section 5.4(b) were not in this Agreement. This Section 5.4(b) is intended to comply with the “qualified income offset” requirement of the Code and shall be interpreted consistently therewith.</w:t>
      </w:r>
    </w:p>
    <w:p>
      <w:pPr>
        <w:spacing w:after="0" w:line="188" w:lineRule="exact"/>
        <w:rPr>
          <w:rFonts w:ascii="Arial" w:cs="Arial" w:eastAsia="Arial" w:hAnsi="Arial"/>
          <w:sz w:val="21"/>
          <w:szCs w:val="21"/>
          <w:color w:val="auto"/>
        </w:rPr>
      </w:pPr>
    </w:p>
    <w:p>
      <w:pPr>
        <w:jc w:val="both"/>
        <w:ind w:firstLine="1305"/>
        <w:spacing w:after="0" w:line="254" w:lineRule="auto"/>
        <w:tabs>
          <w:tab w:leader="none" w:pos="1797"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Gross Income Allocation</w:t>
      </w:r>
      <w:r>
        <w:rPr>
          <w:rFonts w:ascii="Arial" w:cs="Arial" w:eastAsia="Arial" w:hAnsi="Arial"/>
          <w:sz w:val="21"/>
          <w:szCs w:val="21"/>
          <w:color w:val="auto"/>
        </w:rPr>
        <w:t>. If any Partner has a deficit Capital Account at the end of any Fiscal Year which is in</w:t>
      </w:r>
      <w:r>
        <w:rPr>
          <w:rFonts w:ascii="Arial" w:cs="Arial" w:eastAsia="Arial" w:hAnsi="Arial"/>
          <w:sz w:val="21"/>
          <w:szCs w:val="21"/>
          <w:i w:val="1"/>
          <w:iCs w:val="1"/>
          <w:color w:val="auto"/>
        </w:rPr>
        <w:t xml:space="preserve"> </w:t>
      </w:r>
      <w:r>
        <w:rPr>
          <w:rFonts w:ascii="Arial" w:cs="Arial" w:eastAsia="Arial" w:hAnsi="Arial"/>
          <w:sz w:val="21"/>
          <w:szCs w:val="21"/>
          <w:color w:val="auto"/>
        </w:rPr>
        <w:t>excess of the sum of (i) the amount such Partner is obligated to restore, if any, pursuant to any provision of this Agreement, and (ii) the amount such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5" w:name="page146"/>
    <w:bookmarkEnd w:id="145"/>
    <w:p>
      <w:pPr>
        <w:jc w:val="both"/>
        <w:spacing w:after="0" w:line="263" w:lineRule="auto"/>
        <w:rPr>
          <w:sz w:val="20"/>
          <w:szCs w:val="20"/>
          <w:color w:val="auto"/>
        </w:rPr>
      </w:pPr>
      <w:r>
        <w:rPr>
          <w:rFonts w:ascii="Arial" w:cs="Arial" w:eastAsia="Arial" w:hAnsi="Arial"/>
          <w:sz w:val="20"/>
          <w:szCs w:val="20"/>
          <w:color w:val="auto"/>
        </w:rPr>
        <w:t xml:space="preserve">Partner is deemed to be obligated to restore pursuant to the penultimate sentences of Treasury Regulations Section 1.704-2(g)(1) and 1.704-2(i)(5), each such Partner shall be specially allocated items of Partnership income and gain in the amount of such excess as quickly as possible;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 allocation pursuant to this Section 5.4(c) shall be made only if and to the extent that a Partner would have a deficit Capital Account in excess of such sum after all other allocations provided for in this Article V have been tentatively made as if Section 5.4(b) and this Section 5.4(c) were not in this Agreement.</w:t>
      </w:r>
    </w:p>
    <w:p>
      <w:pPr>
        <w:spacing w:after="0" w:line="171" w:lineRule="exact"/>
        <w:rPr>
          <w:sz w:val="20"/>
          <w:szCs w:val="20"/>
          <w:color w:val="auto"/>
        </w:rPr>
      </w:pPr>
    </w:p>
    <w:p>
      <w:pPr>
        <w:jc w:val="both"/>
        <w:ind w:firstLine="1305"/>
        <w:spacing w:after="0" w:line="294" w:lineRule="auto"/>
        <w:tabs>
          <w:tab w:leader="none" w:pos="1781"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Payee Allocation</w:t>
      </w:r>
      <w:r>
        <w:rPr>
          <w:rFonts w:ascii="Arial" w:cs="Arial" w:eastAsia="Arial" w:hAnsi="Arial"/>
          <w:sz w:val="19"/>
          <w:szCs w:val="19"/>
          <w:color w:val="auto"/>
        </w:rPr>
        <w:t>. In the event any payment to any person that is treated by the Partnership as the payment of an</w:t>
      </w:r>
      <w:r>
        <w:rPr>
          <w:rFonts w:ascii="Arial" w:cs="Arial" w:eastAsia="Arial" w:hAnsi="Arial"/>
          <w:sz w:val="19"/>
          <w:szCs w:val="19"/>
          <w:i w:val="1"/>
          <w:iCs w:val="1"/>
          <w:color w:val="auto"/>
        </w:rPr>
        <w:t xml:space="preserve"> </w:t>
      </w:r>
      <w:r>
        <w:rPr>
          <w:rFonts w:ascii="Arial" w:cs="Arial" w:eastAsia="Arial" w:hAnsi="Arial"/>
          <w:sz w:val="19"/>
          <w:szCs w:val="19"/>
          <w:color w:val="auto"/>
        </w:rPr>
        <w:t>expense is recharacterized by a taxing authority as a Partnership distribution to the payee as a Partner, such payee shall be specially allocated an amount of Partnership gross income and gain as quickly as possible equal to the amount of the distribution.</w:t>
      </w:r>
    </w:p>
    <w:p>
      <w:pPr>
        <w:spacing w:after="0" w:line="142" w:lineRule="exact"/>
        <w:rPr>
          <w:rFonts w:ascii="Arial" w:cs="Arial" w:eastAsia="Arial" w:hAnsi="Arial"/>
          <w:sz w:val="19"/>
          <w:szCs w:val="19"/>
          <w:color w:val="auto"/>
        </w:rPr>
      </w:pPr>
    </w:p>
    <w:p>
      <w:pPr>
        <w:ind w:firstLine="1305"/>
        <w:spacing w:after="0" w:line="268" w:lineRule="auto"/>
        <w:tabs>
          <w:tab w:leader="none" w:pos="1851" w:val="left"/>
        </w:tabs>
        <w:numPr>
          <w:ilvl w:val="0"/>
          <w:numId w:val="70"/>
        </w:numPr>
        <w:rPr>
          <w:rFonts w:ascii="Arial" w:cs="Arial" w:eastAsia="Arial" w:hAnsi="Arial"/>
          <w:sz w:val="21"/>
          <w:szCs w:val="21"/>
          <w:color w:val="auto"/>
        </w:rPr>
      </w:pPr>
      <w:r>
        <w:rPr>
          <w:rFonts w:ascii="Arial" w:cs="Arial" w:eastAsia="Arial" w:hAnsi="Arial"/>
          <w:sz w:val="21"/>
          <w:szCs w:val="21"/>
          <w:i w:val="1"/>
          <w:iCs w:val="1"/>
          <w:color w:val="auto"/>
        </w:rPr>
        <w:t>Nonrecourse Deductions</w:t>
      </w:r>
      <w:r>
        <w:rPr>
          <w:rFonts w:ascii="Arial" w:cs="Arial" w:eastAsia="Arial" w:hAnsi="Arial"/>
          <w:sz w:val="21"/>
          <w:szCs w:val="21"/>
          <w:color w:val="auto"/>
        </w:rPr>
        <w:t>. Nonrecourse Deductions shall be allocated to the Partners in accordance with their</w:t>
      </w:r>
      <w:r>
        <w:rPr>
          <w:rFonts w:ascii="Arial" w:cs="Arial" w:eastAsia="Arial" w:hAnsi="Arial"/>
          <w:sz w:val="21"/>
          <w:szCs w:val="21"/>
          <w:i w:val="1"/>
          <w:iCs w:val="1"/>
          <w:color w:val="auto"/>
        </w:rPr>
        <w:t xml:space="preserve"> </w:t>
      </w:r>
      <w:r>
        <w:rPr>
          <w:rFonts w:ascii="Arial" w:cs="Arial" w:eastAsia="Arial" w:hAnsi="Arial"/>
          <w:sz w:val="21"/>
          <w:szCs w:val="21"/>
          <w:color w:val="auto"/>
        </w:rPr>
        <w:t>respective Capital Account balances.</w:t>
      </w:r>
    </w:p>
    <w:p>
      <w:pPr>
        <w:spacing w:after="0" w:line="162" w:lineRule="exact"/>
        <w:rPr>
          <w:rFonts w:ascii="Arial" w:cs="Arial" w:eastAsia="Arial" w:hAnsi="Arial"/>
          <w:sz w:val="21"/>
          <w:szCs w:val="21"/>
          <w:color w:val="auto"/>
        </w:rPr>
      </w:pPr>
    </w:p>
    <w:p>
      <w:pPr>
        <w:jc w:val="both"/>
        <w:ind w:firstLine="1305"/>
        <w:spacing w:after="0" w:line="254" w:lineRule="auto"/>
        <w:tabs>
          <w:tab w:leader="none" w:pos="1719" w:val="left"/>
        </w:tabs>
        <w:numPr>
          <w:ilvl w:val="0"/>
          <w:numId w:val="70"/>
        </w:numPr>
        <w:rPr>
          <w:rFonts w:ascii="Arial" w:cs="Arial" w:eastAsia="Arial" w:hAnsi="Arial"/>
          <w:sz w:val="21"/>
          <w:szCs w:val="21"/>
          <w:color w:val="auto"/>
        </w:rPr>
      </w:pPr>
      <w:r>
        <w:rPr>
          <w:rFonts w:ascii="Arial" w:cs="Arial" w:eastAsia="Arial" w:hAnsi="Arial"/>
          <w:sz w:val="21"/>
          <w:szCs w:val="21"/>
          <w:i w:val="1"/>
          <w:iCs w:val="1"/>
          <w:color w:val="auto"/>
        </w:rPr>
        <w:t>Partner Nonrecourse Deductions</w:t>
      </w:r>
      <w:r>
        <w:rPr>
          <w:rFonts w:ascii="Arial" w:cs="Arial" w:eastAsia="Arial" w:hAnsi="Arial"/>
          <w:sz w:val="21"/>
          <w:szCs w:val="21"/>
          <w:color w:val="auto"/>
        </w:rPr>
        <w:t>. Partner Nonrecourse Deductions for any taxable period shall be allocated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Partner who bears the economic risk of loss with respect to the liability to which such Partner Nonrecourse Deductions are attributable in accordance with Treasury Regulations Section 1.704-2(j).</w:t>
      </w:r>
    </w:p>
    <w:p>
      <w:pPr>
        <w:spacing w:after="0" w:line="178" w:lineRule="exact"/>
        <w:rPr>
          <w:rFonts w:ascii="Arial" w:cs="Arial" w:eastAsia="Arial" w:hAnsi="Arial"/>
          <w:sz w:val="21"/>
          <w:szCs w:val="21"/>
          <w:color w:val="auto"/>
        </w:rPr>
      </w:pPr>
    </w:p>
    <w:p>
      <w:pPr>
        <w:jc w:val="both"/>
        <w:ind w:firstLine="1305"/>
        <w:spacing w:after="0" w:line="248" w:lineRule="auto"/>
        <w:tabs>
          <w:tab w:leader="none" w:pos="1795" w:val="left"/>
        </w:tabs>
        <w:numPr>
          <w:ilvl w:val="0"/>
          <w:numId w:val="70"/>
        </w:numPr>
        <w:rPr>
          <w:rFonts w:ascii="Arial" w:cs="Arial" w:eastAsia="Arial" w:hAnsi="Arial"/>
          <w:sz w:val="21"/>
          <w:szCs w:val="21"/>
          <w:color w:val="auto"/>
        </w:rPr>
      </w:pPr>
      <w:r>
        <w:rPr>
          <w:rFonts w:ascii="Arial" w:cs="Arial" w:eastAsia="Arial" w:hAnsi="Arial"/>
          <w:sz w:val="21"/>
          <w:szCs w:val="21"/>
          <w:i w:val="1"/>
          <w:iCs w:val="1"/>
          <w:color w:val="auto"/>
        </w:rPr>
        <w:t>Allocations Relating to Taxable Issuance of Partnership Interests</w:t>
      </w:r>
      <w:r>
        <w:rPr>
          <w:rFonts w:ascii="Arial" w:cs="Arial" w:eastAsia="Arial" w:hAnsi="Arial"/>
          <w:sz w:val="21"/>
          <w:szCs w:val="21"/>
          <w:color w:val="auto"/>
        </w:rPr>
        <w:t>. Any income, gain, loss, or deduction realized</w:t>
      </w:r>
      <w:r>
        <w:rPr>
          <w:rFonts w:ascii="Arial" w:cs="Arial" w:eastAsia="Arial" w:hAnsi="Arial"/>
          <w:sz w:val="21"/>
          <w:szCs w:val="21"/>
          <w:i w:val="1"/>
          <w:iCs w:val="1"/>
          <w:color w:val="auto"/>
        </w:rPr>
        <w:t xml:space="preserve"> </w:t>
      </w:r>
      <w:r>
        <w:rPr>
          <w:rFonts w:ascii="Arial" w:cs="Arial" w:eastAsia="Arial" w:hAnsi="Arial"/>
          <w:sz w:val="21"/>
          <w:szCs w:val="21"/>
          <w:color w:val="auto"/>
        </w:rPr>
        <w:t>as a direct or indirect result of the issuance (or deemed issuance) of an Interest to a Partner (the “</w:t>
      </w:r>
      <w:r>
        <w:rPr>
          <w:rFonts w:ascii="Arial" w:cs="Arial" w:eastAsia="Arial" w:hAnsi="Arial"/>
          <w:sz w:val="21"/>
          <w:szCs w:val="21"/>
          <w:u w:val="single" w:color="auto"/>
          <w:color w:val="auto"/>
        </w:rPr>
        <w:t>Issuance Items</w:t>
      </w:r>
      <w:r>
        <w:rPr>
          <w:rFonts w:ascii="Arial" w:cs="Arial" w:eastAsia="Arial" w:hAnsi="Arial"/>
          <w:sz w:val="21"/>
          <w:szCs w:val="21"/>
          <w:color w:val="auto"/>
        </w:rPr>
        <w:t>”)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w:t>
      </w:r>
    </w:p>
    <w:p>
      <w:pPr>
        <w:spacing w:after="0" w:line="183" w:lineRule="exact"/>
        <w:rPr>
          <w:rFonts w:ascii="Arial" w:cs="Arial" w:eastAsia="Arial" w:hAnsi="Arial"/>
          <w:sz w:val="21"/>
          <w:szCs w:val="21"/>
          <w:color w:val="auto"/>
        </w:rPr>
      </w:pPr>
    </w:p>
    <w:p>
      <w:pPr>
        <w:jc w:val="both"/>
        <w:ind w:firstLine="1305"/>
        <w:spacing w:after="0" w:line="280" w:lineRule="auto"/>
        <w:tabs>
          <w:tab w:leader="none" w:pos="1808"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Creditable Foreign Taxes</w:t>
      </w:r>
      <w:r>
        <w:rPr>
          <w:rFonts w:ascii="Arial" w:cs="Arial" w:eastAsia="Arial" w:hAnsi="Arial"/>
          <w:sz w:val="19"/>
          <w:szCs w:val="19"/>
          <w:color w:val="auto"/>
        </w:rPr>
        <w:t>. Creditable Foreign Taxes for any taxable period attributable to the Partnership, or an</w:t>
      </w:r>
      <w:r>
        <w:rPr>
          <w:rFonts w:ascii="Arial" w:cs="Arial" w:eastAsia="Arial" w:hAnsi="Arial"/>
          <w:sz w:val="19"/>
          <w:szCs w:val="19"/>
          <w:i w:val="1"/>
          <w:iCs w:val="1"/>
          <w:color w:val="auto"/>
        </w:rPr>
        <w:t xml:space="preserve"> </w:t>
      </w:r>
      <w:r>
        <w:rPr>
          <w:rFonts w:ascii="Arial" w:cs="Arial" w:eastAsia="Arial" w:hAnsi="Arial"/>
          <w:sz w:val="19"/>
          <w:szCs w:val="19"/>
          <w:color w:val="auto"/>
        </w:rPr>
        <w:t>entity owned directly or indirectly by the Partnership, shall be allocated to the Partners in proportion to the Partners’ distributive shares of income (including income allocated pursuant to Section 704(c) of the Code) to which the Creditable Foreign Tax relates (under principles of Treasury Regulations Section 1.904-6). The provisions of this Section 5.4(h) are intended to comply with the provisions of temporary Treasury Regulations Section 1.704-1T(b)(4)(xi), and shall be interpreted consistently therewith.</w:t>
      </w:r>
    </w:p>
    <w:p>
      <w:pPr>
        <w:spacing w:after="0" w:line="157"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5.5</w:t>
      </w:r>
      <w:r>
        <w:rPr>
          <w:sz w:val="20"/>
          <w:szCs w:val="20"/>
          <w:color w:val="auto"/>
        </w:rPr>
        <w:tab/>
      </w:r>
      <w:r>
        <w:rPr>
          <w:rFonts w:ascii="Arial" w:cs="Arial" w:eastAsia="Arial" w:hAnsi="Arial"/>
          <w:sz w:val="19"/>
          <w:szCs w:val="19"/>
          <w:u w:val="single" w:color="auto"/>
          <w:color w:val="auto"/>
        </w:rPr>
        <w:t>Tax Allocations.</w:t>
      </w:r>
    </w:p>
    <w:p>
      <w:pPr>
        <w:spacing w:after="0" w:line="218"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9"/>
          <w:szCs w:val="19"/>
          <w:color w:val="auto"/>
        </w:rPr>
        <w:t xml:space="preserve">For income tax purposes, each item of income, gain, loss and deduction of the Partnership shall be allocated among the Partners in the same manner as the corresponding items of Profits and Losses and specially allocated items are allocated for Capital Account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asset the Carrying Value of which differs from its adjusted tax basis for United States federal income tax purposes, income, gain, loss and deduction with respect to such asset shall be allocated solely for income tax purposes in accordance with the principles of Sections 704(b) and (c) of the Code (in any manner determined by the General Partner) so as to take account of the difference between Carrying Value and adjusted basis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6" w:name="page147"/>
    <w:bookmarkEnd w:id="146"/>
    <w:p>
      <w:pPr>
        <w:jc w:val="both"/>
        <w:spacing w:after="0" w:line="267" w:lineRule="auto"/>
        <w:rPr>
          <w:sz w:val="20"/>
          <w:szCs w:val="20"/>
          <w:color w:val="auto"/>
        </w:rPr>
      </w:pPr>
      <w:r>
        <w:rPr>
          <w:rFonts w:ascii="Arial" w:cs="Arial" w:eastAsia="Arial" w:hAnsi="Arial"/>
          <w:sz w:val="20"/>
          <w:szCs w:val="20"/>
          <w:color w:val="auto"/>
        </w:rPr>
        <w:t xml:space="preserve">such asset;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Partnership shall use the traditional method (as such term is defined in Treasury Regulations Section 1.704-3(b)(1)) for all Section 704(c) allocations and “reverse Section 704(c)” allocations. Notwithstanding the foregoing, the Tax Matters Partner shall make such allocations for tax purposes as may be needed to ensure that allocations are in accordance with the interests of the Partners, within the meaning of the Code and Treasury Regulations.</w:t>
      </w:r>
    </w:p>
    <w:p>
      <w:pPr>
        <w:spacing w:after="0" w:line="16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5.6</w:t>
      </w:r>
      <w:r>
        <w:rPr>
          <w:sz w:val="20"/>
          <w:szCs w:val="20"/>
          <w:color w:val="auto"/>
        </w:rPr>
        <w:tab/>
      </w:r>
      <w:r>
        <w:rPr>
          <w:rFonts w:ascii="Arial" w:cs="Arial" w:eastAsia="Arial" w:hAnsi="Arial"/>
          <w:sz w:val="19"/>
          <w:szCs w:val="19"/>
          <w:u w:val="single" w:color="auto"/>
          <w:color w:val="auto"/>
        </w:rPr>
        <w:t>Tax Advances.</w:t>
      </w:r>
    </w:p>
    <w:p>
      <w:pPr>
        <w:spacing w:after="0" w:line="21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0"/>
          <w:szCs w:val="20"/>
          <w:color w:val="auto"/>
        </w:rPr>
        <w:t>To the extent the Partnership is required by law to withhold or to make tax payments on behalf of or with respect to any Partner or the Partnership is subjected to tax itself by reason of the status of any Partner (“</w:t>
      </w:r>
      <w:r>
        <w:rPr>
          <w:rFonts w:ascii="Arial" w:cs="Arial" w:eastAsia="Arial" w:hAnsi="Arial"/>
          <w:sz w:val="20"/>
          <w:szCs w:val="20"/>
          <w:u w:val="single" w:color="auto"/>
          <w:color w:val="auto"/>
        </w:rPr>
        <w:t>Tax Advances</w:t>
      </w:r>
      <w:r>
        <w:rPr>
          <w:rFonts w:ascii="Arial" w:cs="Arial" w:eastAsia="Arial" w:hAnsi="Arial"/>
          <w:sz w:val="20"/>
          <w:szCs w:val="20"/>
          <w:color w:val="auto"/>
        </w:rPr>
        <w:t>”), the General Partner may withhold such amounts and make such tax payments as so required. All Tax Advances made on behalf of a Partner shall, at the option of the General Partner, (i) be promptly paid to the Partnership by the Partner on whose behalf such Tax Advances were made or (ii)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Whenever the General Partner selects option (ii) pursuant to the preceding sentence for repayment of a Tax Advance by a Partner, for all other purposes of this Agreement such Partner shall be treated as having received all distributions (whether before or upon liquidation) unreduced by the amount of such Tax Advance. The Partnership shall also have the right to set-off as appropriate and apply against such Partner’s obligation to repay Tax Advances any amounts otherwise payable to such Partner by any Affiliate of the Partnership (including amounts such as returns of capital, profit thereon and dividends, but not employee salary or bonus). Each Partner hereby agrees to indemnify and hold harmless the Partnership and the other Partners from and against any liability (including, without limitation, any liability for taxes, penalties, additions to tax or interest) with respect to income attributable to or distributions or other payments to such Partner.</w:t>
      </w:r>
    </w:p>
    <w:p>
      <w:pPr>
        <w:spacing w:after="0" w:line="18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5.7</w:t>
      </w:r>
      <w:r>
        <w:rPr>
          <w:sz w:val="20"/>
          <w:szCs w:val="20"/>
          <w:color w:val="auto"/>
        </w:rPr>
        <w:tab/>
      </w:r>
      <w:r>
        <w:rPr>
          <w:rFonts w:ascii="Arial" w:cs="Arial" w:eastAsia="Arial" w:hAnsi="Arial"/>
          <w:sz w:val="18"/>
          <w:szCs w:val="18"/>
          <w:u w:val="single" w:color="auto"/>
          <w:color w:val="auto"/>
        </w:rPr>
        <w:t>Expenses.</w:t>
      </w:r>
    </w:p>
    <w:p>
      <w:pPr>
        <w:spacing w:after="0" w:line="218" w:lineRule="exact"/>
        <w:rPr>
          <w:sz w:val="20"/>
          <w:szCs w:val="20"/>
          <w:color w:val="auto"/>
        </w:rPr>
      </w:pPr>
    </w:p>
    <w:p>
      <w:pPr>
        <w:jc w:val="both"/>
        <w:ind w:right="20" w:firstLine="1297"/>
        <w:spacing w:after="0" w:line="285" w:lineRule="auto"/>
        <w:rPr>
          <w:sz w:val="20"/>
          <w:szCs w:val="20"/>
          <w:color w:val="auto"/>
        </w:rPr>
      </w:pPr>
      <w:r>
        <w:rPr>
          <w:rFonts w:ascii="Arial" w:cs="Arial" w:eastAsia="Arial" w:hAnsi="Arial"/>
          <w:sz w:val="19"/>
          <w:szCs w:val="19"/>
          <w:color w:val="auto"/>
        </w:rPr>
        <w:t>Except as otherwise agreed to by the Partners, the Partnership shall bear and be responsible for all expenses incurred in connection with the operation of the Partnership. The General Partner may cause the Partnership to borrow from any Affiliate on such terms as the General Partner may reasonably determine for the payment of expenses, and may cause the Partnership to pay expenses and repay borrowings from any source of funds of the Partnership as the General Partner may determine.</w:t>
      </w:r>
    </w:p>
    <w:p>
      <w:pPr>
        <w:spacing w:after="0" w:line="218"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VI</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Books and Reports; Tax Matters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6.1</w:t>
      </w:r>
      <w:r>
        <w:rPr>
          <w:sz w:val="20"/>
          <w:szCs w:val="20"/>
          <w:color w:val="auto"/>
        </w:rPr>
        <w:tab/>
      </w:r>
      <w:r>
        <w:rPr>
          <w:rFonts w:ascii="Arial" w:cs="Arial" w:eastAsia="Arial" w:hAnsi="Arial"/>
          <w:sz w:val="19"/>
          <w:szCs w:val="19"/>
          <w:u w:val="single" w:color="auto"/>
          <w:color w:val="auto"/>
        </w:rPr>
        <w:t>General Accounting Matters.</w:t>
      </w:r>
    </w:p>
    <w:p>
      <w:pPr>
        <w:spacing w:after="0" w:line="218" w:lineRule="exact"/>
        <w:rPr>
          <w:sz w:val="20"/>
          <w:szCs w:val="20"/>
          <w:color w:val="auto"/>
        </w:rPr>
      </w:pPr>
    </w:p>
    <w:p>
      <w:pPr>
        <w:ind w:firstLine="1305"/>
        <w:spacing w:after="0" w:line="268" w:lineRule="auto"/>
        <w:tabs>
          <w:tab w:leader="none" w:pos="1826"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General Partner shall keep or cause to be kept books and records pertaining to the Partnership’s business showing all of its assets and liabilities, receipts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7" w:name="page148"/>
    <w:bookmarkEnd w:id="147"/>
    <w:p>
      <w:pPr>
        <w:jc w:val="both"/>
        <w:spacing w:after="0" w:line="271" w:lineRule="auto"/>
        <w:rPr>
          <w:sz w:val="20"/>
          <w:szCs w:val="20"/>
          <w:color w:val="auto"/>
        </w:rPr>
      </w:pPr>
      <w:r>
        <w:rPr>
          <w:rFonts w:ascii="Arial" w:cs="Arial" w:eastAsia="Arial" w:hAnsi="Arial"/>
          <w:sz w:val="19"/>
          <w:szCs w:val="19"/>
          <w:color w:val="auto"/>
        </w:rPr>
        <w:t xml:space="preserve">disbursements, Profits and Losses, Partners’ Capital Accounts and all transactions entered into by the Partnership, including the Record of Limited Partners. Such books and records of the Partnership shall be kept by the General Partner at its principal place of business and at the Partnership’s office in Ontario and shall be available for inspection by any Partner or the estate or other legal representative thereof during normal business hours;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fullest extent permitted by law, other than as provided in Section 6.1(b) below, the General Partner may withhold access of any Partner (or the estate or other legal representative thereof) to information regarding the affairs of the Partnership to the extent that the General Partner reasonably determines that it is in the interests of the Partnership to withhold such access for reasons of confidentiality, but may not withhold access to any such information from the professional advisors of any such Partner (or the estate or other legal representative thereof) who need access to such information for purposes of monitoring compliance with the provisions hereof if such professional advisors agree to comply with such measures as the General Partner may reasonably impose to preserve the confidentiality of such information from such Partner (or the estate or other legal representative thereof). The Partnership’s books of account shall be maintained in United States dollars and kept on the tax basis method of accounting in accordance with principles established by the General Partner and otherwise in accordance with United States generally accepted accounting principles and on a basis consistent with the books of account of the Fund.</w:t>
      </w:r>
    </w:p>
    <w:p>
      <w:pPr>
        <w:spacing w:after="0" w:line="169" w:lineRule="exact"/>
        <w:rPr>
          <w:sz w:val="20"/>
          <w:szCs w:val="20"/>
          <w:color w:val="auto"/>
        </w:rPr>
      </w:pPr>
    </w:p>
    <w:p>
      <w:pPr>
        <w:ind w:firstLine="1305"/>
        <w:spacing w:after="0" w:line="268" w:lineRule="auto"/>
        <w:tabs>
          <w:tab w:leader="none" w:pos="1772"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soon as is practicable after the close of each Fiscal Year, a copy of the financial statements of the Partnership shall be furnished to each Partner and shall include, as of the end of such Fiscal Year:</w:t>
      </w:r>
    </w:p>
    <w:p>
      <w:pPr>
        <w:spacing w:after="0" w:line="162" w:lineRule="exact"/>
        <w:rPr>
          <w:rFonts w:ascii="Arial" w:cs="Arial" w:eastAsia="Arial" w:hAnsi="Arial"/>
          <w:sz w:val="21"/>
          <w:szCs w:val="21"/>
          <w:color w:val="auto"/>
        </w:rPr>
      </w:pPr>
    </w:p>
    <w:p>
      <w:pPr>
        <w:ind w:left="2360" w:hanging="407"/>
        <w:spacing w:after="0"/>
        <w:tabs>
          <w:tab w:leader="none" w:pos="2360" w:val="left"/>
        </w:tabs>
        <w:numPr>
          <w:ilvl w:val="1"/>
          <w:numId w:val="72"/>
        </w:numPr>
        <w:rPr>
          <w:rFonts w:ascii="Arial" w:cs="Arial" w:eastAsia="Arial" w:hAnsi="Arial"/>
          <w:sz w:val="21"/>
          <w:szCs w:val="21"/>
          <w:color w:val="auto"/>
        </w:rPr>
      </w:pPr>
      <w:r>
        <w:rPr>
          <w:rFonts w:ascii="Arial" w:cs="Arial" w:eastAsia="Arial" w:hAnsi="Arial"/>
          <w:sz w:val="21"/>
          <w:szCs w:val="21"/>
          <w:color w:val="auto"/>
        </w:rPr>
        <w:t>a statement of net assets of the Partnership;</w:t>
      </w:r>
    </w:p>
    <w:p>
      <w:pPr>
        <w:spacing w:after="0" w:line="217" w:lineRule="exact"/>
        <w:rPr>
          <w:rFonts w:ascii="Arial" w:cs="Arial" w:eastAsia="Arial" w:hAnsi="Arial"/>
          <w:sz w:val="21"/>
          <w:szCs w:val="21"/>
          <w:color w:val="auto"/>
        </w:rPr>
      </w:pPr>
    </w:p>
    <w:p>
      <w:pPr>
        <w:ind w:left="2420" w:hanging="467"/>
        <w:spacing w:after="0"/>
        <w:tabs>
          <w:tab w:leader="none" w:pos="2420" w:val="left"/>
        </w:tabs>
        <w:numPr>
          <w:ilvl w:val="1"/>
          <w:numId w:val="72"/>
        </w:numPr>
        <w:rPr>
          <w:rFonts w:ascii="Arial" w:cs="Arial" w:eastAsia="Arial" w:hAnsi="Arial"/>
          <w:sz w:val="21"/>
          <w:szCs w:val="21"/>
          <w:color w:val="auto"/>
        </w:rPr>
      </w:pPr>
      <w:r>
        <w:rPr>
          <w:rFonts w:ascii="Arial" w:cs="Arial" w:eastAsia="Arial" w:hAnsi="Arial"/>
          <w:sz w:val="21"/>
          <w:szCs w:val="21"/>
          <w:color w:val="auto"/>
        </w:rPr>
        <w:t>a statement of income or loss and a statement of Partners’ capital; and</w:t>
      </w:r>
    </w:p>
    <w:p>
      <w:pPr>
        <w:spacing w:after="0" w:line="217" w:lineRule="exact"/>
        <w:rPr>
          <w:rFonts w:ascii="Arial" w:cs="Arial" w:eastAsia="Arial" w:hAnsi="Arial"/>
          <w:sz w:val="21"/>
          <w:szCs w:val="21"/>
          <w:color w:val="auto"/>
        </w:rPr>
      </w:pPr>
    </w:p>
    <w:p>
      <w:pPr>
        <w:ind w:left="2480" w:hanging="527"/>
        <w:spacing w:after="0"/>
        <w:tabs>
          <w:tab w:leader="none" w:pos="24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a statement of changes in cash flow of the Partnership.</w:t>
      </w:r>
    </w:p>
    <w:p>
      <w:pPr>
        <w:spacing w:after="0" w:line="21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In addition, each person that was a Partner at any time during a Fiscal Year shall be supplied with such information as may be reasonably required to enable such Partner to prepare its Federal, state, local and foreign income tax returns based upon such person’s status as a Partner, such other information as such Person may reasonably request for the purpose of applying for withholding taxes and a statement as to such Partner’s Capital Account as at the close of such Fiscal Year.</w:t>
      </w:r>
    </w:p>
    <w:p>
      <w:pPr>
        <w:spacing w:after="0" w:line="151"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6.2</w:t>
      </w:r>
      <w:r>
        <w:rPr>
          <w:sz w:val="20"/>
          <w:szCs w:val="20"/>
          <w:color w:val="auto"/>
        </w:rPr>
        <w:tab/>
      </w:r>
      <w:r>
        <w:rPr>
          <w:rFonts w:ascii="Arial" w:cs="Arial" w:eastAsia="Arial" w:hAnsi="Arial"/>
          <w:sz w:val="18"/>
          <w:szCs w:val="18"/>
          <w:u w:val="single" w:color="auto"/>
          <w:color w:val="auto"/>
        </w:rPr>
        <w:t>Fiscal Year.</w:t>
      </w:r>
    </w:p>
    <w:p>
      <w:pPr>
        <w:spacing w:after="0" w:line="21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color w:val="auto"/>
        </w:rPr>
        <w:t>The Fiscal Year of the Partnership for financial statement and tax purposes shall begin January 1st and end on December 31st of each year, except for short taxable years in the years of the Partnership’s formation and termination and as otherwise required by Code.</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6.3</w:t>
      </w:r>
      <w:r>
        <w:rPr>
          <w:sz w:val="20"/>
          <w:szCs w:val="20"/>
          <w:color w:val="auto"/>
        </w:rPr>
        <w:tab/>
      </w:r>
      <w:r>
        <w:rPr>
          <w:rFonts w:ascii="Arial" w:cs="Arial" w:eastAsia="Arial" w:hAnsi="Arial"/>
          <w:sz w:val="19"/>
          <w:szCs w:val="19"/>
          <w:u w:val="single" w:color="auto"/>
          <w:color w:val="auto"/>
        </w:rPr>
        <w:t>Certain Tax Matters.</w:t>
      </w:r>
    </w:p>
    <w:p>
      <w:pPr>
        <w:spacing w:after="0" w:line="21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1"/>
          <w:szCs w:val="21"/>
          <w:color w:val="auto"/>
        </w:rPr>
        <w:t>The General Partner shall prepare or cause to be prepared all federal, state and local, as well as foreign, if any, tax returns of the Partnership for each year for which such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8" w:name="page149"/>
    <w:bookmarkEnd w:id="148"/>
    <w:p>
      <w:pPr>
        <w:jc w:val="both"/>
        <w:spacing w:after="0" w:line="271" w:lineRule="auto"/>
        <w:rPr>
          <w:sz w:val="20"/>
          <w:szCs w:val="20"/>
          <w:color w:val="auto"/>
        </w:rPr>
      </w:pPr>
      <w:r>
        <w:rPr>
          <w:rFonts w:ascii="Arial" w:cs="Arial" w:eastAsia="Arial" w:hAnsi="Arial"/>
          <w:sz w:val="19"/>
          <w:szCs w:val="19"/>
          <w:color w:val="auto"/>
        </w:rPr>
        <w:t>returns are required to be filed and shall file or cause such returns to be timely filed. The General Partner shall determine the appropriate treatment of each item of income, gain, loss, deduction and credit of the Partnership and the accounting methods and conventions under the tax laws of the United States, the several states and other relevant jurisdictions as to the treatment of any such item or any other method or procedure related to the preparation of such tax returns. The General Partner may cause the Partnership to make or refrain from making any and all elections permitted by such tax laws. The Partnership and each Partner hereby designate the General Partner (or such other Partner as the General Partner may designate) as the “tax matters partner” for purposes of Section 6231(a)(7) of the Code (the “</w:t>
      </w:r>
      <w:r>
        <w:rPr>
          <w:rFonts w:ascii="Arial" w:cs="Arial" w:eastAsia="Arial" w:hAnsi="Arial"/>
          <w:sz w:val="19"/>
          <w:szCs w:val="19"/>
          <w:u w:val="single" w:color="auto"/>
          <w:color w:val="auto"/>
        </w:rPr>
        <w:t>Tax Matters Partner</w:t>
      </w:r>
      <w:r>
        <w:rPr>
          <w:rFonts w:ascii="Arial" w:cs="Arial" w:eastAsia="Arial" w:hAnsi="Arial"/>
          <w:sz w:val="19"/>
          <w:szCs w:val="19"/>
          <w:color w:val="auto"/>
        </w:rPr>
        <w:t>”). The Tax Matters Partner will take no action which is reasonably expected to have a material adverse effect on one or more of the Partners unless such action is approved by the General Partner. The Tax Matters Partner will be responsible for notifying all Partners of ongoing proceedings, both administrative and judicial, and will represent the Partnership throughout any such proceeding. The Partners will furnish the Tax Matters Partner with such information as it may reasonably request to provide the Internal Revenue Service with sufficient information to allow proper notice to the Partners. The Tax Matters Partner will not bind any other Partner to any extension of the statute of limitations or to a settlement agreement without such Partner’s written consent which consent shall not be unreasonably withheld. The Tax Matters Partner shall take such action as may be necessary to cause each other Partner to become a “notice partner” within the meaning of Section 6223 of the Code.</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VII</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Dissolution</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7.1</w:t>
      </w:r>
      <w:r>
        <w:rPr>
          <w:sz w:val="20"/>
          <w:szCs w:val="20"/>
          <w:color w:val="auto"/>
        </w:rPr>
        <w:tab/>
      </w:r>
      <w:r>
        <w:rPr>
          <w:rFonts w:ascii="Arial" w:cs="Arial" w:eastAsia="Arial" w:hAnsi="Arial"/>
          <w:sz w:val="20"/>
          <w:szCs w:val="20"/>
          <w:u w:val="single" w:color="auto"/>
          <w:color w:val="auto"/>
        </w:rPr>
        <w:t>Dissolution.</w:t>
      </w:r>
    </w:p>
    <w:p>
      <w:pPr>
        <w:spacing w:after="0" w:line="21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color w:val="auto"/>
        </w:rPr>
        <w:t>The Partnership shall be dissolved and subsequently terminated upon a determination by the General Partner to dissolve the Partnership at any time following the dissolution and termination of the Fund. Subject to the Act, the death, retirement, dissolution, resignation, expulsion or bankruptcy of any Partner shall not cause the dissolution of the Partnership, and following any such event the remaining Partners shall have the right to continue the business of the Partnership.</w:t>
      </w:r>
    </w:p>
    <w:p>
      <w:pPr>
        <w:spacing w:after="0" w:line="16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7.2</w:t>
      </w:r>
      <w:r>
        <w:rPr>
          <w:sz w:val="20"/>
          <w:szCs w:val="20"/>
          <w:color w:val="auto"/>
        </w:rPr>
        <w:tab/>
      </w:r>
      <w:r>
        <w:rPr>
          <w:rFonts w:ascii="Arial" w:cs="Arial" w:eastAsia="Arial" w:hAnsi="Arial"/>
          <w:sz w:val="20"/>
          <w:szCs w:val="20"/>
          <w:u w:val="single" w:color="auto"/>
          <w:color w:val="auto"/>
        </w:rPr>
        <w:t>Winding-up.</w:t>
      </w:r>
    </w:p>
    <w:p>
      <w:pPr>
        <w:spacing w:after="0" w:line="21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1"/>
          <w:szCs w:val="21"/>
          <w:color w:val="auto"/>
        </w:rPr>
        <w:t>When the Partnership is dissolved, the business and property of the Partnership shall be wound up and liquidated by the General Partner. The General Partner shall use its best efforts to reduce to cash and cash equivalent items such assets of the Partnership as the General Partner shall deem it advisable to sell and to obtain fair value for such assets (taking into account applicable tax, legal and business considerations).</w:t>
      </w:r>
    </w:p>
    <w:p>
      <w:pPr>
        <w:spacing w:after="0" w:line="18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7.3</w:t>
      </w:r>
      <w:r>
        <w:rPr>
          <w:sz w:val="20"/>
          <w:szCs w:val="20"/>
          <w:color w:val="auto"/>
        </w:rPr>
        <w:tab/>
      </w:r>
      <w:r>
        <w:rPr>
          <w:rFonts w:ascii="Arial" w:cs="Arial" w:eastAsia="Arial" w:hAnsi="Arial"/>
          <w:sz w:val="20"/>
          <w:szCs w:val="20"/>
          <w:u w:val="single" w:color="auto"/>
          <w:color w:val="auto"/>
        </w:rPr>
        <w:t>Final Distribution.</w:t>
      </w:r>
    </w:p>
    <w:p>
      <w:pPr>
        <w:spacing w:after="0" w:line="218" w:lineRule="exact"/>
        <w:rPr>
          <w:sz w:val="20"/>
          <w:szCs w:val="20"/>
          <w:color w:val="auto"/>
        </w:rPr>
      </w:pPr>
    </w:p>
    <w:p>
      <w:pPr>
        <w:ind w:firstLine="1305"/>
        <w:spacing w:after="0" w:line="268" w:lineRule="auto"/>
        <w:tabs>
          <w:tab w:leader="none" w:pos="1864" w:val="left"/>
        </w:tabs>
        <w:numPr>
          <w:ilvl w:val="0"/>
          <w:numId w:val="73"/>
        </w:numPr>
        <w:rPr>
          <w:rFonts w:ascii="Arial" w:cs="Arial" w:eastAsia="Arial" w:hAnsi="Arial"/>
          <w:sz w:val="21"/>
          <w:szCs w:val="21"/>
          <w:color w:val="auto"/>
        </w:rPr>
      </w:pPr>
      <w:r>
        <w:rPr>
          <w:rFonts w:ascii="Arial" w:cs="Arial" w:eastAsia="Arial" w:hAnsi="Arial"/>
          <w:sz w:val="21"/>
          <w:szCs w:val="21"/>
          <w:color w:val="auto"/>
        </w:rPr>
        <w:t>Within 120 calendar days after the effective date of dissolution of the Partnership (or such later date as the General Partner shall determine), the assets of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49" w:name="page150"/>
    <w:bookmarkEnd w:id="149"/>
    <w:p>
      <w:pPr>
        <w:jc w:val="both"/>
        <w:spacing w:after="0" w:line="250" w:lineRule="auto"/>
        <w:rPr>
          <w:sz w:val="20"/>
          <w:szCs w:val="20"/>
          <w:color w:val="auto"/>
        </w:rPr>
      </w:pPr>
      <w:r>
        <w:rPr>
          <w:rFonts w:ascii="Arial" w:cs="Arial" w:eastAsia="Arial" w:hAnsi="Arial"/>
          <w:sz w:val="21"/>
          <w:szCs w:val="21"/>
          <w:color w:val="auto"/>
        </w:rPr>
        <w:t>Partnership shall be distributed to satisfy all creditors of the Partnership (including the payment of expenses of the winding-up, liquidation and dissolution of the Partnership), including Partners who are creditors of the Partnership, to the extent otherwise permitted by law, either by the payment thereof or the making of reasonable provision therefor (including the establishment of reserves, in amounts established by the General Partner).</w:t>
      </w:r>
    </w:p>
    <w:p>
      <w:pPr>
        <w:spacing w:after="0" w:line="182" w:lineRule="exact"/>
        <w:rPr>
          <w:sz w:val="20"/>
          <w:szCs w:val="20"/>
          <w:color w:val="auto"/>
        </w:rPr>
      </w:pPr>
    </w:p>
    <w:p>
      <w:pPr>
        <w:ind w:right="20" w:firstLine="1305"/>
        <w:spacing w:after="0" w:line="321" w:lineRule="auto"/>
        <w:tabs>
          <w:tab w:leader="none" w:pos="1767"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remaining assets, if any, of the Partnership shall be applied and distributed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Partners until each such Partner receives an amount equal to the amount of its capital balance as reflected on the books and records of the Partnership.</w:t>
      </w:r>
    </w:p>
    <w:p>
      <w:pPr>
        <w:spacing w:after="0" w:line="118"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7.4</w:t>
      </w:r>
      <w:r>
        <w:rPr>
          <w:sz w:val="20"/>
          <w:szCs w:val="20"/>
          <w:color w:val="auto"/>
        </w:rPr>
        <w:tab/>
      </w:r>
      <w:r>
        <w:rPr>
          <w:rFonts w:ascii="Arial" w:cs="Arial" w:eastAsia="Arial" w:hAnsi="Arial"/>
          <w:sz w:val="19"/>
          <w:szCs w:val="19"/>
          <w:u w:val="single" w:color="auto"/>
          <w:color w:val="auto"/>
        </w:rPr>
        <w:t>No Obligation to Restore Capital Accounts.</w:t>
      </w:r>
    </w:p>
    <w:p>
      <w:pPr>
        <w:spacing w:after="0" w:line="21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1"/>
          <w:szCs w:val="21"/>
          <w:color w:val="auto"/>
        </w:rPr>
        <w:t>Except as provided in Section 4.5 and Section 5.1(a)(iii) and as may otherwise be required by law, no Partner whose Capital Account balance is a negative or deficit amount (either during the existence of the Partnership or upon liquidation) shall have any obligation to return any amounts previously distributed to such Partner or to contribute cash or other assets to the Partnership to restore or make up the deficit in such Partner’s impaired Capital Account.</w:t>
      </w:r>
    </w:p>
    <w:p>
      <w:pPr>
        <w:spacing w:after="0" w:line="250"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VIII</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Transfer of Partners’ Interests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8.1</w:t>
      </w:r>
      <w:r>
        <w:rPr>
          <w:sz w:val="20"/>
          <w:szCs w:val="20"/>
          <w:color w:val="auto"/>
        </w:rPr>
        <w:tab/>
      </w:r>
      <w:r>
        <w:rPr>
          <w:rFonts w:ascii="Arial" w:cs="Arial" w:eastAsia="Arial" w:hAnsi="Arial"/>
          <w:sz w:val="19"/>
          <w:szCs w:val="19"/>
          <w:u w:val="single" w:color="auto"/>
          <w:color w:val="auto"/>
        </w:rPr>
        <w:t>Transfer of Partnership Interests.</w:t>
      </w:r>
    </w:p>
    <w:p>
      <w:pPr>
        <w:spacing w:after="0" w:line="218" w:lineRule="exact"/>
        <w:rPr>
          <w:sz w:val="20"/>
          <w:szCs w:val="20"/>
          <w:color w:val="auto"/>
        </w:rPr>
      </w:pPr>
    </w:p>
    <w:p>
      <w:pPr>
        <w:jc w:val="both"/>
        <w:ind w:firstLine="1305"/>
        <w:spacing w:after="0" w:line="259" w:lineRule="auto"/>
        <w:tabs>
          <w:tab w:leader="none" w:pos="1785"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Partner may, directly or indirectly, Transfer such Partner’s interest in the Partnership without advance notice to and the prior consent of the General Partner, which consent may be given or withheld in the General Partner’s sole and absolute discretion. Notwithstanding the foregoing, no consent shall be necessary in the case of a Transfer by an EPI Limited Partner upon her or his death, to her or his estate or heirs, and in which event such interest shall nevertheless be deemed to be held by the initial holder thereof for purposes of determining consequences under Sections 4.4 and 4.5, unless the General Partner reasonably determines upon advice of counsel that such Transfer would materially increase the likelihood that either the Partnership would be subject to the registration requirements of the Investment Company Act of 1940, as amended, or jeopardize the status of the Partnership as a partnership for federal income tax purposes.</w:t>
      </w:r>
    </w:p>
    <w:p>
      <w:pPr>
        <w:spacing w:after="0" w:line="175" w:lineRule="exact"/>
        <w:rPr>
          <w:rFonts w:ascii="Arial" w:cs="Arial" w:eastAsia="Arial" w:hAnsi="Arial"/>
          <w:sz w:val="20"/>
          <w:szCs w:val="20"/>
          <w:color w:val="auto"/>
        </w:rPr>
      </w:pPr>
    </w:p>
    <w:p>
      <w:pPr>
        <w:jc w:val="both"/>
        <w:ind w:firstLine="1305"/>
        <w:spacing w:after="0" w:line="250" w:lineRule="auto"/>
        <w:tabs>
          <w:tab w:leader="none" w:pos="1806" w:val="left"/>
        </w:tabs>
        <w:numPr>
          <w:ilvl w:val="0"/>
          <w:numId w:val="75"/>
        </w:numPr>
        <w:rPr>
          <w:rFonts w:ascii="Arial" w:cs="Arial" w:eastAsia="Arial" w:hAnsi="Arial"/>
          <w:sz w:val="21"/>
          <w:szCs w:val="21"/>
          <w:color w:val="auto"/>
        </w:rPr>
      </w:pPr>
      <w:r>
        <w:rPr>
          <w:rFonts w:ascii="Arial" w:cs="Arial" w:eastAsia="Arial" w:hAnsi="Arial"/>
          <w:sz w:val="21"/>
          <w:szCs w:val="21"/>
          <w:color w:val="auto"/>
        </w:rPr>
        <w:t>Upon a Limited Partner’s Transfer of all or any part of such Limited Partner's Interest in the Partnership to any person under Section 8.1(a) (including an Affiliate of such Partner or a permitted transferee under Section 8.1(a)) (the “</w:t>
      </w:r>
      <w:r>
        <w:rPr>
          <w:rFonts w:ascii="Arial" w:cs="Arial" w:eastAsia="Arial" w:hAnsi="Arial"/>
          <w:sz w:val="21"/>
          <w:szCs w:val="21"/>
          <w:u w:val="single" w:color="auto"/>
          <w:color w:val="auto"/>
        </w:rPr>
        <w:t>Assignee</w:t>
      </w:r>
      <w:r>
        <w:rPr>
          <w:rFonts w:ascii="Arial" w:cs="Arial" w:eastAsia="Arial" w:hAnsi="Arial"/>
          <w:sz w:val="21"/>
          <w:szCs w:val="21"/>
          <w:color w:val="auto"/>
        </w:rPr>
        <w:t>”), such Assignee shall be admitted as a substitute Limited Partner in lieu of such transferor Partner only with the written consent of the General Partner which consent may be given or withheld in its sole and absolute discretion.</w:t>
      </w:r>
    </w:p>
    <w:p>
      <w:pPr>
        <w:spacing w:after="0" w:line="182" w:lineRule="exact"/>
        <w:rPr>
          <w:rFonts w:ascii="Arial" w:cs="Arial" w:eastAsia="Arial" w:hAnsi="Arial"/>
          <w:sz w:val="21"/>
          <w:szCs w:val="21"/>
          <w:color w:val="auto"/>
        </w:rPr>
      </w:pPr>
    </w:p>
    <w:p>
      <w:pPr>
        <w:jc w:val="both"/>
        <w:ind w:firstLine="1305"/>
        <w:spacing w:after="0" w:line="273" w:lineRule="auto"/>
        <w:tabs>
          <w:tab w:leader="none" w:pos="17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Unless an Assignee is admitted as a substitute Limited Partner in accordance with Section 8.1(b) and the Act, a Transfer by a Limited Partner of all or any part of such Limited Partner’s interest in the Partnership shall not release such Limited Partner from any of such Limited Partner’s obligations or liabilities (including, without limitation, such Partner’s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0" w:name="page151"/>
    <w:bookmarkEnd w:id="150"/>
    <w:p>
      <w:pPr>
        <w:jc w:val="both"/>
        <w:spacing w:after="0" w:line="267" w:lineRule="auto"/>
        <w:rPr>
          <w:sz w:val="20"/>
          <w:szCs w:val="20"/>
          <w:color w:val="auto"/>
        </w:rPr>
      </w:pPr>
      <w:r>
        <w:rPr>
          <w:rFonts w:ascii="Arial" w:cs="Arial" w:eastAsia="Arial" w:hAnsi="Arial"/>
          <w:sz w:val="20"/>
          <w:szCs w:val="20"/>
          <w:color w:val="auto"/>
        </w:rPr>
        <w:t>obligations to make capital contributions hereunder and such Limited Partner’s liability therefor), or limit the General Partner’s rights with respect to such Limited Partner, of any nature whatsoever arising under this Agreement, and such Assignee shall be entitled only to allocations and distributions with respect to its Interest and shall have no right to any accounting or information concerning the affairs of the Partnership and shall not have any of the other rights of a Limited Partner under this Agreement.</w:t>
      </w:r>
    </w:p>
    <w:p>
      <w:pPr>
        <w:spacing w:after="0" w:line="165" w:lineRule="exact"/>
        <w:rPr>
          <w:sz w:val="20"/>
          <w:szCs w:val="20"/>
          <w:color w:val="auto"/>
        </w:rPr>
      </w:pPr>
    </w:p>
    <w:p>
      <w:pPr>
        <w:ind w:firstLine="1305"/>
        <w:spacing w:after="0" w:line="268" w:lineRule="auto"/>
        <w:tabs>
          <w:tab w:leader="none" w:pos="1771" w:val="left"/>
        </w:tabs>
        <w:numPr>
          <w:ilvl w:val="0"/>
          <w:numId w:val="76"/>
        </w:numPr>
        <w:rPr>
          <w:rFonts w:ascii="Arial" w:cs="Arial" w:eastAsia="Arial" w:hAnsi="Arial"/>
          <w:sz w:val="21"/>
          <w:szCs w:val="21"/>
          <w:color w:val="auto"/>
        </w:rPr>
      </w:pPr>
      <w:r>
        <w:rPr>
          <w:rFonts w:ascii="Arial" w:cs="Arial" w:eastAsia="Arial" w:hAnsi="Arial"/>
          <w:sz w:val="21"/>
          <w:szCs w:val="21"/>
          <w:color w:val="auto"/>
        </w:rPr>
        <w:t>Any purported Transfer by a Partner of all or any part of its interest in the Partnership in violation of this Article VIII shall be null and void and of no force or effect.</w:t>
      </w:r>
    </w:p>
    <w:p>
      <w:pPr>
        <w:spacing w:after="0" w:line="230"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IX</w:t>
      </w:r>
    </w:p>
    <w:p>
      <w:pPr>
        <w:spacing w:after="0" w:line="339"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Additional Partners</w:t>
      </w:r>
    </w:p>
    <w:p>
      <w:pPr>
        <w:spacing w:after="0" w:line="272"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1"/>
          <w:szCs w:val="21"/>
          <w:u w:val="single" w:color="auto"/>
          <w:color w:val="auto"/>
        </w:rPr>
        <w:t>SECTION 9.1</w:t>
      </w:r>
      <w:r>
        <w:rPr>
          <w:sz w:val="20"/>
          <w:szCs w:val="20"/>
          <w:color w:val="auto"/>
        </w:rPr>
        <w:tab/>
      </w:r>
      <w:r>
        <w:rPr>
          <w:rFonts w:ascii="Arial" w:cs="Arial" w:eastAsia="Arial" w:hAnsi="Arial"/>
          <w:sz w:val="19"/>
          <w:szCs w:val="19"/>
          <w:u w:val="single" w:color="auto"/>
          <w:color w:val="auto"/>
        </w:rPr>
        <w:t>Admission of Additional Partners.</w:t>
      </w:r>
    </w:p>
    <w:p>
      <w:pPr>
        <w:spacing w:after="0" w:line="218" w:lineRule="exact"/>
        <w:rPr>
          <w:sz w:val="20"/>
          <w:szCs w:val="20"/>
          <w:color w:val="auto"/>
        </w:rPr>
      </w:pPr>
    </w:p>
    <w:p>
      <w:pPr>
        <w:jc w:val="both"/>
        <w:ind w:firstLine="1305"/>
        <w:spacing w:after="0" w:line="294" w:lineRule="auto"/>
        <w:tabs>
          <w:tab w:leader="none" w:pos="1762"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person may be admitted subsequent to the date hereof as an additional Partner with the consent of the General Partner and upon amendment of the Record of Limited Partners by the General Partner. Upon the admission of any additional Partner, such Partner may be allocated a Profit Sharing Percentage and a Capital Commitment as agreed to by the General Partner.</w:t>
      </w:r>
    </w:p>
    <w:p>
      <w:pPr>
        <w:spacing w:after="0" w:line="142" w:lineRule="exact"/>
        <w:rPr>
          <w:rFonts w:ascii="Arial" w:cs="Arial" w:eastAsia="Arial" w:hAnsi="Arial"/>
          <w:sz w:val="19"/>
          <w:szCs w:val="19"/>
          <w:color w:val="auto"/>
        </w:rPr>
      </w:pPr>
    </w:p>
    <w:p>
      <w:pPr>
        <w:jc w:val="both"/>
        <w:ind w:firstLine="1305"/>
        <w:spacing w:after="0" w:line="248" w:lineRule="auto"/>
        <w:tabs>
          <w:tab w:leader="none" w:pos="1774" w:val="left"/>
        </w:tabs>
        <w:numPr>
          <w:ilvl w:val="0"/>
          <w:numId w:val="77"/>
        </w:numPr>
        <w:rPr>
          <w:rFonts w:ascii="Arial" w:cs="Arial" w:eastAsia="Arial" w:hAnsi="Arial"/>
          <w:sz w:val="21"/>
          <w:szCs w:val="21"/>
          <w:color w:val="auto"/>
        </w:rPr>
      </w:pPr>
      <w:r>
        <w:rPr>
          <w:rFonts w:ascii="Arial" w:cs="Arial" w:eastAsia="Arial" w:hAnsi="Arial"/>
          <w:sz w:val="21"/>
          <w:szCs w:val="21"/>
          <w:color w:val="auto"/>
        </w:rPr>
        <w:t>Concurrently with the admission of any substitute or additional Partner, the General Partner shall forthwith cause any necessary papers to be filed and recorded and notice to be given wherever and to the extent required showing the substitution of such transferee as a substitute Partner in place of the transferor Partner, or as an admission of an additional Partner. The admission of any person as a substitute or additional Partner shall be conditioned upon such person’s written acceptance and adoption of all the terms and provisions of this Agreement.</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21"/>
          <w:szCs w:val="21"/>
          <w:u w:val="single" w:color="auto"/>
          <w:color w:val="auto"/>
        </w:rPr>
        <w:t>ARTICLE X</w:t>
      </w:r>
    </w:p>
    <w:p>
      <w:pPr>
        <w:spacing w:after="0" w:line="339" w:lineRule="exact"/>
        <w:rPr>
          <w:sz w:val="20"/>
          <w:szCs w:val="20"/>
          <w:color w:val="auto"/>
        </w:rPr>
      </w:pPr>
    </w:p>
    <w:p>
      <w:pPr>
        <w:jc w:val="center"/>
        <w:ind w:right="2740"/>
        <w:spacing w:after="0"/>
        <w:rPr>
          <w:sz w:val="20"/>
          <w:szCs w:val="20"/>
          <w:color w:val="auto"/>
        </w:rPr>
      </w:pPr>
      <w:r>
        <w:rPr>
          <w:rFonts w:ascii="Arial" w:cs="Arial" w:eastAsia="Arial" w:hAnsi="Arial"/>
          <w:sz w:val="21"/>
          <w:szCs w:val="21"/>
          <w:u w:val="single" w:color="auto"/>
          <w:color w:val="auto"/>
        </w:rPr>
        <w:t>Miscellaneous</w:t>
      </w:r>
    </w:p>
    <w:p>
      <w:pPr>
        <w:spacing w:after="0" w:line="272"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10.1</w:t>
      </w:r>
      <w:r>
        <w:rPr>
          <w:sz w:val="20"/>
          <w:szCs w:val="20"/>
          <w:color w:val="auto"/>
        </w:rPr>
        <w:tab/>
      </w:r>
      <w:r>
        <w:rPr>
          <w:rFonts w:ascii="Arial" w:cs="Arial" w:eastAsia="Arial" w:hAnsi="Arial"/>
          <w:sz w:val="20"/>
          <w:szCs w:val="20"/>
          <w:u w:val="single" w:color="auto"/>
          <w:color w:val="auto"/>
        </w:rPr>
        <w:t>Arbitration; Waiver of Partition/Action for Accounting.</w:t>
      </w:r>
    </w:p>
    <w:p>
      <w:pPr>
        <w:spacing w:after="0" w:line="218"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Any dispute, controversy or claim arising out of or relating to this Agreement or to the Partnership’s affairs or the rights or interests of the Partners including, but not limited to, the validity, interpretation, performance, breach or termination of this Agreement, whether arising during the Partnership term or at or after its termination or during or after the liquidation of the Partnership, shall be settled exclusively by arbitration in New York City by three neutral arbitrators in accordance with the International Arbitration Rules then obtaining of the American Arbitration Association. If the parties to any such controversy are unable to agree upon such arbitrators, then the arbitrators shall be appointed in accordance with such rules. The parties consent to the exclusive jurisdiction of the courts of competent jurisdiction in the Province of Ontario in respect of any action or proceeding relating in any way to this Agreement. The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1" w:name="page152"/>
    <w:bookmarkEnd w:id="151"/>
    <w:p>
      <w:pPr>
        <w:jc w:val="both"/>
        <w:spacing w:after="0" w:line="276" w:lineRule="auto"/>
        <w:rPr>
          <w:sz w:val="20"/>
          <w:szCs w:val="20"/>
          <w:color w:val="auto"/>
        </w:rPr>
      </w:pPr>
      <w:r>
        <w:rPr>
          <w:rFonts w:ascii="Arial" w:cs="Arial" w:eastAsia="Arial" w:hAnsi="Arial"/>
          <w:sz w:val="19"/>
          <w:szCs w:val="19"/>
          <w:color w:val="auto"/>
        </w:rPr>
        <w:t>shall not raise any objection to the venue of any proceedings in any such court, including the objection that the proceedings have been brought in an inconvenient forum. The General Partner irrevocably appoints the Process Agent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59"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10.2</w:t>
      </w:r>
      <w:r>
        <w:rPr>
          <w:sz w:val="20"/>
          <w:szCs w:val="20"/>
          <w:color w:val="auto"/>
        </w:rPr>
        <w:tab/>
      </w:r>
      <w:r>
        <w:rPr>
          <w:rFonts w:ascii="Arial" w:cs="Arial" w:eastAsia="Arial" w:hAnsi="Arial"/>
          <w:sz w:val="18"/>
          <w:szCs w:val="18"/>
          <w:u w:val="single" w:color="auto"/>
          <w:color w:val="auto"/>
        </w:rPr>
        <w:t>Successors and Assigns.</w:t>
      </w:r>
    </w:p>
    <w:p>
      <w:pPr>
        <w:spacing w:after="0" w:line="21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0"/>
          <w:szCs w:val="20"/>
          <w:color w:val="auto"/>
        </w:rPr>
        <w:t xml:space="preserve">This Agreement shall be binding upon and shall inure to the benefit of the parties hereto and their respective successors and assigns and, in particular, the estate of a deceased Partner shall remain liable for all of such Partner’s obligations hereunder to the extent that such obligations are not expressly affected by such Partner’s death under the terms hereof. Any Partner who is entitled to a post-employment Profit Sharing Percentage or Capital Commitment following termination of such Partner's employment or, in the case of an Operating Executive, consultancy of a Partner with EPI, the Investment Advisor, the Investment Manager or any of their respective Affiliates may assign, at the time of such termination of employment, his or her right to receive all or a portion of such post-employment Profit Sharing Percentage and/or Capital Commtiment to a trust, partnership or other entity for investment by or for the benefit of partners of such Partner's family or for charitable purposes;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assignment shall be permitted in the event that such assignment would, or would be reasonably expected to, result in an adverse impact on the Partnership or its Affiliates or on any other Partner of the Partnership.</w:t>
      </w:r>
    </w:p>
    <w:p>
      <w:pPr>
        <w:spacing w:after="0" w:line="17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10.3</w:t>
      </w:r>
      <w:r>
        <w:rPr>
          <w:sz w:val="20"/>
          <w:szCs w:val="20"/>
          <w:color w:val="auto"/>
        </w:rPr>
        <w:tab/>
      </w:r>
      <w:r>
        <w:rPr>
          <w:rFonts w:ascii="Arial" w:cs="Arial" w:eastAsia="Arial" w:hAnsi="Arial"/>
          <w:sz w:val="18"/>
          <w:szCs w:val="18"/>
          <w:u w:val="single" w:color="auto"/>
          <w:color w:val="auto"/>
        </w:rPr>
        <w:t>Other Covenants of the Partners.</w:t>
      </w:r>
    </w:p>
    <w:p>
      <w:pPr>
        <w:spacing w:after="0" w:line="218" w:lineRule="exact"/>
        <w:rPr>
          <w:sz w:val="20"/>
          <w:szCs w:val="20"/>
          <w:color w:val="auto"/>
        </w:rPr>
      </w:pPr>
    </w:p>
    <w:p>
      <w:pPr>
        <w:jc w:val="both"/>
        <w:ind w:firstLine="1305"/>
        <w:spacing w:after="0" w:line="269" w:lineRule="auto"/>
        <w:tabs>
          <w:tab w:leader="none" w:pos="1797" w:val="left"/>
        </w:tabs>
        <w:numPr>
          <w:ilvl w:val="1"/>
          <w:numId w:val="78"/>
        </w:numPr>
        <w:rPr>
          <w:rFonts w:ascii="Arial" w:cs="Arial" w:eastAsia="Arial" w:hAnsi="Arial"/>
          <w:sz w:val="19"/>
          <w:szCs w:val="19"/>
          <w:color w:val="auto"/>
        </w:rPr>
      </w:pPr>
      <w:r>
        <w:rPr>
          <w:rFonts w:ascii="Arial" w:cs="Arial" w:eastAsia="Arial" w:hAnsi="Arial"/>
          <w:sz w:val="19"/>
          <w:szCs w:val="19"/>
          <w:color w:val="auto"/>
        </w:rPr>
        <w:t>By executing this Agreement, each Partner expressly agrees, at all times during the term of the Partnership and thereafter and whether or not at the time a Partner of the Partnership or an employee of EPI, the Investment Advisor, the Investment Manager or any of their respective Affiliates, without the consent of the General Partner, to maintain the confidentiality of, and not to disclose to any person, any material information relating to the business, financial results, clients or affairs of the Partnership that shall not be generally known to the public, except (a) to such Partner’s professional advisers who are bound by a confidentiality obligation to the same extent set forth herein, (b) as required for any arbitration proceeding pursuant to Section 10.1 or as required by law, by rule or regulation having the force of law, by any regulatory or self-regulatory organization having jurisdiction or by process of law,</w:t>
      </w:r>
    </w:p>
    <w:p>
      <w:pPr>
        <w:spacing w:after="0" w:line="5" w:lineRule="exact"/>
        <w:rPr>
          <w:rFonts w:ascii="Arial" w:cs="Arial" w:eastAsia="Arial" w:hAnsi="Arial"/>
          <w:sz w:val="19"/>
          <w:szCs w:val="19"/>
          <w:color w:val="auto"/>
        </w:rPr>
      </w:pPr>
    </w:p>
    <w:p>
      <w:pPr>
        <w:jc w:val="both"/>
        <w:ind w:firstLine="8"/>
        <w:spacing w:after="0" w:line="275" w:lineRule="auto"/>
        <w:tabs>
          <w:tab w:leader="none" w:pos="2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as required by the Act or (d) as is reasonably necessary in the best interests of the business of the Partnership and the Fund. Each Partner that is an entity shall cause its owners to comply with the provisions of this Section 10.3. The provisions of this Section 10.3 shall survive the termination of the Partnership. Notwithstanding anything in this Agreement to the contrary, to comply with Treasury Regulations Section 1.6011-4(b)(3)(i), each Partner may disclose to any and all persons, without limitation of any kind, the U.S. federal income tax treatment and tax structure of the Partnership or any transactions undertaken by the Partnership.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2" w:name="page153"/>
    <w:bookmarkEnd w:id="152"/>
    <w:p>
      <w:pPr>
        <w:jc w:val="both"/>
        <w:ind w:firstLine="1305"/>
        <w:spacing w:after="0" w:line="254" w:lineRule="auto"/>
        <w:tabs>
          <w:tab w:leader="none" w:pos="1816" w:val="left"/>
        </w:tabs>
        <w:numPr>
          <w:ilvl w:val="0"/>
          <w:numId w:val="80"/>
        </w:numPr>
        <w:rPr>
          <w:rFonts w:ascii="Arial" w:cs="Arial" w:eastAsia="Arial" w:hAnsi="Arial"/>
          <w:sz w:val="21"/>
          <w:szCs w:val="21"/>
          <w:color w:val="auto"/>
        </w:rPr>
      </w:pPr>
      <w:r>
        <w:rPr>
          <w:rFonts w:ascii="Arial" w:cs="Arial" w:eastAsia="Arial" w:hAnsi="Arial"/>
          <w:sz w:val="21"/>
          <w:szCs w:val="21"/>
          <w:color w:val="auto"/>
        </w:rPr>
        <w:t>Each EPI Limited Partner acknowledges that a breach of his or her obligations under this Section 10.3 (for the avoidance of doubt, determined without giving effect to any modification pursuant to Section 10.12) shall constitute an event of Cause with the consequences specified pursuant to Section 4.4.</w:t>
      </w:r>
    </w:p>
    <w:p>
      <w:pPr>
        <w:spacing w:after="0" w:line="17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u w:val="single" w:color="auto"/>
          <w:color w:val="auto"/>
        </w:rPr>
        <w:t>SECTION 10.4 Notices</w:t>
      </w:r>
      <w:r>
        <w:rPr>
          <w:rFonts w:ascii="Arial" w:cs="Arial" w:eastAsia="Arial" w:hAnsi="Arial"/>
          <w:sz w:val="21"/>
          <w:szCs w:val="21"/>
          <w:color w:val="auto"/>
        </w:rPr>
        <w:t>. Whenever notice is required or permitted by this Agreement to be given, such notice shall be in writing (including fax, e.mail or other electronic means) and shall be given to any Partner at its address, fax number or e.mail address shown in the Partnership’s books and records. Each such notice shall be effective (a) if given by fax, upon electronic confirmation of receipt, (b) if given by e.mail, when sent and (c) if given by any other means, when delivered to and receipted for at the address of such Partner, as the case may be, specified as aforesaid.</w:t>
      </w:r>
    </w:p>
    <w:p>
      <w:pPr>
        <w:spacing w:after="0" w:line="18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u w:val="single" w:color="auto"/>
          <w:color w:val="auto"/>
        </w:rPr>
        <w:t>SECTION 10.5 Counterparts</w:t>
      </w:r>
      <w:r>
        <w:rPr>
          <w:rFonts w:ascii="Arial" w:cs="Arial" w:eastAsia="Arial" w:hAnsi="Arial"/>
          <w:sz w:val="21"/>
          <w:szCs w:val="21"/>
          <w:color w:val="auto"/>
        </w:rPr>
        <w:t>. This Agreement may be executed in any number of counterparts, all of which together shall constitute a single instrument. Any signature on the signature page of this Agreement may be an original or a fax or electronically transmitted signature.</w:t>
      </w:r>
    </w:p>
    <w:p>
      <w:pPr>
        <w:spacing w:after="0" w:line="17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u w:val="single" w:color="auto"/>
          <w:color w:val="auto"/>
        </w:rPr>
        <w:t>SECTION 10.6 Entire Agreement</w:t>
      </w:r>
      <w:r>
        <w:rPr>
          <w:rFonts w:ascii="Arial" w:cs="Arial" w:eastAsia="Arial" w:hAnsi="Arial"/>
          <w:sz w:val="19"/>
          <w:szCs w:val="19"/>
          <w:color w:val="auto"/>
        </w:rPr>
        <w:t>. This Agreement, together with the separate written agreements referenced herein, embodies the entire agreement and understanding of the parties hereto in respect of the subject matter contained herein. There are no restrictions, promises, representations, warranties, covenants or undertakings, other than those expressly set forth or referred to herein. Except as expressly provided herein, this Agreement and such separate written agreements supersede all prior agreements and understandings between the parties with respect to such subject matter. This Agreement does not create any right of employment on the part of any Partner and no Partner shall have any right (implied or otherwise) to be paid any amount hereunder except as expressly provided for herein. The parties hereto acknowledge that the Partnership, without any further act or approval of any Partner, may enter into side letters or other writings with EPI Limited Partners or Special Limited Partners (including without limitation the Participation Agreement, any Terms Letter and any agreement regarding the termination of a Partner’s employment or consultancy) which have the effect of establishing rights under, or altering or supplementing, the terms of, this Agreement. The parties hereto agree that any rights established, or any terms of the Agreement altered or supplemented, in such a side letter or other writing entered into by the Partnership with a Partner shall govern with respect to such Partner notwithstanding any other provision of this Agreement.</w:t>
      </w:r>
    </w:p>
    <w:p>
      <w:pPr>
        <w:spacing w:after="0" w:line="162"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10.7</w:t>
      </w:r>
      <w:r>
        <w:rPr>
          <w:sz w:val="20"/>
          <w:szCs w:val="20"/>
          <w:color w:val="auto"/>
        </w:rPr>
        <w:tab/>
      </w:r>
      <w:r>
        <w:rPr>
          <w:rFonts w:ascii="Arial" w:cs="Arial" w:eastAsia="Arial" w:hAnsi="Arial"/>
          <w:sz w:val="19"/>
          <w:szCs w:val="19"/>
          <w:u w:val="single" w:color="auto"/>
          <w:color w:val="auto"/>
        </w:rPr>
        <w:t>Amendments; Power of Attorney.</w:t>
      </w:r>
    </w:p>
    <w:p>
      <w:pPr>
        <w:spacing w:after="0" w:line="218" w:lineRule="exact"/>
        <w:rPr>
          <w:sz w:val="20"/>
          <w:szCs w:val="20"/>
          <w:color w:val="auto"/>
        </w:rPr>
      </w:pPr>
    </w:p>
    <w:p>
      <w:pPr>
        <w:jc w:val="both"/>
        <w:ind w:firstLine="1305"/>
        <w:spacing w:after="0" w:line="246" w:lineRule="auto"/>
        <w:tabs>
          <w:tab w:leader="none" w:pos="1823"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This Agreement may be amended or modified with the consent by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amendment shall (i) increase any Partner’s relative share of capital contributions, reduce its share of the Partnership’s distributions, income and gains, or increase its share of the Partnership’s losses without the written consent of each Partner so affected (for the avoidance of doubt, adjustments made pursuant to this Agreement, including adjustments in Profit Sharing Percentages, Capital Commitments and capital interests in the Partnership effected in accordance with the provisions of this Agreement, shall not be deemed to be amendments or modifications of this Agreement for this purpose), or (ii) amend this Section 10.7 without the consent of each Partner.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3" w:name="page154"/>
    <w:bookmarkEnd w:id="153"/>
    <w:p>
      <w:pPr>
        <w:jc w:val="both"/>
        <w:ind w:firstLine="1305"/>
        <w:spacing w:after="0" w:line="294" w:lineRule="auto"/>
        <w:tabs>
          <w:tab w:leader="none" w:pos="1811"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Limited Partner hereby grants to each General Partner an irrevocable power of attorney to consent to any amendment or modification of this Agreement duly adopted pursuant to Section 10.7(a) and to execute any instrument, certificate or writing evidencing the taking of any action which has been approved in accordance with the provisions of this Agreement.</w:t>
      </w:r>
    </w:p>
    <w:p>
      <w:pPr>
        <w:spacing w:after="0" w:line="142" w:lineRule="exact"/>
        <w:rPr>
          <w:rFonts w:ascii="Arial" w:cs="Arial" w:eastAsia="Arial" w:hAnsi="Arial"/>
          <w:sz w:val="19"/>
          <w:szCs w:val="19"/>
          <w:color w:val="auto"/>
        </w:rPr>
      </w:pPr>
    </w:p>
    <w:p>
      <w:pPr>
        <w:jc w:val="both"/>
        <w:ind w:firstLine="1305"/>
        <w:spacing w:after="0" w:line="258" w:lineRule="auto"/>
        <w:tabs>
          <w:tab w:leader="none" w:pos="1936"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General Partner may unilaterally amend this Agreement on or before the effective date of the final regulations, as determined by the General Partner in its sole discretion, to (i) authorize and direct the election of a safe harbor under Treasury Regulations Section 1.83-3(l) (or any similar provision) under which the fair market value of a partnership interest that is transferred in connection with the performance of services is treated as being equal to the liquidation value of that interest, (ii) provide for an agreement by the Partnership and each of its Partners to comply with all of the requirements set forth in such regulations and Notice 2005-43 (and any other guidance provided by the IRS with respect to such election) with respect to all partnership interests transferred in connection with the performance of services while the election remains effective, (iii) provide for the allocation of items of income, gains, deductions and losses required by the final regulations similar to Treasury Regulations Section 1.704-1(b)(4)(xii)(b) and (c), and (iv) provide for any other related amendments.</w:t>
      </w:r>
    </w:p>
    <w:p>
      <w:pPr>
        <w:spacing w:after="0" w:line="179"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10.8</w:t>
      </w:r>
      <w:r>
        <w:rPr>
          <w:sz w:val="20"/>
          <w:szCs w:val="20"/>
          <w:color w:val="auto"/>
        </w:rPr>
        <w:tab/>
      </w:r>
      <w:r>
        <w:rPr>
          <w:rFonts w:ascii="Arial" w:cs="Arial" w:eastAsia="Arial" w:hAnsi="Arial"/>
          <w:sz w:val="18"/>
          <w:szCs w:val="18"/>
          <w:u w:val="single" w:color="auto"/>
          <w:color w:val="auto"/>
        </w:rPr>
        <w:t>Headings.</w:t>
      </w:r>
    </w:p>
    <w:p>
      <w:pPr>
        <w:spacing w:after="0" w:line="218" w:lineRule="exact"/>
        <w:rPr>
          <w:sz w:val="20"/>
          <w:szCs w:val="20"/>
          <w:color w:val="auto"/>
        </w:rPr>
      </w:pPr>
    </w:p>
    <w:p>
      <w:pPr>
        <w:ind w:firstLine="1297"/>
        <w:spacing w:after="0" w:line="268" w:lineRule="auto"/>
        <w:rPr>
          <w:sz w:val="20"/>
          <w:szCs w:val="20"/>
          <w:color w:val="auto"/>
        </w:rPr>
      </w:pPr>
      <w:r>
        <w:rPr>
          <w:rFonts w:ascii="Arial" w:cs="Arial" w:eastAsia="Arial" w:hAnsi="Arial"/>
          <w:sz w:val="21"/>
          <w:szCs w:val="21"/>
          <w:color w:val="auto"/>
        </w:rPr>
        <w:t>The table of contents and headings contained in this Agreement or in any annex are for convenience of reference purposes only and shall not affect in any way the meaning or interpretation of this Agreement.</w:t>
      </w:r>
    </w:p>
    <w:p>
      <w:pPr>
        <w:spacing w:after="0" w:line="163"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1"/>
          <w:szCs w:val="21"/>
          <w:u w:val="single" w:color="auto"/>
          <w:color w:val="auto"/>
        </w:rPr>
        <w:t>SECTION 10.9</w:t>
      </w:r>
      <w:r>
        <w:rPr>
          <w:sz w:val="20"/>
          <w:szCs w:val="20"/>
          <w:color w:val="auto"/>
        </w:rPr>
        <w:tab/>
      </w:r>
      <w:r>
        <w:rPr>
          <w:rFonts w:ascii="Arial" w:cs="Arial" w:eastAsia="Arial" w:hAnsi="Arial"/>
          <w:sz w:val="18"/>
          <w:szCs w:val="18"/>
          <w:u w:val="single" w:color="auto"/>
          <w:color w:val="auto"/>
        </w:rPr>
        <w:t>Representations and Warranties.</w:t>
      </w:r>
    </w:p>
    <w:p>
      <w:pPr>
        <w:spacing w:after="0" w:line="218" w:lineRule="exact"/>
        <w:rPr>
          <w:sz w:val="20"/>
          <w:szCs w:val="20"/>
          <w:color w:val="auto"/>
        </w:rPr>
      </w:pPr>
    </w:p>
    <w:p>
      <w:pPr>
        <w:jc w:val="both"/>
        <w:ind w:firstLine="1305"/>
        <w:spacing w:after="0" w:line="250" w:lineRule="auto"/>
        <w:tabs>
          <w:tab w:leader="none" w:pos="18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Each Partner which is not a natural person represents, warrants and covenants to the other Partners that such Partner is duly formed and validly existing under the laws of the jurisdiction of its organization with full power and authority to perform its obligations hereunder and that the execution, delivery and performance of this Agreement has been duly authorized by such Partner.</w:t>
      </w:r>
    </w:p>
    <w:p>
      <w:pPr>
        <w:spacing w:after="0" w:line="182" w:lineRule="exact"/>
        <w:rPr>
          <w:rFonts w:ascii="Arial" w:cs="Arial" w:eastAsia="Arial" w:hAnsi="Arial"/>
          <w:sz w:val="21"/>
          <w:szCs w:val="21"/>
          <w:color w:val="auto"/>
        </w:rPr>
      </w:pPr>
    </w:p>
    <w:p>
      <w:pPr>
        <w:ind w:right="20" w:firstLine="1305"/>
        <w:spacing w:after="0" w:line="268" w:lineRule="auto"/>
        <w:tabs>
          <w:tab w:leader="none" w:pos="1814" w:val="left"/>
        </w:tabs>
        <w:numPr>
          <w:ilvl w:val="0"/>
          <w:numId w:val="83"/>
        </w:numPr>
        <w:rPr>
          <w:rFonts w:ascii="Arial" w:cs="Arial" w:eastAsia="Arial" w:hAnsi="Arial"/>
          <w:sz w:val="21"/>
          <w:szCs w:val="21"/>
          <w:color w:val="auto"/>
        </w:rPr>
      </w:pPr>
      <w:r>
        <w:rPr>
          <w:rFonts w:ascii="Arial" w:cs="Arial" w:eastAsia="Arial" w:hAnsi="Arial"/>
          <w:sz w:val="21"/>
          <w:szCs w:val="21"/>
          <w:color w:val="auto"/>
        </w:rPr>
        <w:t>Each Partner who is a natural person represents, warrants and covenants to the other Partners that such Partner has the legal capacity to enter into this Agreement and perform such Partner’s obligations hereunder.</w:t>
      </w:r>
    </w:p>
    <w:p>
      <w:pPr>
        <w:spacing w:after="0" w:line="162" w:lineRule="exact"/>
        <w:rPr>
          <w:rFonts w:ascii="Arial" w:cs="Arial" w:eastAsia="Arial" w:hAnsi="Arial"/>
          <w:sz w:val="21"/>
          <w:szCs w:val="21"/>
          <w:color w:val="auto"/>
        </w:rPr>
      </w:pPr>
    </w:p>
    <w:p>
      <w:pPr>
        <w:ind w:left="1760" w:hanging="455"/>
        <w:spacing w:after="0"/>
        <w:tabs>
          <w:tab w:leader="none" w:pos="17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Each Partner represents, warrants and covenants to the other Partners that:</w:t>
      </w:r>
    </w:p>
    <w:p>
      <w:pPr>
        <w:spacing w:after="0" w:line="217" w:lineRule="exact"/>
        <w:rPr>
          <w:rFonts w:ascii="Arial" w:cs="Arial" w:eastAsia="Arial" w:hAnsi="Arial"/>
          <w:sz w:val="21"/>
          <w:szCs w:val="21"/>
          <w:color w:val="auto"/>
        </w:rPr>
      </w:pPr>
    </w:p>
    <w:p>
      <w:pPr>
        <w:jc w:val="both"/>
        <w:ind w:firstLine="1953"/>
        <w:spacing w:after="0" w:line="250" w:lineRule="auto"/>
        <w:tabs>
          <w:tab w:leader="none" w:pos="2372"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this Agreement has been duly executed and delivered by such Partner and constitutes the valid and legally binding agreement of such Partner enforceable in accordance with its terms against such Partner subject to the effect of bankruptcy, insolvency, moratorium and other similar laws relating to creditors’ rights generally, by general equitable principles and by an implied covenant of good faith and fair dealing;</w:t>
      </w:r>
    </w:p>
    <w:p>
      <w:pPr>
        <w:spacing w:after="0" w:line="182" w:lineRule="exact"/>
        <w:rPr>
          <w:rFonts w:ascii="Arial" w:cs="Arial" w:eastAsia="Arial" w:hAnsi="Arial"/>
          <w:sz w:val="21"/>
          <w:szCs w:val="21"/>
          <w:color w:val="auto"/>
        </w:rPr>
      </w:pPr>
    </w:p>
    <w:p>
      <w:pPr>
        <w:jc w:val="both"/>
        <w:ind w:firstLine="1953"/>
        <w:spacing w:after="0" w:line="254" w:lineRule="auto"/>
        <w:tabs>
          <w:tab w:leader="none" w:pos="2539"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execution and delivery of this Agreement by such Partner and the performance of its duties and obligations hereunder do not result in a breach of any of the terms, conditions or provisions of, or constitute a default under, any indenture, mortgage, deed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4" w:name="page155"/>
    <w:bookmarkEnd w:id="154"/>
    <w:p>
      <w:pPr>
        <w:jc w:val="both"/>
        <w:spacing w:after="0" w:line="285" w:lineRule="auto"/>
        <w:rPr>
          <w:sz w:val="20"/>
          <w:szCs w:val="20"/>
          <w:color w:val="auto"/>
        </w:rPr>
      </w:pPr>
      <w:r>
        <w:rPr>
          <w:rFonts w:ascii="Arial" w:cs="Arial" w:eastAsia="Arial" w:hAnsi="Arial"/>
          <w:sz w:val="19"/>
          <w:szCs w:val="19"/>
          <w:color w:val="auto"/>
        </w:rPr>
        <w:t>trust, credit agreement, note or other evidence of indebtedness, or any lease or other agreement, or any license, permit, franchise or certificate, to which such Partner or any Affiliate is a party or by which it or any Affiliate is bound or to which its or any Affiliate’s properties are subject, or require any authorization or approval under or pursuant to any of the foregoing which has not been obtained, or violate any statute, regulation, law, order, writ, injunction, judgment or decree to which such Partner or any Affiliate is subject;</w:t>
      </w:r>
    </w:p>
    <w:p>
      <w:pPr>
        <w:spacing w:after="0" w:line="151" w:lineRule="exact"/>
        <w:rPr>
          <w:sz w:val="20"/>
          <w:szCs w:val="20"/>
          <w:color w:val="auto"/>
        </w:rPr>
      </w:pPr>
    </w:p>
    <w:p>
      <w:pPr>
        <w:jc w:val="both"/>
        <w:ind w:firstLine="1953"/>
        <w:spacing w:after="0" w:line="261" w:lineRule="auto"/>
        <w:tabs>
          <w:tab w:leader="none" w:pos="2473" w:val="left"/>
        </w:tabs>
        <w:numPr>
          <w:ilvl w:val="0"/>
          <w:numId w:val="84"/>
        </w:numPr>
        <w:rPr>
          <w:rFonts w:ascii="Arial" w:cs="Arial" w:eastAsia="Arial" w:hAnsi="Arial"/>
          <w:sz w:val="20"/>
          <w:szCs w:val="20"/>
          <w:color w:val="auto"/>
        </w:rPr>
      </w:pPr>
      <w:r>
        <w:rPr>
          <w:rFonts w:ascii="Arial" w:cs="Arial" w:eastAsia="Arial" w:hAnsi="Arial"/>
          <w:sz w:val="20"/>
          <w:szCs w:val="20"/>
          <w:color w:val="auto"/>
        </w:rPr>
        <w:t>such Partner is not in default (nor has any event occurred which with notice, lapse of time, or both, would constitute a default) in the performance of any obligation, agreement or condition contained in any indenture, mortgage, deed of trust, credit agreement, note or other evidence of indebtedness or any lease or other agreement, or any license, permit, franchise or certificate, to which it is a party or by which it is bound or to which the properties of it are subject, nor is it in violation of any statute, regulation, law, order, writ, injunction, judgment or decree to which it is subject, which default or violation would materially adversely affect such Partner’s ability to carry out its obligations under this Agreement;</w:t>
      </w:r>
    </w:p>
    <w:p>
      <w:pPr>
        <w:spacing w:after="0" w:line="174" w:lineRule="exact"/>
        <w:rPr>
          <w:rFonts w:ascii="Arial" w:cs="Arial" w:eastAsia="Arial" w:hAnsi="Arial"/>
          <w:sz w:val="20"/>
          <w:szCs w:val="20"/>
          <w:color w:val="auto"/>
        </w:rPr>
      </w:pPr>
    </w:p>
    <w:p>
      <w:pPr>
        <w:jc w:val="both"/>
        <w:ind w:firstLine="1953"/>
        <w:spacing w:after="0" w:line="250" w:lineRule="auto"/>
        <w:tabs>
          <w:tab w:leader="none" w:pos="2555"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there is no litigation, investigation or other proceeding pending or, to the knowledge of such Partner, threatened against such Partner or any of its Affiliates as to which there is a reasonable possibility of an adverse determination and which, if adversely determined, would materially adversely affect such Partner’s ability to carry out its obligations under this Agreement;</w:t>
      </w:r>
    </w:p>
    <w:p>
      <w:pPr>
        <w:spacing w:after="0" w:line="182" w:lineRule="exact"/>
        <w:rPr>
          <w:rFonts w:ascii="Arial" w:cs="Arial" w:eastAsia="Arial" w:hAnsi="Arial"/>
          <w:sz w:val="21"/>
          <w:szCs w:val="21"/>
          <w:color w:val="auto"/>
        </w:rPr>
      </w:pPr>
    </w:p>
    <w:p>
      <w:pPr>
        <w:jc w:val="both"/>
        <w:ind w:firstLine="1953"/>
        <w:spacing w:after="0" w:line="250" w:lineRule="auto"/>
        <w:tabs>
          <w:tab w:leader="none" w:pos="2592"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 consent, approval or authorization of, or filing, registration or qualification with, any court or governmental authority on the part of such Partner is required for the execution and delivery of this Agreement by such Partner, and, except as may be required under applicable securities and commodities laws in connection with the registration of the Partnership or such Partner, the performance of its obligations and duties hereunder;</w:t>
      </w:r>
    </w:p>
    <w:p>
      <w:pPr>
        <w:spacing w:after="0" w:line="182" w:lineRule="exact"/>
        <w:rPr>
          <w:rFonts w:ascii="Arial" w:cs="Arial" w:eastAsia="Arial" w:hAnsi="Arial"/>
          <w:sz w:val="21"/>
          <w:szCs w:val="21"/>
          <w:color w:val="auto"/>
        </w:rPr>
      </w:pPr>
    </w:p>
    <w:p>
      <w:pPr>
        <w:ind w:firstLine="1953"/>
        <w:spacing w:after="0" w:line="268" w:lineRule="auto"/>
        <w:tabs>
          <w:tab w:leader="none" w:pos="2550" w:val="left"/>
        </w:tabs>
        <w:numPr>
          <w:ilvl w:val="0"/>
          <w:numId w:val="84"/>
        </w:numPr>
        <w:rPr>
          <w:rFonts w:ascii="Arial" w:cs="Arial" w:eastAsia="Arial" w:hAnsi="Arial"/>
          <w:sz w:val="21"/>
          <w:szCs w:val="21"/>
          <w:color w:val="auto"/>
        </w:rPr>
      </w:pPr>
      <w:r>
        <w:rPr>
          <w:rFonts w:ascii="Arial" w:cs="Arial" w:eastAsia="Arial" w:hAnsi="Arial"/>
          <w:sz w:val="21"/>
          <w:szCs w:val="21"/>
          <w:color w:val="auto"/>
        </w:rPr>
        <w:t>such Partner is acquiring its interest in the Partnership for such Partner’s own account for investment purposes only and not with a view to resale or distribution;</w:t>
      </w:r>
    </w:p>
    <w:p>
      <w:pPr>
        <w:spacing w:after="0" w:line="162" w:lineRule="exact"/>
        <w:rPr>
          <w:rFonts w:ascii="Arial" w:cs="Arial" w:eastAsia="Arial" w:hAnsi="Arial"/>
          <w:sz w:val="21"/>
          <w:szCs w:val="21"/>
          <w:color w:val="auto"/>
        </w:rPr>
      </w:pPr>
    </w:p>
    <w:p>
      <w:pPr>
        <w:jc w:val="both"/>
        <w:ind w:firstLine="1953"/>
        <w:spacing w:after="0" w:line="254" w:lineRule="auto"/>
        <w:tabs>
          <w:tab w:leader="none" w:pos="2676" w:val="left"/>
        </w:tabs>
        <w:numPr>
          <w:ilvl w:val="0"/>
          <w:numId w:val="84"/>
        </w:numPr>
        <w:rPr>
          <w:rFonts w:ascii="Arial" w:cs="Arial" w:eastAsia="Arial" w:hAnsi="Arial"/>
          <w:sz w:val="21"/>
          <w:szCs w:val="21"/>
          <w:color w:val="auto"/>
        </w:rPr>
      </w:pPr>
      <w:r>
        <w:rPr>
          <w:rFonts w:ascii="Arial" w:cs="Arial" w:eastAsia="Arial" w:hAnsi="Arial"/>
          <w:sz w:val="21"/>
          <w:szCs w:val="21"/>
          <w:color w:val="auto"/>
        </w:rPr>
        <w:t>such Partner understands that such interests in the Partnership have not been registered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laws of any state thereof or the securities laws of any other jurisdiction, nor is such registration contemplated;</w:t>
      </w:r>
    </w:p>
    <w:p>
      <w:pPr>
        <w:spacing w:after="0" w:line="178" w:lineRule="exact"/>
        <w:rPr>
          <w:rFonts w:ascii="Arial" w:cs="Arial" w:eastAsia="Arial" w:hAnsi="Arial"/>
          <w:sz w:val="21"/>
          <w:szCs w:val="21"/>
          <w:color w:val="auto"/>
        </w:rPr>
      </w:pPr>
    </w:p>
    <w:p>
      <w:pPr>
        <w:jc w:val="both"/>
        <w:ind w:firstLine="1953"/>
        <w:spacing w:after="0" w:line="245" w:lineRule="auto"/>
        <w:tabs>
          <w:tab w:leader="none" w:pos="2792" w:val="left"/>
        </w:tabs>
        <w:numPr>
          <w:ilvl w:val="0"/>
          <w:numId w:val="84"/>
        </w:numPr>
        <w:rPr>
          <w:rFonts w:ascii="Arial" w:cs="Arial" w:eastAsia="Arial" w:hAnsi="Arial"/>
          <w:sz w:val="21"/>
          <w:szCs w:val="21"/>
          <w:color w:val="auto"/>
        </w:rPr>
      </w:pPr>
      <w:r>
        <w:rPr>
          <w:rFonts w:ascii="Arial" w:cs="Arial" w:eastAsia="Arial" w:hAnsi="Arial"/>
          <w:sz w:val="21"/>
          <w:szCs w:val="21"/>
          <w:color w:val="auto"/>
        </w:rPr>
        <w:t>such Partner understands and agrees further that, subject to the limited rights set forth in this Agreement, its interest in the Partnership must be held indefinitely unless such interest is subsequently registered under the Securities Act, the securities laws of any state and the securities laws of any other jurisdiction or an exemption from registration under the Securities Act and these laws covering the sale of such interests is available; that even if such an exemption is available, the assignability and transferability of its interests in the Partnership will be governed by this Agreement, which imposes substantial restrictions on transfer; that legends stating that its interests in the Partnership have not been registered under the Securities Act and these laws and setting out or referring to the restrictions on the transferability and resale of the Interests will be placed on all documents evidencing such Interests,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5" w:name="page156"/>
    <w:bookmarkEnd w:id="155"/>
    <w:p>
      <w:pPr>
        <w:jc w:val="both"/>
        <w:ind w:firstLine="1953"/>
        <w:spacing w:after="0" w:line="294" w:lineRule="auto"/>
        <w:tabs>
          <w:tab w:leader="none" w:pos="2537" w:val="left"/>
        </w:tabs>
        <w:numPr>
          <w:ilvl w:val="1"/>
          <w:numId w:val="85"/>
        </w:numPr>
        <w:rPr>
          <w:rFonts w:ascii="Arial" w:cs="Arial" w:eastAsia="Arial" w:hAnsi="Arial"/>
          <w:sz w:val="19"/>
          <w:szCs w:val="19"/>
          <w:color w:val="auto"/>
        </w:rPr>
      </w:pPr>
      <w:r>
        <w:rPr>
          <w:rFonts w:ascii="Arial" w:cs="Arial" w:eastAsia="Arial" w:hAnsi="Arial"/>
          <w:sz w:val="19"/>
          <w:szCs w:val="19"/>
          <w:color w:val="auto"/>
        </w:rPr>
        <w:t>such Partner has such knowledge and experience in financial and business matters as to be capable of evaluating the merits and risks of an investment in interests in the Partnership, is able to bear the risk of loss of an investment in such interests and understands the risks of, and other considerations relating to, a purchase of interests in the Partnership;</w:t>
      </w:r>
    </w:p>
    <w:p>
      <w:pPr>
        <w:spacing w:after="0" w:line="142" w:lineRule="exact"/>
        <w:rPr>
          <w:rFonts w:ascii="Arial" w:cs="Arial" w:eastAsia="Arial" w:hAnsi="Arial"/>
          <w:sz w:val="19"/>
          <w:szCs w:val="19"/>
          <w:color w:val="auto"/>
        </w:rPr>
      </w:pPr>
    </w:p>
    <w:p>
      <w:pPr>
        <w:jc w:val="both"/>
        <w:ind w:firstLine="1953"/>
        <w:spacing w:after="0" w:line="254" w:lineRule="auto"/>
        <w:tabs>
          <w:tab w:leader="none" w:pos="2578" w:val="left"/>
        </w:tabs>
        <w:numPr>
          <w:ilvl w:val="1"/>
          <w:numId w:val="85"/>
        </w:numPr>
        <w:rPr>
          <w:rFonts w:ascii="Arial" w:cs="Arial" w:eastAsia="Arial" w:hAnsi="Arial"/>
          <w:sz w:val="21"/>
          <w:szCs w:val="21"/>
          <w:color w:val="auto"/>
        </w:rPr>
      </w:pPr>
      <w:r>
        <w:rPr>
          <w:rFonts w:ascii="Arial" w:cs="Arial" w:eastAsia="Arial" w:hAnsi="Arial"/>
          <w:sz w:val="21"/>
          <w:szCs w:val="21"/>
          <w:color w:val="auto"/>
        </w:rPr>
        <w:t>such Partner’s overall commitment to the Partnership and other investments which are not readily marketable is not disproportionate to such Partner’s net worth and such Partner has no need for immediate liquidity in such Partner’s investment in its interests in the Partnership; and</w:t>
      </w:r>
    </w:p>
    <w:p>
      <w:pPr>
        <w:spacing w:after="0" w:line="178" w:lineRule="exact"/>
        <w:rPr>
          <w:rFonts w:ascii="Arial" w:cs="Arial" w:eastAsia="Arial" w:hAnsi="Arial"/>
          <w:sz w:val="21"/>
          <w:szCs w:val="21"/>
          <w:color w:val="auto"/>
        </w:rPr>
      </w:pPr>
    </w:p>
    <w:p>
      <w:pPr>
        <w:jc w:val="both"/>
        <w:ind w:firstLine="1953"/>
        <w:spacing w:after="0" w:line="260" w:lineRule="auto"/>
        <w:tabs>
          <w:tab w:leader="none" w:pos="2502" w:val="left"/>
        </w:tabs>
        <w:numPr>
          <w:ilvl w:val="1"/>
          <w:numId w:val="85"/>
        </w:numPr>
        <w:rPr>
          <w:rFonts w:ascii="Arial" w:cs="Arial" w:eastAsia="Arial" w:hAnsi="Arial"/>
          <w:sz w:val="20"/>
          <w:szCs w:val="20"/>
          <w:color w:val="auto"/>
        </w:rPr>
      </w:pPr>
      <w:r>
        <w:rPr>
          <w:rFonts w:ascii="Arial" w:cs="Arial" w:eastAsia="Arial" w:hAnsi="Arial"/>
          <w:sz w:val="20"/>
          <w:szCs w:val="20"/>
          <w:color w:val="auto"/>
        </w:rPr>
        <w:t>such Partner has carefully read this Agreement and, to the full satisfaction of such Partner, such Partner has been furnished any materials such Partner has requested relating to the Partnership and the Fund and the offering of interests in the Partnership, has consulted to the extent deemed appropriate by such Partner with such Partner’s own advisors as to the financial, tax, legal and related matters concerning an investment in the Partnership and such Partner has been afforded the opportunity to ask questions of representatives of the Partnership concerning the terms and conditions of the offering and to obtain any additional information necessary to verify the accuracy of any representations or information provided to such Partner and to make an informed investment decision with respect to an investment in the Partnership.</w:t>
      </w:r>
    </w:p>
    <w:p>
      <w:pPr>
        <w:spacing w:after="0" w:line="173" w:lineRule="exact"/>
        <w:rPr>
          <w:rFonts w:ascii="Arial" w:cs="Arial" w:eastAsia="Arial" w:hAnsi="Arial"/>
          <w:sz w:val="20"/>
          <w:szCs w:val="20"/>
          <w:color w:val="auto"/>
        </w:rPr>
      </w:pPr>
    </w:p>
    <w:p>
      <w:pPr>
        <w:jc w:val="both"/>
        <w:ind w:firstLine="1305"/>
        <w:spacing w:after="0" w:line="267" w:lineRule="auto"/>
        <w:tabs>
          <w:tab w:leader="none" w:pos="1763" w:val="left"/>
        </w:tabs>
        <w:numPr>
          <w:ilvl w:val="0"/>
          <w:numId w:val="86"/>
        </w:numPr>
        <w:rPr>
          <w:rFonts w:ascii="Arial" w:cs="Arial" w:eastAsia="Arial" w:hAnsi="Arial"/>
          <w:sz w:val="20"/>
          <w:szCs w:val="20"/>
          <w:color w:val="auto"/>
        </w:rPr>
      </w:pPr>
      <w:r>
        <w:rPr>
          <w:rFonts w:ascii="Arial" w:cs="Arial" w:eastAsia="Arial" w:hAnsi="Arial"/>
          <w:sz w:val="20"/>
          <w:szCs w:val="20"/>
          <w:color w:val="auto"/>
        </w:rPr>
        <w:t>All of the representations, warranties and covenants made under this Section 10.9 shall be deemed to be made on a continuing basis during the term of the Partnership and shall survive the execution and delivery of this Agreement and the consummation of the transactions contemplated hereby. Each Partner agrees to notify the Investment Committee promptly upon becoming aware of a breach in any of his or her representations, warranties and covenants hereunder.</w:t>
      </w:r>
    </w:p>
    <w:p>
      <w:pPr>
        <w:spacing w:after="0" w:line="165"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10.10</w:t>
      </w:r>
      <w:r>
        <w:rPr>
          <w:sz w:val="20"/>
          <w:szCs w:val="20"/>
          <w:color w:val="auto"/>
        </w:rPr>
        <w:tab/>
      </w:r>
      <w:r>
        <w:rPr>
          <w:rFonts w:ascii="Arial" w:cs="Arial" w:eastAsia="Arial" w:hAnsi="Arial"/>
          <w:sz w:val="19"/>
          <w:szCs w:val="19"/>
          <w:u w:val="single" w:color="auto"/>
          <w:color w:val="auto"/>
        </w:rPr>
        <w:t>Division of Property.</w:t>
      </w:r>
    </w:p>
    <w:p>
      <w:pPr>
        <w:spacing w:after="0" w:line="21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In the event of a property settlement or separation agreement between a Partner and his or her spouse, such Partner agrees that he or she shall use his or her reasonable efforts to retain all of his or her Interest in the Partnership and shall reimburse his or her spouse for any Interest he or she may have in the Partnership out of funds, assets or proceeds separate and distinct from his or her interest in the Partnership. To the extent that such Partner is unable, despite his or her exercise of reasonable efforts, to retain all of his or her Interest in the Partnership, such Partner shall use reasonable efforts to assign to his or her spouse only the right to share in profits and losses, to receive distribution or distributions, and to receive allocation of income, gain, loss, deduction or credit or similar item to which the assigning Partner was entitled, to the extent assigned, with the assigning Partner remaining entitled to exercise all rights and powers of a Partner hereunder. Notwithstanding the foregoing, if a spouse or former spouse of a Partner acquires an Interest in the Partnership as a Partner as a result of any such proposed settlement or separation agreement, such spouse or former spouse shall be entitled only to allocation and distributions with respect to his or her Interest and shall have no right to information concerning the affairs of the Partnership and shall not have any other rights of a Partner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6" w:name="page157"/>
    <w:bookmarkEnd w:id="156"/>
    <w:p>
      <w:pPr>
        <w:ind w:left="1300"/>
        <w:spacing w:after="0"/>
        <w:tabs>
          <w:tab w:leader="none" w:pos="2900" w:val="left"/>
        </w:tabs>
        <w:rPr>
          <w:sz w:val="20"/>
          <w:szCs w:val="20"/>
          <w:color w:val="auto"/>
        </w:rPr>
      </w:pPr>
      <w:r>
        <w:rPr>
          <w:rFonts w:ascii="Arial" w:cs="Arial" w:eastAsia="Arial" w:hAnsi="Arial"/>
          <w:sz w:val="21"/>
          <w:szCs w:val="21"/>
          <w:u w:val="single" w:color="auto"/>
          <w:color w:val="auto"/>
        </w:rPr>
        <w:t>SECTION 10.11</w:t>
      </w:r>
      <w:r>
        <w:rPr>
          <w:sz w:val="20"/>
          <w:szCs w:val="20"/>
          <w:color w:val="auto"/>
        </w:rPr>
        <w:tab/>
      </w:r>
      <w:r>
        <w:rPr>
          <w:rFonts w:ascii="Arial" w:cs="Arial" w:eastAsia="Arial" w:hAnsi="Arial"/>
          <w:sz w:val="18"/>
          <w:szCs w:val="18"/>
          <w:u w:val="single" w:color="auto"/>
          <w:color w:val="auto"/>
        </w:rPr>
        <w:t>Other Covenants of the Partners.</w:t>
      </w:r>
    </w:p>
    <w:p>
      <w:pPr>
        <w:spacing w:after="0" w:line="218" w:lineRule="exact"/>
        <w:rPr>
          <w:sz w:val="20"/>
          <w:szCs w:val="20"/>
          <w:color w:val="auto"/>
        </w:rPr>
      </w:pPr>
    </w:p>
    <w:p>
      <w:pPr>
        <w:jc w:val="both"/>
        <w:ind w:firstLine="1305"/>
        <w:spacing w:after="0" w:line="250" w:lineRule="auto"/>
        <w:tabs>
          <w:tab w:leader="none" w:pos="1743"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 consideration for being admitted as a Partner hereunder, each EPI Limited Partner hereby acknowledges that (i) he or she is bound by the provisions set forth in such Partner’s agreements with EPI, the Investment Advisor, the Investment Manager or any of their Affiliates regarding post-employment covenants and (ii) a breach of his or her obligations thereunder or under this Section 10.11 shall constitute an event of Cause.</w:t>
      </w:r>
    </w:p>
    <w:p>
      <w:pPr>
        <w:spacing w:after="0" w:line="182" w:lineRule="exact"/>
        <w:rPr>
          <w:rFonts w:ascii="Arial" w:cs="Arial" w:eastAsia="Arial" w:hAnsi="Arial"/>
          <w:sz w:val="21"/>
          <w:szCs w:val="21"/>
          <w:color w:val="auto"/>
        </w:rPr>
      </w:pPr>
    </w:p>
    <w:p>
      <w:pPr>
        <w:jc w:val="both"/>
        <w:ind w:firstLine="1305"/>
        <w:spacing w:after="0" w:line="257" w:lineRule="auto"/>
        <w:tabs>
          <w:tab w:leader="none" w:pos="1811"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the event that any EPI Limited Partner’s employment or, in the case of an Operating Executive, consultancy with EPI, the Investment Advisor, the Investment Manager or any of their Affiliates is terminated for any reason, except as required by law or legal process, the Partnership and such Partner agree to refrain from making any comments or statements in the media or to the press or to any individual or entity with whom EPI, the Investment Advisor, the Investment Manager or any of their respective Affiliates has a business relationship or others, which could be likely to adversely affect (i) such Partner’s future employment or such Partner’s personal or professional reputation, in the case of comments or statements by the Partnership, or (ii) the conduct of the business of the Partnership or any of its Affiliates, or any of their plans or prospects, or the business reputation of the Partnership or any of its Affiliates, or any of their respective employees, in the case of comments or statements by such Partner. For purposes of this Section 10.11(b), no comment or statement shall be deemed to be a comment or statement of the Partnership unless it is an official comment or statement of the Partnership or a comment or statement by any then EPI Limited Partner. The General Partner shall use its reasonable best efforts to cause all personnel of the Partnership and its Affiliates to comply with the provisions of this Section 10.11(b).</w:t>
      </w:r>
    </w:p>
    <w:p>
      <w:pPr>
        <w:spacing w:after="0" w:line="177" w:lineRule="exact"/>
        <w:rPr>
          <w:rFonts w:ascii="Arial" w:cs="Arial" w:eastAsia="Arial" w:hAnsi="Arial"/>
          <w:sz w:val="20"/>
          <w:szCs w:val="20"/>
          <w:color w:val="auto"/>
        </w:rPr>
      </w:pPr>
    </w:p>
    <w:p>
      <w:pPr>
        <w:jc w:val="both"/>
        <w:ind w:firstLine="1305"/>
        <w:spacing w:after="0" w:line="254" w:lineRule="auto"/>
        <w:tabs>
          <w:tab w:leader="none" w:pos="1787"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Each EPI Limited Partner acknowledges that a breach of his or her obligations under this Section 10.11 (for the avoidance of doubt, determined without giving effect to any modification pursuant to Section 10.12) shall constitute an event of Cause with the consequences specified pursuant to Section 4.4.</w:t>
      </w:r>
    </w:p>
    <w:p>
      <w:pPr>
        <w:spacing w:after="0" w:line="179"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10.12</w:t>
      </w:r>
      <w:r>
        <w:rPr>
          <w:sz w:val="20"/>
          <w:szCs w:val="20"/>
          <w:color w:val="auto"/>
        </w:rPr>
        <w:tab/>
      </w:r>
      <w:r>
        <w:rPr>
          <w:rFonts w:ascii="Arial" w:cs="Arial" w:eastAsia="Arial" w:hAnsi="Arial"/>
          <w:sz w:val="19"/>
          <w:szCs w:val="19"/>
          <w:u w:val="single" w:color="auto"/>
          <w:color w:val="auto"/>
        </w:rPr>
        <w:t>Severability.</w:t>
      </w:r>
    </w:p>
    <w:p>
      <w:pPr>
        <w:spacing w:after="0" w:line="21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In the event that any provision of this Agreement, including the post-employment covenants set forth in Sections 10.3 and 10.11 hereof and in each of the Partner’s respective Terms Letters,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Instead, in such an event, the remainder of this Agreement shall be construed as if not containing the particular invalid or unenforceable provision or provisions, and the rights and obligations of the parties shall be enforced accordingly; and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75"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10.13</w:t>
      </w:r>
      <w:r>
        <w:rPr>
          <w:sz w:val="20"/>
          <w:szCs w:val="20"/>
          <w:color w:val="auto"/>
        </w:rPr>
        <w:tab/>
      </w:r>
      <w:r>
        <w:rPr>
          <w:rFonts w:ascii="Arial" w:cs="Arial" w:eastAsia="Arial" w:hAnsi="Arial"/>
          <w:sz w:val="19"/>
          <w:szCs w:val="19"/>
          <w:u w:val="single" w:color="auto"/>
          <w:color w:val="auto"/>
        </w:rPr>
        <w:t>Irreparable Harm.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7" w:name="page158"/>
    <w:bookmarkEnd w:id="157"/>
    <w:p>
      <w:pPr>
        <w:jc w:val="both"/>
        <w:ind w:right="20" w:firstLine="1297"/>
        <w:spacing w:after="0" w:line="254" w:lineRule="auto"/>
        <w:rPr>
          <w:sz w:val="20"/>
          <w:szCs w:val="20"/>
          <w:color w:val="auto"/>
        </w:rPr>
      </w:pPr>
      <w:r>
        <w:rPr>
          <w:rFonts w:ascii="Arial" w:cs="Arial" w:eastAsia="Arial" w:hAnsi="Arial"/>
          <w:sz w:val="21"/>
          <w:szCs w:val="21"/>
          <w:color w:val="auto"/>
        </w:rPr>
        <w:t>Each of the Partners hereby agrees that a failure to comply with the provisions of Section 10.11 of this Agreement would cause irreparable harm to the Partnership, and, therefore, the Partnership shall be entitled to an injunction and other equitable relief in the event of any such failure to comply with the provisions of Section 10.11.</w:t>
      </w:r>
    </w:p>
    <w:p>
      <w:pPr>
        <w:spacing w:after="0" w:line="179"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10.14</w:t>
      </w:r>
      <w:r>
        <w:rPr>
          <w:sz w:val="20"/>
          <w:szCs w:val="20"/>
          <w:color w:val="auto"/>
        </w:rPr>
        <w:tab/>
      </w:r>
      <w:r>
        <w:rPr>
          <w:rFonts w:ascii="Arial" w:cs="Arial" w:eastAsia="Arial" w:hAnsi="Arial"/>
          <w:sz w:val="18"/>
          <w:szCs w:val="18"/>
          <w:u w:val="single" w:color="auto"/>
          <w:color w:val="auto"/>
        </w:rPr>
        <w:t>Partnership Tax Treatment.</w:t>
      </w:r>
    </w:p>
    <w:p>
      <w:pPr>
        <w:spacing w:after="0" w:line="21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1"/>
          <w:szCs w:val="21"/>
          <w:color w:val="auto"/>
        </w:rPr>
        <w:t>The Partners intend for the Partnership to be treated as a partnership for U.S. federal income tax purposes and no election to the contrary shall be made.</w:t>
      </w:r>
    </w:p>
    <w:p>
      <w:pPr>
        <w:spacing w:after="0" w:line="163"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10.15</w:t>
      </w:r>
      <w:r>
        <w:rPr>
          <w:sz w:val="20"/>
          <w:szCs w:val="20"/>
          <w:color w:val="auto"/>
        </w:rPr>
        <w:tab/>
      </w:r>
      <w:r>
        <w:rPr>
          <w:rFonts w:ascii="Arial" w:cs="Arial" w:eastAsia="Arial" w:hAnsi="Arial"/>
          <w:sz w:val="19"/>
          <w:szCs w:val="19"/>
          <w:u w:val="single" w:color="auto"/>
          <w:color w:val="auto"/>
        </w:rPr>
        <w:t>Joint and Several Liability of EPI Limited Partners and Family.</w:t>
      </w:r>
    </w:p>
    <w:p>
      <w:pPr>
        <w:spacing w:after="0" w:line="218" w:lineRule="exact"/>
        <w:rPr>
          <w:sz w:val="20"/>
          <w:szCs w:val="20"/>
          <w:color w:val="auto"/>
        </w:rPr>
      </w:pPr>
    </w:p>
    <w:p>
      <w:pPr>
        <w:jc w:val="both"/>
        <w:ind w:firstLine="1297"/>
        <w:spacing w:after="0" w:line="321" w:lineRule="auto"/>
        <w:rPr>
          <w:sz w:val="20"/>
          <w:szCs w:val="20"/>
          <w:color w:val="auto"/>
        </w:rPr>
      </w:pPr>
      <w:r>
        <w:rPr>
          <w:rFonts w:ascii="Arial" w:cs="Arial" w:eastAsia="Arial" w:hAnsi="Arial"/>
          <w:sz w:val="19"/>
          <w:szCs w:val="19"/>
          <w:color w:val="auto"/>
        </w:rPr>
        <w:t>Each EPI Limited Partner and his or her respective Family Related Limited Partners hereby agree to be jointly and severally liable for any obligations of such EPI Limited Partner and his or her respective Family Related Limited Partners hereunder.</w:t>
      </w:r>
    </w:p>
    <w:p>
      <w:pPr>
        <w:spacing w:after="0" w:line="118"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21"/>
          <w:szCs w:val="21"/>
          <w:u w:val="single" w:color="auto"/>
          <w:color w:val="auto"/>
        </w:rPr>
        <w:t>SECTION 10.16</w:t>
      </w:r>
      <w:r>
        <w:rPr>
          <w:sz w:val="20"/>
          <w:szCs w:val="20"/>
          <w:color w:val="auto"/>
        </w:rPr>
        <w:tab/>
      </w:r>
      <w:r>
        <w:rPr>
          <w:rFonts w:ascii="Arial" w:cs="Arial" w:eastAsia="Arial" w:hAnsi="Arial"/>
          <w:sz w:val="19"/>
          <w:szCs w:val="19"/>
          <w:u w:val="single" w:color="auto"/>
          <w:color w:val="auto"/>
        </w:rPr>
        <w:t>Consistent Treatment for Family Related Limited Partners.</w:t>
      </w:r>
    </w:p>
    <w:p>
      <w:pPr>
        <w:spacing w:after="0" w:line="21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For purposes of this Agreement, in the case of any Family Related Limited Partner, (i) the termination of the employment or, in the case of an Operating Executive, consultancy with EPI, the Investment Advisor, the Investment Manager or any of their respective Affiliates of the EPI Limited Partner with which such Family Related Limited Partner is associated may, in the sole discretion of the General Partner, be deemed a termination of employment of such Family Related Limited Partner, with the same character as the character of such EPI Limited Partner’s termination (</w:t>
      </w:r>
      <w:r>
        <w:rPr>
          <w:rFonts w:ascii="Arial" w:cs="Arial" w:eastAsia="Arial" w:hAnsi="Arial"/>
          <w:sz w:val="20"/>
          <w:szCs w:val="20"/>
          <w:i w:val="1"/>
          <w:iCs w:val="1"/>
          <w:color w:val="auto"/>
        </w:rPr>
        <w:t>e.g</w:t>
      </w:r>
      <w:r>
        <w:rPr>
          <w:rFonts w:ascii="Arial" w:cs="Arial" w:eastAsia="Arial" w:hAnsi="Arial"/>
          <w:sz w:val="20"/>
          <w:szCs w:val="20"/>
          <w:color w:val="auto"/>
        </w:rPr>
        <w:t>., with or without Cause, etc.), and (ii) the rights of the Partnership to reduce a Family Related Limited Partner’s Profit Sharing Percentage or Unpaid Capital Commitment or repurchase a Family Related Limited Partner’s Interest represented by its Capital Contributions pursuant to Section 4.4 shall be the same as the rights of the Partnership with respect to its associated EPI Limited Partner.</w:t>
      </w:r>
    </w:p>
    <w:p>
      <w:pPr>
        <w:spacing w:after="0" w:line="175"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1"/>
          <w:szCs w:val="21"/>
          <w:u w:val="single" w:color="auto"/>
          <w:color w:val="auto"/>
        </w:rPr>
        <w:t>SECTION 10.17</w:t>
      </w:r>
      <w:r>
        <w:rPr>
          <w:sz w:val="20"/>
          <w:szCs w:val="20"/>
          <w:color w:val="auto"/>
        </w:rPr>
        <w:tab/>
      </w:r>
      <w:r>
        <w:rPr>
          <w:rFonts w:ascii="Arial" w:cs="Arial" w:eastAsia="Arial" w:hAnsi="Arial"/>
          <w:sz w:val="19"/>
          <w:szCs w:val="19"/>
          <w:u w:val="single" w:color="auto"/>
          <w:color w:val="auto"/>
        </w:rPr>
        <w:t>No Third-Party Beneficiaries.</w:t>
      </w:r>
    </w:p>
    <w:p>
      <w:pPr>
        <w:spacing w:after="0" w:line="21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The provisions of this Agreement are intended solely to benefit the Partnership and the Partners (and their Affiliates and Covered Persons) and, except as otherwise specifically agreed with any third party, to the fullest extent permitted by applicable law, shall not be construed as conferring any benefit upon any creditor of the Partnership (and no such creditor shall be a third-party beneficiary of this Agreement), and no Partner shall have any duty or obligation to any creditor of the Partnership to make any contributions to the Partnership pursuant to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101306536.9</w:t>
      </w:r>
    </w:p>
    <w:p>
      <w:pPr>
        <w:sectPr>
          <w:pgSz w:w="11900" w:h="16838" w:orient="portrait"/>
          <w:cols w:equalWidth="0" w:num="1">
            <w:col w:w="11420"/>
          </w:cols>
          <w:pgMar w:left="240" w:top="838" w:right="239" w:bottom="1440" w:gutter="0" w:footer="0" w:header="0"/>
        </w:sectPr>
      </w:pPr>
    </w:p>
    <w:bookmarkStart w:id="158" w:name="page159"/>
    <w:bookmarkEnd w:id="158"/>
    <w:p>
      <w:pPr>
        <w:ind w:left="100"/>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ectPr>
          <w:pgSz w:w="11900" w:h="16838" w:orient="portrait"/>
          <w:cols w:equalWidth="0" w:num="1">
            <w:col w:w="9700"/>
          </w:cols>
          <w:pgMar w:left="1440" w:top="848" w:right="759" w:bottom="1440" w:gutter="0" w:footer="0" w:header="0"/>
        </w:sectPr>
      </w:pPr>
    </w:p>
    <w:p>
      <w:pPr>
        <w:spacing w:after="0" w:line="24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General Partner:</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Evercore Mexico GP Holdings LLC</w:t>
      </w:r>
    </w:p>
    <w:p>
      <w:pPr>
        <w:spacing w:after="0" w:line="26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Robert B. Walsh</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Name: Robert B. Walsh</w:t>
      </w:r>
    </w:p>
    <w:p>
      <w:pPr>
        <w:spacing w:after="0" w:line="17"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Title: CFO</w:t>
      </w: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Investment Manager:</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i w:val="1"/>
          <w:iCs w:val="1"/>
          <w:color w:val="auto"/>
        </w:rPr>
        <w:t>Solely with respect to Section 3.1(c)</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Evercore Mexico Management Limited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its company secretary, Maples Secretaries (Cayman) Limited</w:t>
      </w:r>
    </w:p>
    <w:p>
      <w:pPr>
        <w:spacing w:after="0" w:line="236" w:lineRule="exact"/>
        <w:rPr>
          <w:sz w:val="20"/>
          <w:szCs w:val="20"/>
          <w:color w:val="auto"/>
        </w:rPr>
      </w:pPr>
    </w:p>
    <w:p>
      <w:pPr>
        <w:ind w:left="2700"/>
        <w:spacing w:after="0"/>
        <w:tabs>
          <w:tab w:leader="none" w:pos="3200" w:val="left"/>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Peter Huber</w:t>
      </w:r>
      <w:r>
        <w:rPr>
          <w:sz w:val="20"/>
          <w:szCs w:val="20"/>
          <w:color w:val="auto"/>
        </w:rPr>
        <w:tab/>
      </w:r>
      <w:r>
        <w:rPr>
          <w:rFonts w:ascii="Arial" w:cs="Arial" w:eastAsia="Arial" w:hAnsi="Arial"/>
          <w:sz w:val="19"/>
          <w:szCs w:val="19"/>
          <w:color w:val="auto"/>
        </w:rPr>
        <w:t>Name: Peter Huber</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Title: Authorized Signatory</w:t>
      </w:r>
    </w:p>
    <w:p>
      <w:pPr>
        <w:spacing w:after="0" w:line="25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Limited Partners:</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Evercore GP Holdings LLC</w:t>
      </w:r>
    </w:p>
    <w:p>
      <w:pPr>
        <w:spacing w:after="0" w:line="220"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Robert B. Walsh</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Robert B. Walsh</w:t>
      </w:r>
    </w:p>
    <w:p>
      <w:pPr>
        <w:spacing w:after="0" w:line="20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CFO</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EPI Limited Partners:</w:t>
      </w:r>
    </w:p>
    <w:p>
      <w:pPr>
        <w:spacing w:after="0" w:line="226"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Pedro Aspe</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Pedro Aspe</w:t>
      </w:r>
    </w:p>
    <w:p>
      <w:pPr>
        <w:spacing w:after="0" w:line="202"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Adam Frankel</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Adam Frankel</w:t>
      </w:r>
    </w:p>
    <w:p>
      <w:pPr>
        <w:spacing w:after="0" w:line="202"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Robert B. Walsh</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Robert B. Walsh</w:t>
      </w:r>
    </w:p>
    <w:p>
      <w:pPr>
        <w:sectPr>
          <w:pgSz w:w="11900" w:h="16838" w:orient="portrait"/>
          <w:cols w:equalWidth="0" w:num="1">
            <w:col w:w="9700"/>
          </w:cols>
          <w:pgMar w:left="1440" w:top="848" w:right="759" w:bottom="1440" w:gutter="0" w:footer="0" w:header="0"/>
          <w:type w:val="continuous"/>
        </w:sectPr>
      </w:pPr>
    </w:p>
    <w:bookmarkStart w:id="159" w:name="page160"/>
    <w:bookmarkEnd w:id="159"/>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Ralph Schlosstein</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Ralph Schlosstein</w:t>
      </w:r>
    </w:p>
    <w:p>
      <w:pPr>
        <w:sectPr>
          <w:pgSz w:w="11900" w:h="16838" w:orient="portrait"/>
          <w:cols w:equalWidth="0" w:num="1">
            <w:col w:w="9019"/>
          </w:cols>
          <w:pgMar w:left="1440" w:top="847" w:right="1440" w:bottom="1440" w:gutter="0" w:footer="0" w:header="0"/>
        </w:sectPr>
      </w:pPr>
    </w:p>
    <w:bookmarkStart w:id="160" w:name="page161"/>
    <w:bookmarkEnd w:id="160"/>
    <w:p>
      <w:pPr>
        <w:jc w:val="right"/>
        <w:ind w:right="20"/>
        <w:spacing w:after="0"/>
        <w:rPr>
          <w:sz w:val="20"/>
          <w:szCs w:val="20"/>
          <w:color w:val="auto"/>
        </w:rPr>
      </w:pPr>
      <w:r>
        <w:rPr>
          <w:rFonts w:ascii="Arial" w:cs="Arial" w:eastAsia="Arial" w:hAnsi="Arial"/>
          <w:sz w:val="18"/>
          <w:szCs w:val="18"/>
          <w:b w:val="1"/>
          <w:bCs w:val="1"/>
          <w:color w:val="auto"/>
        </w:rPr>
        <w:t>Exhibit 10.49</w:t>
      </w:r>
    </w:p>
    <w:p>
      <w:pPr>
        <w:spacing w:after="0" w:line="256"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US Employees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EVERCORE PARTNERS INC.</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u w:val="single" w:color="auto"/>
          <w:color w:val="auto"/>
        </w:rPr>
        <w:t>NOTICE OF AWARD OF RESTRICTED STOCK UNITS</w:t>
      </w:r>
    </w:p>
    <w:p>
      <w:pPr>
        <w:spacing w:after="0" w:line="21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Evercore Partners Inc. (the “</w:t>
      </w:r>
      <w:r>
        <w:rPr>
          <w:rFonts w:ascii="Arial" w:cs="Arial" w:eastAsia="Arial" w:hAnsi="Arial"/>
          <w:sz w:val="21"/>
          <w:szCs w:val="21"/>
          <w:i w:val="1"/>
          <w:iCs w:val="1"/>
          <w:color w:val="auto"/>
        </w:rPr>
        <w:t>Company</w:t>
      </w:r>
      <w:r>
        <w:rPr>
          <w:rFonts w:ascii="Arial" w:cs="Arial" w:eastAsia="Arial" w:hAnsi="Arial"/>
          <w:sz w:val="21"/>
          <w:szCs w:val="21"/>
          <w:color w:val="auto"/>
        </w:rPr>
        <w:t>”), pursuant to its Amended and Restated 2006 Stock Incentive Plan (the “</w:t>
      </w:r>
      <w:r>
        <w:rPr>
          <w:rFonts w:ascii="Arial" w:cs="Arial" w:eastAsia="Arial" w:hAnsi="Arial"/>
          <w:sz w:val="21"/>
          <w:szCs w:val="21"/>
          <w:i w:val="1"/>
          <w:iCs w:val="1"/>
          <w:color w:val="auto"/>
        </w:rPr>
        <w:t>Plan</w:t>
      </w:r>
      <w:r>
        <w:rPr>
          <w:rFonts w:ascii="Arial" w:cs="Arial" w:eastAsia="Arial" w:hAnsi="Arial"/>
          <w:sz w:val="21"/>
          <w:szCs w:val="21"/>
          <w:color w:val="auto"/>
        </w:rPr>
        <w:t>”), hereby awards to the participant identified below a restricted stock unit award (the “</w:t>
      </w:r>
      <w:r>
        <w:rPr>
          <w:rFonts w:ascii="Arial" w:cs="Arial" w:eastAsia="Arial" w:hAnsi="Arial"/>
          <w:sz w:val="21"/>
          <w:szCs w:val="21"/>
          <w:i w:val="1"/>
          <w:iCs w:val="1"/>
          <w:color w:val="auto"/>
        </w:rPr>
        <w:t>Award</w:t>
      </w:r>
      <w:r>
        <w:rPr>
          <w:rFonts w:ascii="Arial" w:cs="Arial" w:eastAsia="Arial" w:hAnsi="Arial"/>
          <w:sz w:val="21"/>
          <w:szCs w:val="21"/>
          <w:color w:val="auto"/>
        </w:rPr>
        <w:t xml:space="preserve">”) with respect to the number of shares of the Company’s Class A common stock (“Shares”) indicated below in this Notice of Award of Restricted Stock Units (the </w:t>
      </w:r>
      <w:r>
        <w:rPr>
          <w:rFonts w:ascii="Arial" w:cs="Arial" w:eastAsia="Arial" w:hAnsi="Arial"/>
          <w:sz w:val="21"/>
          <w:szCs w:val="21"/>
          <w:i w:val="1"/>
          <w:iCs w:val="1"/>
          <w:color w:val="auto"/>
        </w:rPr>
        <w:t>“Notice”</w:t>
      </w:r>
      <w:r>
        <w:rPr>
          <w:rFonts w:ascii="Arial" w:cs="Arial" w:eastAsia="Arial" w:hAnsi="Arial"/>
          <w:sz w:val="21"/>
          <w:szCs w:val="21"/>
          <w:color w:val="auto"/>
        </w:rPr>
        <w:t>). The Award is effective on the grant date indicated below and is subject to the terms set forth herein and in the Restricted Stock Unit Award Terms and Conditions attached hereto (the “</w:t>
      </w:r>
      <w:r>
        <w:rPr>
          <w:rFonts w:ascii="Arial" w:cs="Arial" w:eastAsia="Arial" w:hAnsi="Arial"/>
          <w:sz w:val="21"/>
          <w:szCs w:val="21"/>
          <w:i w:val="1"/>
          <w:iCs w:val="1"/>
          <w:color w:val="auto"/>
        </w:rPr>
        <w:t>Terms and Conditions</w:t>
      </w:r>
      <w:r>
        <w:rPr>
          <w:rFonts w:ascii="Arial" w:cs="Arial" w:eastAsia="Arial" w:hAnsi="Arial"/>
          <w:sz w:val="21"/>
          <w:szCs w:val="21"/>
          <w:color w:val="auto"/>
        </w:rPr>
        <w:t>”).</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4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Participant</w:t>
            </w:r>
          </w:p>
        </w:tc>
        <w:tc>
          <w:tcPr>
            <w:tcW w:w="6840" w:type="dxa"/>
            <w:vAlign w:val="bottom"/>
            <w:tcBorders>
              <w:top w:val="single" w:sz="8" w:color="00000A"/>
              <w:right w:val="single" w:sz="8" w:color="00000A"/>
            </w:tcBorders>
          </w:tcPr>
          <w:p>
            <w:pPr>
              <w:spacing w:after="0"/>
              <w:rPr>
                <w:sz w:val="24"/>
                <w:szCs w:val="24"/>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Grant Date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February 11, 2014</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Number of RSUs Granted</w:t>
            </w:r>
          </w:p>
        </w:tc>
        <w:tc>
          <w:tcPr>
            <w:tcW w:w="6840" w:type="dxa"/>
            <w:vAlign w:val="bottom"/>
            <w:tcBorders>
              <w:right w:val="single" w:sz="8" w:color="00000A"/>
            </w:tcBorders>
          </w:tcPr>
          <w:p>
            <w:pPr>
              <w:spacing w:after="0"/>
              <w:rPr>
                <w:sz w:val="23"/>
                <w:szCs w:val="23"/>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49"/>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Vesting Schedule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25% of this Award will vest on each of the first, second, third and fourth</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anniversaries of February 4, 2014, subject in each case to the Participant’s</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continued service with one or more of the Company’s Affiliates through the</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89"/>
              </w:rPr>
              <w:t>applicable vesting date and subject further to accelerated vesting in certain cases,</w:t>
            </w:r>
          </w:p>
        </w:tc>
      </w:tr>
      <w:tr>
        <w:trPr>
          <w:trHeight w:val="266"/>
        </w:trPr>
        <w:tc>
          <w:tcPr>
            <w:tcW w:w="4600" w:type="dxa"/>
            <w:vAlign w:val="bottom"/>
            <w:tcBorders>
              <w:left w:val="single" w:sz="8" w:color="00000A"/>
              <w:right w:val="single" w:sz="8" w:color="00000A"/>
            </w:tcBorders>
          </w:tcPr>
          <w:p>
            <w:pPr>
              <w:spacing w:after="0"/>
              <w:rPr>
                <w:sz w:val="23"/>
                <w:szCs w:val="23"/>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all as specified in the attached Terms and Conditions.</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 xml:space="preserve">You do not have to accept this Award. If you wish to decline this Award, you should promptly notify the undersigned of your decision in writing. If you do not provide such written notification within 10 days, you will be deemed to have accepted this Award on the terms set forth herein and in the attached Terms and Conditions. If you have previously executed a Confidentiality, Non-Solicitation and Proprietary Information Agreement (a </w:t>
      </w:r>
      <w:r>
        <w:rPr>
          <w:rFonts w:ascii="Arial" w:cs="Arial" w:eastAsia="Arial" w:hAnsi="Arial"/>
          <w:sz w:val="19"/>
          <w:szCs w:val="19"/>
          <w:i w:val="1"/>
          <w:iCs w:val="1"/>
          <w:color w:val="auto"/>
        </w:rPr>
        <w:t>"CNPI Agreement”)</w:t>
      </w:r>
      <w:r>
        <w:rPr>
          <w:rFonts w:ascii="Arial" w:cs="Arial" w:eastAsia="Arial" w:hAnsi="Arial"/>
          <w:sz w:val="19"/>
          <w:szCs w:val="19"/>
          <w:color w:val="auto"/>
        </w:rPr>
        <w:t xml:space="preserve"> and the H.R. department has not asked you to execute a new CNPI Agreement in conjunction with the delivery of this Award, your acceptance of this Award will also constitute your affirmation that you are in compliance with the terms of the CNPI Agreement and that you remain bound by the CNPI Agreement you previously executed.</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If you have not previously executed a CNPI Agreement or if you have been promoted or had a change in position and, in conjunction with this Award, you have been asked to execute a new CNPI Agreement, this Award is contingent on your delivery to the Company of an executed new CNPI Agreement in the form prescribed by the Company within 10 days of your receipt of this Notice and related Terms and Conditions. Failure to timely return the executed new CNPI Agreement will be deemed a rejection of this Award and all rights hereunder.</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EVERCORE PARTNERS INC.</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________________</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Date: 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Attachments:Restricted Stock Unit Award Terms and Conditions</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21"/>
          <w:szCs w:val="21"/>
          <w:color w:val="auto"/>
        </w:rPr>
        <w:t>Stock Incentive Plan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40"/>
          </w:cols>
          <w:pgMar w:left="240" w:top="121"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color w:val="auto"/>
        </w:rPr>
        <w:t>US Employees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RESTRICTED STOCK UNIT AWARD TERMS AND CONDITIONS</w:t>
      </w:r>
    </w:p>
    <w:p>
      <w:pPr>
        <w:spacing w:after="0" w:line="21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1"/>
          <w:szCs w:val="21"/>
          <w:color w:val="auto"/>
        </w:rPr>
        <w:t>This document contains the Terms and Conditions of the restricted stock units awarded by the Company to the Participant indicated in the attached Notice. Capitalized terms not otherwise defined herein or in the Notice have the same meanings as defined in the Plan.</w:t>
      </w:r>
    </w:p>
    <w:p>
      <w:pPr>
        <w:spacing w:after="0" w:line="195" w:lineRule="exact"/>
        <w:rPr>
          <w:sz w:val="20"/>
          <w:szCs w:val="20"/>
          <w:color w:val="auto"/>
        </w:rPr>
      </w:pPr>
    </w:p>
    <w:p>
      <w:pPr>
        <w:jc w:val="both"/>
        <w:ind w:firstLine="1305"/>
        <w:spacing w:after="0" w:line="263" w:lineRule="auto"/>
        <w:tabs>
          <w:tab w:leader="none" w:pos="2101"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Grant of RSUs</w:t>
      </w:r>
      <w:r>
        <w:rPr>
          <w:rFonts w:ascii="Arial" w:cs="Arial" w:eastAsia="Arial" w:hAnsi="Arial"/>
          <w:sz w:val="21"/>
          <w:szCs w:val="21"/>
          <w:color w:val="auto"/>
        </w:rPr>
        <w:t>. Effective on the Grant Date, the Company grants to the Participant the number of restricted stock units (</w:t>
      </w:r>
      <w:r>
        <w:rPr>
          <w:rFonts w:ascii="Arial" w:cs="Arial" w:eastAsia="Arial" w:hAnsi="Arial"/>
          <w:sz w:val="21"/>
          <w:szCs w:val="21"/>
          <w:i w:val="1"/>
          <w:iCs w:val="1"/>
          <w:color w:val="auto"/>
        </w:rPr>
        <w:t>“RSUs”</w:t>
      </w:r>
      <w:r>
        <w:rPr>
          <w:rFonts w:ascii="Arial" w:cs="Arial" w:eastAsia="Arial" w:hAnsi="Arial"/>
          <w:sz w:val="21"/>
          <w:szCs w:val="21"/>
          <w:color w:val="auto"/>
        </w:rPr>
        <w:t>) indicated in the Notice, on the terms and conditions hereinafter set forth. Each RSU represents the unfunded, unsecured right of the Participant to receive one Share. The Participant will become vested in the RSUs, and take delivery of the Shares subject thereto, as set forth in these Terms and Conditions.</w:t>
      </w:r>
    </w:p>
    <w:p>
      <w:pPr>
        <w:spacing w:after="0" w:line="170" w:lineRule="exact"/>
        <w:rPr>
          <w:rFonts w:ascii="Arial" w:cs="Arial" w:eastAsia="Arial" w:hAnsi="Arial"/>
          <w:sz w:val="21"/>
          <w:szCs w:val="21"/>
          <w:color w:val="auto"/>
        </w:rPr>
      </w:pPr>
    </w:p>
    <w:p>
      <w:pPr>
        <w:ind w:left="1660" w:hanging="355"/>
        <w:spacing w:after="0"/>
        <w:tabs>
          <w:tab w:leader="none" w:pos="166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Vesting and Delivery</w:t>
      </w:r>
      <w:r>
        <w:rPr>
          <w:rFonts w:ascii="Arial" w:cs="Arial" w:eastAsia="Arial" w:hAnsi="Arial"/>
          <w:sz w:val="21"/>
          <w:szCs w:val="21"/>
          <w:color w:val="auto"/>
        </w:rPr>
        <w:t>.</w:t>
      </w:r>
    </w:p>
    <w:p>
      <w:pPr>
        <w:spacing w:after="0" w:line="231" w:lineRule="exact"/>
        <w:rPr>
          <w:sz w:val="20"/>
          <w:szCs w:val="20"/>
          <w:color w:val="auto"/>
        </w:rPr>
      </w:pPr>
    </w:p>
    <w:p>
      <w:pPr>
        <w:jc w:val="both"/>
        <w:ind w:firstLine="1305"/>
        <w:spacing w:after="0" w:line="267" w:lineRule="auto"/>
        <w:tabs>
          <w:tab w:leader="none" w:pos="2176"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Subject to the Participant remaining in continuous service with the Company through the relevant Vesting Event (as hereinafter defined), the Participant shall become vested in the RSUs subject hereto as follows (the occurrence of each such event described herein, a </w:t>
      </w:r>
      <w:r>
        <w:rPr>
          <w:rFonts w:ascii="Arial" w:cs="Arial" w:eastAsia="Arial" w:hAnsi="Arial"/>
          <w:sz w:val="21"/>
          <w:szCs w:val="21"/>
          <w:i w:val="1"/>
          <w:iCs w:val="1"/>
          <w:color w:val="auto"/>
        </w:rPr>
        <w:t>“Vesting Event”</w:t>
      </w:r>
      <w:r>
        <w:rPr>
          <w:rFonts w:ascii="Arial" w:cs="Arial" w:eastAsia="Arial" w:hAnsi="Arial"/>
          <w:sz w:val="21"/>
          <w:szCs w:val="21"/>
          <w:color w:val="auto"/>
        </w:rPr>
        <w:t>):</w:t>
      </w:r>
    </w:p>
    <w:p>
      <w:pPr>
        <w:spacing w:after="0" w:line="207" w:lineRule="exact"/>
        <w:rPr>
          <w:sz w:val="20"/>
          <w:szCs w:val="20"/>
          <w:color w:val="auto"/>
        </w:rPr>
      </w:pPr>
    </w:p>
    <w:p>
      <w:pPr>
        <w:ind w:left="2140" w:hanging="835"/>
        <w:spacing w:after="0"/>
        <w:tabs>
          <w:tab w:leader="none" w:pos="21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2015;</w:t>
      </w:r>
    </w:p>
    <w:p>
      <w:pPr>
        <w:spacing w:after="0" w:line="249" w:lineRule="exact"/>
        <w:rPr>
          <w:sz w:val="20"/>
          <w:szCs w:val="20"/>
          <w:color w:val="auto"/>
        </w:rPr>
      </w:pPr>
    </w:p>
    <w:p>
      <w:pPr>
        <w:ind w:left="2200" w:hanging="895"/>
        <w:spacing w:after="0"/>
        <w:tabs>
          <w:tab w:leader="none" w:pos="22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2016;</w:t>
      </w:r>
    </w:p>
    <w:p>
      <w:pPr>
        <w:spacing w:after="0" w:line="249" w:lineRule="exact"/>
        <w:rPr>
          <w:sz w:val="20"/>
          <w:szCs w:val="20"/>
          <w:color w:val="auto"/>
        </w:rPr>
      </w:pPr>
    </w:p>
    <w:p>
      <w:pPr>
        <w:ind w:left="2260" w:hanging="955"/>
        <w:spacing w:after="0"/>
        <w:tabs>
          <w:tab w:leader="none" w:pos="22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2017;</w:t>
      </w:r>
    </w:p>
    <w:p>
      <w:pPr>
        <w:spacing w:after="0" w:line="249" w:lineRule="exact"/>
        <w:rPr>
          <w:sz w:val="20"/>
          <w:szCs w:val="20"/>
          <w:color w:val="auto"/>
        </w:rPr>
      </w:pPr>
    </w:p>
    <w:p>
      <w:pPr>
        <w:ind w:left="2260" w:hanging="955"/>
        <w:spacing w:after="0"/>
        <w:tabs>
          <w:tab w:leader="none" w:pos="22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2018; and</w:t>
      </w:r>
    </w:p>
    <w:p>
      <w:pPr>
        <w:spacing w:after="0" w:line="248" w:lineRule="exact"/>
        <w:rPr>
          <w:rFonts w:ascii="Arial" w:cs="Arial" w:eastAsia="Arial" w:hAnsi="Arial"/>
          <w:sz w:val="19"/>
          <w:szCs w:val="19"/>
          <w:color w:val="auto"/>
        </w:rPr>
      </w:pPr>
    </w:p>
    <w:p>
      <w:pPr>
        <w:jc w:val="both"/>
        <w:ind w:left="660" w:firstLine="645"/>
        <w:spacing w:after="0" w:line="263" w:lineRule="auto"/>
        <w:tabs>
          <w:tab w:leader="none" w:pos="22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otherwise unvested RSUs shall become one hundred percent (100%) vested upon (A) the occurrence of a Change in Control, (B) the Participant’s death, (C) the Participant’s Disability, (D) the termination of the Participant’s service by the Company without Cause (as defined below), or (E) the Participant becoming eligible for a Qualifying Retirement (as defined below).</w:t>
      </w:r>
    </w:p>
    <w:p>
      <w:pPr>
        <w:spacing w:after="0" w:line="211" w:lineRule="exact"/>
        <w:rPr>
          <w:sz w:val="20"/>
          <w:szCs w:val="20"/>
          <w:color w:val="auto"/>
        </w:rPr>
      </w:pPr>
    </w:p>
    <w:p>
      <w:pPr>
        <w:jc w:val="both"/>
        <w:ind w:firstLine="1305"/>
        <w:spacing w:after="0" w:line="267" w:lineRule="auto"/>
        <w:tabs>
          <w:tab w:leader="none" w:pos="2188" w:val="left"/>
        </w:tabs>
        <w:numPr>
          <w:ilvl w:val="0"/>
          <w:numId w:val="94"/>
        </w:numPr>
        <w:rPr>
          <w:rFonts w:ascii="Arial" w:cs="Arial" w:eastAsia="Arial" w:hAnsi="Arial"/>
          <w:sz w:val="21"/>
          <w:szCs w:val="21"/>
          <w:color w:val="auto"/>
        </w:rPr>
      </w:pPr>
      <w:r>
        <w:rPr>
          <w:rFonts w:ascii="Arial" w:cs="Arial" w:eastAsia="Arial" w:hAnsi="Arial"/>
          <w:sz w:val="21"/>
          <w:szCs w:val="21"/>
          <w:color w:val="auto"/>
        </w:rPr>
        <w:t>Upon cessation of the Participant’s service with the Company for any reason other than death, Disability, Qualifying Retirement or termination by the Company without Cause, all then unvested RSUs shall immediately be forfeited by the Participant, without payment of any consideration therefor.</w:t>
      </w:r>
    </w:p>
    <w:p>
      <w:pPr>
        <w:spacing w:after="0" w:line="206" w:lineRule="exact"/>
        <w:rPr>
          <w:rFonts w:ascii="Arial" w:cs="Arial" w:eastAsia="Arial" w:hAnsi="Arial"/>
          <w:sz w:val="21"/>
          <w:szCs w:val="21"/>
          <w:color w:val="auto"/>
        </w:rPr>
      </w:pPr>
    </w:p>
    <w:p>
      <w:pPr>
        <w:jc w:val="both"/>
        <w:ind w:firstLine="1305"/>
        <w:spacing w:after="0" w:line="263" w:lineRule="auto"/>
        <w:tabs>
          <w:tab w:leader="none" w:pos="2176" w:val="left"/>
        </w:tabs>
        <w:numPr>
          <w:ilvl w:val="0"/>
          <w:numId w:val="94"/>
        </w:numPr>
        <w:rPr>
          <w:rFonts w:ascii="Arial" w:cs="Arial" w:eastAsia="Arial" w:hAnsi="Arial"/>
          <w:sz w:val="21"/>
          <w:szCs w:val="21"/>
          <w:color w:val="auto"/>
        </w:rPr>
      </w:pPr>
      <w:r>
        <w:rPr>
          <w:rFonts w:ascii="Arial" w:cs="Arial" w:eastAsia="Arial" w:hAnsi="Arial"/>
          <w:sz w:val="21"/>
          <w:szCs w:val="21"/>
          <w:color w:val="auto"/>
        </w:rPr>
        <w:t>Upon the occurrence of a Vesting Event, one Share shall be issuable for each RSU that vests on the date of such Vesting Event, subject to the terms and provisions of the Plan and these Terms and Conditions (including, without limitation, Section 2(e) below). Thereafter, upon satisfaction of any required tax withholding obligations, except as otherwise provided in Section 2(d) and subject to Section 2(e) below, the Company shall deliver to the Participant Shares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sz w:val="20"/>
          <w:szCs w:val="20"/>
          <w:color w:val="auto"/>
        </w:rPr>
      </w:pPr>
      <w:r>
        <w:rPr>
          <w:rFonts w:ascii="Arial" w:cs="Arial" w:eastAsia="Arial" w:hAnsi="Arial"/>
          <w:sz w:val="21"/>
          <w:szCs w:val="21"/>
          <w:color w:val="auto"/>
        </w:rPr>
        <w:t>underlying any vested RSUs as soon as practicable (but in no event later than 15 calendar days after the Vesting Event).</w:t>
      </w:r>
    </w:p>
    <w:p>
      <w:pPr>
        <w:spacing w:after="0" w:line="258" w:lineRule="exact"/>
        <w:rPr>
          <w:sz w:val="20"/>
          <w:szCs w:val="20"/>
          <w:color w:val="auto"/>
        </w:rPr>
      </w:pPr>
    </w:p>
    <w:p>
      <w:pPr>
        <w:jc w:val="both"/>
        <w:ind w:firstLine="1305"/>
        <w:spacing w:after="0" w:line="252" w:lineRule="auto"/>
        <w:tabs>
          <w:tab w:leader="none" w:pos="2188"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 the event of a Vesting Event described in Section 2(a)(v)(D)(termination without Cause), each Share issuable in respect of an RSU then vesting will be delivered by the Company, following satisfaction of applicable tax withholding requirements, on the earlier of (i) the date the RSU would otherwise have vested (but for a cessation of the Participant’s service) under Sections 2(a)(i)-(iv)(scheduled vesting dates), 2(a)(v)(A)(Change in Control), 2(a)(v)(B)(death) or 2(a)(v)(C)(Disability) as applicable, or (ii) March 15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of the year following the year of such termination; provided in each case that, within 45 days following such termination, the Participant has executed a general release of claims against the Company and its Affiliates in a form reasonably prescribed by the Company and such release has become irrevocable. If the Participant has failed to timely satisfy the release requirements described in the preceding sentence, any RSUs vesting under Section 2(a)(v)(D) and any Shares otherwise issuable under this paragraph will be forfeited and the Participant will have no further rights hereunder.</w:t>
      </w:r>
    </w:p>
    <w:p>
      <w:pPr>
        <w:spacing w:after="0" w:line="222" w:lineRule="exact"/>
        <w:rPr>
          <w:rFonts w:ascii="Arial" w:cs="Arial" w:eastAsia="Arial" w:hAnsi="Arial"/>
          <w:sz w:val="20"/>
          <w:szCs w:val="20"/>
          <w:color w:val="auto"/>
        </w:rPr>
      </w:pPr>
    </w:p>
    <w:p>
      <w:pPr>
        <w:jc w:val="both"/>
        <w:ind w:firstLine="1305"/>
        <w:spacing w:after="0" w:line="270" w:lineRule="auto"/>
        <w:tabs>
          <w:tab w:leader="none" w:pos="2176"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 the event of a Vesting Event described in Section 2(a)(v)(E)(eligibility for Qualifying Retirement), following satisfaction of applicable tax withholding requirements, each Share issuable in respect of an RSU then vesting will be issued subject to a stop-transfer order. While that stop transfer order is in effect, the subject Share (including, for this purpose, any other security that is distributed in respect thereof or into which that Share is converted) may not be assigned, alienated, pledged, attached, sold or otherwise transferred or encumbered other than by will or the laws of descent or distribution (in which case, the heir or intestate successor will take title to the Share subject to the terms of this paragraph). The Company will direct the transfer agent to remove the stop-transfer order promptly following the earliest of: (i) the Participant’s death, (ii) the Participant’s Disability, and (iii) (A) the first anniversary of the date of the Participant’s cessation of service, if the RSUs would otherwise have vested prior to such anniversary pursuant to Sections 2(a)(i)-(iv)(scheduled vesting dates) or 2(a)(v)(A)(Change in Control), or (B) the date the RSUs would otherwise have vested pursuant to Sections 2(a)(i)-(iv) or 2(a)(v)(A), if such date is after the first anniversary of the Participant’s cessation of service; provided that, in any case, no cancellation of the Share is required pursuant to Section 11. If the forfeiture of a Share is required pursuant to Section 11, the Share will be cancelled and the Participant (and his or her heirs or intestate successors) will have no further rights in respect thereof.</w:t>
      </w:r>
    </w:p>
    <w:p>
      <w:pPr>
        <w:spacing w:after="0" w:line="215" w:lineRule="exact"/>
        <w:rPr>
          <w:rFonts w:ascii="Arial" w:cs="Arial" w:eastAsia="Arial" w:hAnsi="Arial"/>
          <w:sz w:val="20"/>
          <w:szCs w:val="20"/>
          <w:color w:val="auto"/>
        </w:rPr>
      </w:pPr>
    </w:p>
    <w:p>
      <w:pPr>
        <w:jc w:val="both"/>
        <w:ind w:firstLine="1305"/>
        <w:spacing w:after="0" w:line="280" w:lineRule="auto"/>
        <w:tabs>
          <w:tab w:leader="none" w:pos="2153"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In the event of the death of the Participant, the delivery of Shares under this Section 2 shall be made in accordance with the beneficiary designation form on file with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absence of any such beneficiary designation form, the delivery of Shares under this Section 2 shall be made to the person or persons to whom the Participant’s rights with respect to this Award shall pass by will or by the applicable laws of descent and distribution.</w:t>
      </w:r>
    </w:p>
    <w:p>
      <w:pPr>
        <w:spacing w:after="0" w:line="196" w:lineRule="exact"/>
        <w:rPr>
          <w:rFonts w:ascii="Arial" w:cs="Arial" w:eastAsia="Arial" w:hAnsi="Arial"/>
          <w:sz w:val="20"/>
          <w:szCs w:val="20"/>
          <w:color w:val="auto"/>
        </w:rPr>
      </w:pPr>
    </w:p>
    <w:p>
      <w:pPr>
        <w:ind w:firstLine="1305"/>
        <w:spacing w:after="0" w:line="279" w:lineRule="auto"/>
        <w:tabs>
          <w:tab w:leader="none" w:pos="2188" w:val="left"/>
        </w:tabs>
        <w:numPr>
          <w:ilvl w:val="0"/>
          <w:numId w:val="95"/>
        </w:numPr>
        <w:rPr>
          <w:rFonts w:ascii="Arial" w:cs="Arial" w:eastAsia="Arial" w:hAnsi="Arial"/>
          <w:sz w:val="21"/>
          <w:szCs w:val="21"/>
          <w:color w:val="auto"/>
        </w:rPr>
      </w:pPr>
      <w:r>
        <w:rPr>
          <w:rFonts w:ascii="Arial" w:cs="Arial" w:eastAsia="Arial" w:hAnsi="Arial"/>
          <w:sz w:val="21"/>
          <w:szCs w:val="21"/>
          <w:color w:val="auto"/>
        </w:rPr>
        <w:t>For purposes of these Terms and Conditions, service with the Company will be deemed to include service with the Company’s Affiliates, but only during the period of such affiliation.</w:t>
      </w:r>
    </w:p>
    <w:p>
      <w:pPr>
        <w:spacing w:after="0" w:line="181" w:lineRule="exact"/>
        <w:rPr>
          <w:sz w:val="20"/>
          <w:szCs w:val="20"/>
          <w:color w:val="auto"/>
        </w:rPr>
      </w:pPr>
    </w:p>
    <w:p>
      <w:pPr>
        <w:ind w:right="20" w:firstLine="1305"/>
        <w:spacing w:after="0" w:line="266" w:lineRule="auto"/>
        <w:tabs>
          <w:tab w:leader="none" w:pos="1702"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these Terms and Conditions and notwithstanding any provision of the Plan to the contrary, the following definitions will apply: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20"/>
          </w:cols>
          <w:pgMar w:left="240" w:top="624" w:right="239" w:bottom="1440" w:gutter="0" w:footer="0" w:header="0"/>
        </w:sectPr>
      </w:pPr>
    </w:p>
    <w:bookmarkStart w:id="163" w:name="page164"/>
    <w:bookmarkEnd w:id="163"/>
    <w:p>
      <w:pPr>
        <w:jc w:val="both"/>
        <w:ind w:firstLine="1953"/>
        <w:spacing w:after="0" w:line="268" w:lineRule="auto"/>
        <w:tabs>
          <w:tab w:leader="none" w:pos="2399" w:val="left"/>
        </w:tabs>
        <w:numPr>
          <w:ilvl w:val="2"/>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the Participant’s material breach of any of the Restrictive Covenants (as defined below), any published policy of the Company or its Affiliates applicable to the Participant, including the Company’s or any of its Affiliates’ Code of Ethics; (ii) any act or omission by the Participant that causes the Participant, the Company or any of the Company’s Affiliates to be in violation of any law, rule or regulation related to the business of the Company or its Affiliates, or any rule of any exchange or association of which the Company or its Affiliates is a member, which, in any such case, would make the Participant, the Company or any of the Company’s Affiliates subject to being enjoined, suspended, barred or otherwise disciplined; (iii) the Participant’s conviction of, or plea of guilty or no contest to, any felony; (iv) the Participant’s participation in any fraud or embezzlement; (v) gross negligence, willful misconduct by the Participant in the course of employment or the Participant’s deliberate and unreasonably continuous disregard of his or her material duties; or (vi) the Participant’s committing to, or engaging in any act or making any statement which impairs, impugns, denigrates, disparages or negatively reflects upon the name, reputation or business interests of the Company or any of its Affiliates which, in any such case, has a material adverse effect on the Company; provided, however, that in the case of clauses (i), (ii),</w:t>
      </w:r>
    </w:p>
    <w:p>
      <w:pPr>
        <w:spacing w:after="0" w:line="8" w:lineRule="exact"/>
        <w:rPr>
          <w:rFonts w:ascii="Arial" w:cs="Arial" w:eastAsia="Arial" w:hAnsi="Arial"/>
          <w:sz w:val="19"/>
          <w:szCs w:val="19"/>
          <w:color w:val="auto"/>
        </w:rPr>
      </w:pPr>
    </w:p>
    <w:p>
      <w:pPr>
        <w:jc w:val="both"/>
        <w:ind w:firstLine="8"/>
        <w:spacing w:after="0" w:line="243" w:lineRule="auto"/>
        <w:tabs>
          <w:tab w:leader="none" w:pos="313"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and (vi), “Cause” shall not exist if such breach, act or omission, if capable of being cured (in the good faith determination of the Company’s CEO </w:t>
      </w:r>
      <w:r>
        <w:rPr>
          <w:rFonts w:ascii="Arial" w:cs="Arial" w:eastAsia="Arial" w:hAnsi="Arial"/>
          <w:sz w:val="21"/>
          <w:szCs w:val="21"/>
          <w:b w:val="1"/>
          <w:bCs w:val="1"/>
          <w:color w:val="auto"/>
        </w:rPr>
        <w:t>[</w:t>
      </w:r>
      <w:r>
        <w:rPr>
          <w:rFonts w:ascii="Arial" w:cs="Arial" w:eastAsia="Arial" w:hAnsi="Arial"/>
          <w:sz w:val="21"/>
          <w:szCs w:val="21"/>
          <w:color w:val="auto"/>
        </w:rPr>
        <w:t>with respect to the Company’s CEO or Chairman, in the good faith determination of the Board or any committee of the Board that does not include any employee directors</w:t>
      </w:r>
      <w:r>
        <w:rPr>
          <w:rFonts w:ascii="Arial" w:cs="Arial" w:eastAsia="Arial" w:hAnsi="Arial"/>
          <w:sz w:val="21"/>
          <w:szCs w:val="21"/>
          <w:b w:val="1"/>
          <w:bCs w:val="1"/>
          <w:color w:val="auto"/>
        </w:rPr>
        <w:t>]</w:t>
      </w:r>
      <w:r>
        <w:rPr>
          <w:rFonts w:ascii="Arial" w:cs="Arial" w:eastAsia="Arial" w:hAnsi="Arial"/>
          <w:sz w:val="21"/>
          <w:szCs w:val="21"/>
          <w:color w:val="auto"/>
        </w:rPr>
        <w:t>), shall have been cured within ten business days after the Company provides the Participant with written notice thereof.</w:t>
      </w:r>
    </w:p>
    <w:p>
      <w:pPr>
        <w:spacing w:after="0" w:line="192" w:lineRule="exact"/>
        <w:rPr>
          <w:rFonts w:ascii="Arial" w:cs="Arial" w:eastAsia="Arial" w:hAnsi="Arial"/>
          <w:sz w:val="21"/>
          <w:szCs w:val="21"/>
          <w:color w:val="auto"/>
        </w:rPr>
      </w:pPr>
    </w:p>
    <w:p>
      <w:pPr>
        <w:jc w:val="both"/>
        <w:ind w:firstLine="1953"/>
        <w:spacing w:after="0" w:line="246" w:lineRule="auto"/>
        <w:tabs>
          <w:tab w:leader="none" w:pos="2491" w:val="left"/>
        </w:tabs>
        <w:numPr>
          <w:ilvl w:val="2"/>
          <w:numId w:val="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Retirement</w:t>
      </w:r>
      <w:r>
        <w:rPr>
          <w:rFonts w:ascii="Arial" w:cs="Arial" w:eastAsia="Arial" w:hAnsi="Arial"/>
          <w:sz w:val="21"/>
          <w:szCs w:val="21"/>
          <w:color w:val="auto"/>
        </w:rPr>
        <w:t>.” A Participant will be eligible for a Qualifying Retirement once he or she has satisfied the following conditions: (i) the sum of the Participant’s age plus completed years of continuous service with the Company is greater than 65; (ii) the Participant is at least age 55 and has completed at least 5 years of continuous service with the Company; and (iii) the Participant has completed one year of service with the Company after providing the Company with written notice of his or her intent to retire (which notice may not be provided earlier than one year prior to the satisfaction of the conditions stated above in clauses (i) and (ii)).</w:t>
      </w:r>
    </w:p>
    <w:p>
      <w:pPr>
        <w:spacing w:after="0" w:line="189" w:lineRule="exact"/>
        <w:rPr>
          <w:rFonts w:ascii="Arial" w:cs="Arial" w:eastAsia="Arial" w:hAnsi="Arial"/>
          <w:sz w:val="21"/>
          <w:szCs w:val="21"/>
          <w:color w:val="auto"/>
        </w:rPr>
      </w:pPr>
    </w:p>
    <w:p>
      <w:pPr>
        <w:ind w:right="20" w:firstLine="1305"/>
        <w:spacing w:after="0" w:line="266" w:lineRule="auto"/>
        <w:tabs>
          <w:tab w:leader="none" w:pos="1783"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Adjustments Upon Certain Events</w:t>
      </w:r>
      <w:r>
        <w:rPr>
          <w:rFonts w:ascii="Arial" w:cs="Arial" w:eastAsia="Arial" w:hAnsi="Arial"/>
          <w:sz w:val="21"/>
          <w:szCs w:val="21"/>
          <w:color w:val="auto"/>
        </w:rPr>
        <w:t>. The Committee shall, in its sole discretion, make equitable substitutions or adjustments to the number of Shares and RSUs subject hereto pursuant to Section 9(a) of the Plan.</w:t>
      </w:r>
    </w:p>
    <w:p>
      <w:pPr>
        <w:spacing w:after="0" w:line="166" w:lineRule="exact"/>
        <w:rPr>
          <w:rFonts w:ascii="Arial" w:cs="Arial" w:eastAsia="Arial" w:hAnsi="Arial"/>
          <w:sz w:val="21"/>
          <w:szCs w:val="21"/>
          <w:color w:val="auto"/>
        </w:rPr>
      </w:pPr>
    </w:p>
    <w:p>
      <w:pPr>
        <w:jc w:val="both"/>
        <w:ind w:firstLine="1305"/>
        <w:spacing w:after="0" w:line="284" w:lineRule="auto"/>
        <w:tabs>
          <w:tab w:leader="none" w:pos="1662"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Neither the Plan, the Notice nor these Terms and Conditions shall be construed as giving the Participant the right to be retained in the employ of, or in any consulting relationship with, the Company or any of its Affiliates. Further, the Company (or, as applicable, its Affiliates) may at any time dismiss the Participant, free from any liability or any claim under the Plan, the Notice or these Terms and Conditions, except as otherwise expressly provided herein.</w:t>
      </w:r>
    </w:p>
    <w:p>
      <w:pPr>
        <w:spacing w:after="0" w:line="154" w:lineRule="exact"/>
        <w:rPr>
          <w:rFonts w:ascii="Arial" w:cs="Arial" w:eastAsia="Arial" w:hAnsi="Arial"/>
          <w:sz w:val="19"/>
          <w:szCs w:val="19"/>
          <w:color w:val="auto"/>
        </w:rPr>
      </w:pPr>
    </w:p>
    <w:p>
      <w:pPr>
        <w:jc w:val="both"/>
        <w:ind w:firstLine="1305"/>
        <w:spacing w:after="0" w:line="253" w:lineRule="auto"/>
        <w:tabs>
          <w:tab w:leader="none" w:pos="1743"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No Acquired Rights</w:t>
      </w:r>
      <w:r>
        <w:rPr>
          <w:rFonts w:ascii="Arial" w:cs="Arial" w:eastAsia="Arial" w:hAnsi="Arial"/>
          <w:sz w:val="21"/>
          <w:szCs w:val="21"/>
          <w:color w:val="auto"/>
        </w:rPr>
        <w:t>. This Award has been granted entirely at the discretion of the Committee. The grant of this Award does not obligate the Company to grant additional Awards to the Participant in the future (whether on the same or different terms).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20"/>
          </w:cols>
          <w:pgMar w:left="240" w:top="625" w:right="239" w:bottom="1440" w:gutter="0" w:footer="0" w:header="0"/>
        </w:sectPr>
      </w:pPr>
    </w:p>
    <w:bookmarkStart w:id="164" w:name="page165"/>
    <w:bookmarkEnd w:id="164"/>
    <w:p>
      <w:pPr>
        <w:ind w:left="1660" w:hanging="355"/>
        <w:spacing w:after="0"/>
        <w:tabs>
          <w:tab w:leader="none" w:pos="166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No Rights of a Stockholder; Dividend Equivalent Payments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firstLine="1953"/>
        <w:spacing w:after="0" w:line="253" w:lineRule="auto"/>
        <w:tabs>
          <w:tab w:leader="none" w:pos="2487"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Participant shall not have any rights or privileges as a stockholder of the Company, which for the avoidance of doubt includes no rights to dividends or to vote, until the Shares in question have been registered in the Company’s register of stockholders as being held by the Participant.</w:t>
      </w:r>
    </w:p>
    <w:p>
      <w:pPr>
        <w:spacing w:after="0" w:line="181" w:lineRule="exact"/>
        <w:rPr>
          <w:rFonts w:ascii="Arial" w:cs="Arial" w:eastAsia="Arial" w:hAnsi="Arial"/>
          <w:sz w:val="21"/>
          <w:szCs w:val="21"/>
          <w:color w:val="auto"/>
        </w:rPr>
      </w:pPr>
    </w:p>
    <w:p>
      <w:pPr>
        <w:ind w:left="2400" w:hanging="447"/>
        <w:spacing w:after="0"/>
        <w:tabs>
          <w:tab w:leader="none" w:pos="2400"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foregoing notwithstanding:</w:t>
      </w:r>
    </w:p>
    <w:p>
      <w:pPr>
        <w:spacing w:after="0" w:line="217" w:lineRule="exact"/>
        <w:rPr>
          <w:rFonts w:ascii="Arial" w:cs="Arial" w:eastAsia="Arial" w:hAnsi="Arial"/>
          <w:sz w:val="21"/>
          <w:szCs w:val="21"/>
          <w:color w:val="auto"/>
        </w:rPr>
      </w:pPr>
    </w:p>
    <w:p>
      <w:pPr>
        <w:jc w:val="both"/>
        <w:ind w:firstLine="2601"/>
        <w:spacing w:after="0" w:line="275" w:lineRule="auto"/>
        <w:tabs>
          <w:tab w:leader="none" w:pos="3099" w:val="left"/>
        </w:tabs>
        <w:numPr>
          <w:ilvl w:val="2"/>
          <w:numId w:val="99"/>
        </w:numPr>
        <w:rPr>
          <w:rFonts w:ascii="Arial" w:cs="Arial" w:eastAsia="Arial" w:hAnsi="Arial"/>
          <w:sz w:val="19"/>
          <w:szCs w:val="19"/>
          <w:color w:val="auto"/>
        </w:rPr>
      </w:pPr>
      <w:r>
        <w:rPr>
          <w:rFonts w:ascii="Arial" w:cs="Arial" w:eastAsia="Arial" w:hAnsi="Arial"/>
          <w:sz w:val="19"/>
          <w:szCs w:val="19"/>
          <w:color w:val="auto"/>
        </w:rPr>
        <w:t>if the Company declares and pays a cash dividend or distribution with respect to its Shares, the RSUs subject hereto will be increased by a number of additional RSUs determined by dividing (A) the total dividend or distribution that would then be payable with respect to a number of Shares equal to the number of RSUs outstanding hereunder on the dividend or distribution record date for which no Vesting Event has yet occurred, divided by (B) the Fair Market Value on the date the dividend or distribution is paid. Additional RSUs credited under this paragraph will be subject to the same terms and conditions (including the same vesting and delivery schedule, but not including the right to be credited with additional dividend equivalent RSUs under this section) as the RSUs outstanding hereunder on the applicable dividend or distribution record date for which no Vesting Event has yet occurred.</w:t>
      </w:r>
    </w:p>
    <w:p>
      <w:pPr>
        <w:spacing w:after="0" w:line="165" w:lineRule="exact"/>
        <w:rPr>
          <w:rFonts w:ascii="Arial" w:cs="Arial" w:eastAsia="Arial" w:hAnsi="Arial"/>
          <w:sz w:val="19"/>
          <w:szCs w:val="19"/>
          <w:color w:val="auto"/>
        </w:rPr>
      </w:pPr>
    </w:p>
    <w:p>
      <w:pPr>
        <w:jc w:val="both"/>
        <w:ind w:firstLine="2601"/>
        <w:spacing w:after="0" w:line="247" w:lineRule="auto"/>
        <w:tabs>
          <w:tab w:leader="none" w:pos="3067" w:val="left"/>
        </w:tabs>
        <w:numPr>
          <w:ilvl w:val="2"/>
          <w:numId w:val="99"/>
        </w:numPr>
        <w:rPr>
          <w:rFonts w:ascii="Arial" w:cs="Arial" w:eastAsia="Arial" w:hAnsi="Arial"/>
          <w:sz w:val="21"/>
          <w:szCs w:val="21"/>
          <w:color w:val="auto"/>
        </w:rPr>
      </w:pPr>
      <w:r>
        <w:rPr>
          <w:rFonts w:ascii="Arial" w:cs="Arial" w:eastAsia="Arial" w:hAnsi="Arial"/>
          <w:sz w:val="21"/>
          <w:szCs w:val="21"/>
          <w:color w:val="auto"/>
        </w:rPr>
        <w:t>if the Company declares and pays a cash dividend or distribution with respect to its Shares after the occurrence of a Vesting Event with respect to particular RSUs but before Shares are issued in respect thereof, the Company will make a special cash payment to the Participant equal to the amount of the dividend or distribution that would have been payable to the Participant had he or she been the record holder of those Shares on the record date of such dividend or distribution. Such special cash payment will be subject to withholding for applicable taxes.</w:t>
      </w:r>
    </w:p>
    <w:p>
      <w:pPr>
        <w:spacing w:after="0" w:line="188" w:lineRule="exact"/>
        <w:rPr>
          <w:rFonts w:ascii="Arial" w:cs="Arial" w:eastAsia="Arial" w:hAnsi="Arial"/>
          <w:sz w:val="21"/>
          <w:szCs w:val="21"/>
          <w:color w:val="auto"/>
        </w:rPr>
      </w:pPr>
    </w:p>
    <w:p>
      <w:pPr>
        <w:jc w:val="both"/>
        <w:ind w:firstLine="1305"/>
        <w:spacing w:after="0" w:line="245" w:lineRule="auto"/>
        <w:tabs>
          <w:tab w:leader="none" w:pos="1675"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Transferability of Shares</w:t>
      </w:r>
      <w:r>
        <w:rPr>
          <w:rFonts w:ascii="Arial" w:cs="Arial" w:eastAsia="Arial" w:hAnsi="Arial"/>
          <w:sz w:val="21"/>
          <w:szCs w:val="21"/>
          <w:color w:val="auto"/>
        </w:rPr>
        <w:t>. Any Shares issued or transferred to the Participant pursuant to this Award shall be subject to such stop transfer orders and other restrictions as the Committee may deem advisable under the Plan, the Notice, these Terms and Conditions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or make an appropriate entry on the record books of the appropriate registered book-entry custodian, if the Shares are not certificated, to make appropriate reference to such restrictions.</w:t>
      </w:r>
    </w:p>
    <w:p>
      <w:pPr>
        <w:spacing w:after="0" w:line="192" w:lineRule="exact"/>
        <w:rPr>
          <w:rFonts w:ascii="Arial" w:cs="Arial" w:eastAsia="Arial" w:hAnsi="Arial"/>
          <w:sz w:val="21"/>
          <w:szCs w:val="21"/>
          <w:color w:val="auto"/>
        </w:rPr>
      </w:pPr>
    </w:p>
    <w:p>
      <w:pPr>
        <w:jc w:val="both"/>
        <w:ind w:firstLine="1305"/>
        <w:spacing w:after="0" w:line="266" w:lineRule="auto"/>
        <w:tabs>
          <w:tab w:leader="none" w:pos="1675"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Transferability of RSUs</w:t>
      </w:r>
      <w:r>
        <w:rPr>
          <w:rFonts w:ascii="Arial" w:cs="Arial" w:eastAsia="Arial" w:hAnsi="Arial"/>
          <w:sz w:val="20"/>
          <w:szCs w:val="20"/>
          <w:color w:val="auto"/>
        </w:rPr>
        <w:t>. Except as set forth in Section 2(f), the RSUs (and, prior to their actual issuance, the Shares subject hereto) may not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9 shall be void and unenforceable.</w:t>
      </w:r>
    </w:p>
    <w:p>
      <w:pPr>
        <w:spacing w:after="0" w:line="168" w:lineRule="exact"/>
        <w:rPr>
          <w:rFonts w:ascii="Arial" w:cs="Arial" w:eastAsia="Arial" w:hAnsi="Arial"/>
          <w:sz w:val="20"/>
          <w:szCs w:val="20"/>
          <w:color w:val="auto"/>
        </w:rPr>
      </w:pPr>
    </w:p>
    <w:p>
      <w:pPr>
        <w:jc w:val="both"/>
        <w:ind w:firstLine="1305"/>
        <w:spacing w:after="0" w:line="272" w:lineRule="auto"/>
        <w:tabs>
          <w:tab w:leader="none" w:pos="182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or any Affiliate shall have the right and are hereby authorized to withhold from any transfer due under this Award, or from any other compensation or amount owing to the Participant, applicable withholding taxes with respect to this Award to satisfy all obligations for the payment of such taxes. The payment of any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20"/>
          </w:cols>
          <w:pgMar w:left="240" w:top="624" w:right="239" w:bottom="1440" w:gutter="0" w:footer="0" w:header="0"/>
        </w:sectPr>
      </w:pPr>
    </w:p>
    <w:bookmarkStart w:id="165" w:name="page166"/>
    <w:bookmarkEnd w:id="165"/>
    <w:p>
      <w:pPr>
        <w:ind w:right="20"/>
        <w:spacing w:after="0" w:line="266" w:lineRule="auto"/>
        <w:rPr>
          <w:sz w:val="20"/>
          <w:szCs w:val="20"/>
          <w:color w:val="auto"/>
        </w:rPr>
      </w:pPr>
      <w:r>
        <w:rPr>
          <w:rFonts w:ascii="Arial" w:cs="Arial" w:eastAsia="Arial" w:hAnsi="Arial"/>
          <w:sz w:val="21"/>
          <w:szCs w:val="21"/>
          <w:color w:val="auto"/>
        </w:rPr>
        <w:t>withholding taxes through the withholding of Shares otherwise issuable under this Award shall not exceed the minimum required withholding liability.</w:t>
      </w:r>
    </w:p>
    <w:p>
      <w:pPr>
        <w:spacing w:after="0" w:line="167" w:lineRule="exact"/>
        <w:rPr>
          <w:sz w:val="20"/>
          <w:szCs w:val="20"/>
          <w:color w:val="auto"/>
        </w:rPr>
      </w:pPr>
    </w:p>
    <w:p>
      <w:pPr>
        <w:ind w:left="1760" w:hanging="455"/>
        <w:spacing w:after="0"/>
        <w:tabs>
          <w:tab w:leader="none" w:pos="176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firstLine="1953"/>
        <w:spacing w:after="0" w:line="247" w:lineRule="auto"/>
        <w:tabs>
          <w:tab w:leader="none" w:pos="2479"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The Participant has agreed to be bound by certain restrictive covenants during his or her service to the Company and following the cessation of that service for any reason (such covenants, together with any restrictive covenants made by the Participant after the date hereof, the </w:t>
      </w:r>
      <w:r>
        <w:rPr>
          <w:rFonts w:ascii="Arial" w:cs="Arial" w:eastAsia="Arial" w:hAnsi="Arial"/>
          <w:sz w:val="21"/>
          <w:szCs w:val="21"/>
          <w:i w:val="1"/>
          <w:iCs w:val="1"/>
          <w:color w:val="auto"/>
        </w:rPr>
        <w:t>“Restrictive Covenants”</w:t>
      </w:r>
      <w:r>
        <w:rPr>
          <w:rFonts w:ascii="Arial" w:cs="Arial" w:eastAsia="Arial" w:hAnsi="Arial"/>
          <w:sz w:val="21"/>
          <w:szCs w:val="21"/>
          <w:color w:val="auto"/>
        </w:rPr>
        <w:t>). As a condition to the issuance or delivery of Shares in respect of RSUs, the Participant may be required to certify, in a manner acceptable to the Company, that he or she continues to be in compliance with the Restrictive Covenants.</w:t>
      </w:r>
    </w:p>
    <w:p>
      <w:pPr>
        <w:spacing w:after="0" w:line="188" w:lineRule="exact"/>
        <w:rPr>
          <w:rFonts w:ascii="Arial" w:cs="Arial" w:eastAsia="Arial" w:hAnsi="Arial"/>
          <w:sz w:val="21"/>
          <w:szCs w:val="21"/>
          <w:color w:val="auto"/>
        </w:rPr>
      </w:pPr>
    </w:p>
    <w:p>
      <w:pPr>
        <w:jc w:val="both"/>
        <w:ind w:firstLine="1953"/>
        <w:spacing w:after="0" w:line="249" w:lineRule="auto"/>
        <w:tabs>
          <w:tab w:leader="none" w:pos="2602" w:val="left"/>
        </w:tabs>
        <w:numPr>
          <w:ilvl w:val="1"/>
          <w:numId w:val="100"/>
        </w:numPr>
        <w:rPr>
          <w:rFonts w:ascii="Arial" w:cs="Arial" w:eastAsia="Arial" w:hAnsi="Arial"/>
          <w:sz w:val="21"/>
          <w:szCs w:val="21"/>
          <w:color w:val="auto"/>
        </w:rPr>
      </w:pPr>
      <w:r>
        <w:rPr>
          <w:rFonts w:ascii="Arial" w:cs="Arial" w:eastAsia="Arial" w:hAnsi="Arial"/>
          <w:sz w:val="21"/>
          <w:szCs w:val="21"/>
          <w:color w:val="auto"/>
        </w:rPr>
        <w:t>If the Participant violates any of the terms of the Restrictive Covenants, then the Participant will immediately forfeit any remaining RSUs (even if otherwise vested) for which Shares have not yet been delivered. In addition, in the event of such conduct, the Participant will be required to repay to the Company any dividend or distribution equivalent amounts paid under Section 7(b)(ii) in respect of such Shares.</w:t>
      </w:r>
    </w:p>
    <w:p>
      <w:pPr>
        <w:spacing w:after="0" w:line="186" w:lineRule="exact"/>
        <w:rPr>
          <w:rFonts w:ascii="Arial" w:cs="Arial" w:eastAsia="Arial" w:hAnsi="Arial"/>
          <w:sz w:val="21"/>
          <w:szCs w:val="21"/>
          <w:color w:val="auto"/>
        </w:rPr>
      </w:pPr>
    </w:p>
    <w:p>
      <w:pPr>
        <w:jc w:val="both"/>
        <w:ind w:firstLine="1953"/>
        <w:spacing w:after="0" w:line="272" w:lineRule="auto"/>
        <w:tabs>
          <w:tab w:leader="none" w:pos="2456" w:val="left"/>
        </w:tabs>
        <w:numPr>
          <w:ilvl w:val="1"/>
          <w:numId w:val="100"/>
        </w:numPr>
        <w:rPr>
          <w:rFonts w:ascii="Arial" w:cs="Arial" w:eastAsia="Arial" w:hAnsi="Arial"/>
          <w:sz w:val="19"/>
          <w:szCs w:val="19"/>
          <w:color w:val="auto"/>
        </w:rPr>
      </w:pPr>
      <w:r>
        <w:rPr>
          <w:rFonts w:ascii="Arial" w:cs="Arial" w:eastAsia="Arial" w:hAnsi="Arial"/>
          <w:sz w:val="19"/>
          <w:szCs w:val="19"/>
          <w:color w:val="auto"/>
        </w:rPr>
        <w:t>Similarly, if the Participant’s service with the Company terminates upon or after becoming eligible for a Qualifying Retirement and if, at any time prior to the delivery of any Shares that are or will be subject to a stop transfer order pursuant to Section 2(e) or prior to the removal of such a stop transfer order, the Participant engages in conduct that violates the Restrictive Covenants (regardless of the fact that such Participant is at the time of such violation no longer an employee or whether the time limits in the relevant Restrictive Covenant have otherwise expired), in addition to any other remedies that are available pursuant to the Restrictive Covenants: (i) the Participant will immediately and automatically forfeit any remaining RSUs (even if otherwise vested) for which Shares have not yet been delivered, and (ii) any Shares subject to a stop transfer order pursuant to Section 2(e) will be cancelled and all of Participant’s right, title and interest in such Shares shall be extinguished. In addition, in the event of such conduct, the Participant will be required to repay to the Company an amount equal to the sum of any dividends or distributions paid with respect to the cancelled Shares (including any amounts paid under Section 7(b)(ii) pending issuance of Shares).</w:t>
      </w:r>
    </w:p>
    <w:p>
      <w:pPr>
        <w:spacing w:after="0" w:line="170" w:lineRule="exact"/>
        <w:rPr>
          <w:rFonts w:ascii="Arial" w:cs="Arial" w:eastAsia="Arial" w:hAnsi="Arial"/>
          <w:sz w:val="19"/>
          <w:szCs w:val="19"/>
          <w:color w:val="auto"/>
        </w:rPr>
      </w:pPr>
    </w:p>
    <w:p>
      <w:pPr>
        <w:ind w:left="2400" w:hanging="447"/>
        <w:spacing w:after="0"/>
        <w:tabs>
          <w:tab w:leader="none" w:pos="24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remedies contained in this section will be in addition to, not in lieu of, any other available remedies.</w:t>
      </w:r>
    </w:p>
    <w:p>
      <w:pPr>
        <w:spacing w:after="0" w:line="240" w:lineRule="exact"/>
        <w:rPr>
          <w:rFonts w:ascii="Arial" w:cs="Arial" w:eastAsia="Arial" w:hAnsi="Arial"/>
          <w:sz w:val="19"/>
          <w:szCs w:val="19"/>
          <w:color w:val="auto"/>
        </w:rPr>
      </w:pPr>
    </w:p>
    <w:p>
      <w:pPr>
        <w:ind w:firstLine="1305"/>
        <w:spacing w:after="0" w:line="266" w:lineRule="auto"/>
        <w:tabs>
          <w:tab w:leader="none" w:pos="182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AWARD SHALL BE GOVERNED BY AND CONSTRUED IN ACCORDANCE WITH THE LAWS OF THE STATE OF NEW YORK WITHOUT REGARD TO CONFLICTS OF LAW.</w:t>
      </w:r>
    </w:p>
    <w:p>
      <w:pPr>
        <w:spacing w:after="0" w:line="166" w:lineRule="exact"/>
        <w:rPr>
          <w:rFonts w:ascii="Arial" w:cs="Arial" w:eastAsia="Arial" w:hAnsi="Arial"/>
          <w:sz w:val="21"/>
          <w:szCs w:val="21"/>
          <w:color w:val="auto"/>
        </w:rPr>
      </w:pPr>
    </w:p>
    <w:p>
      <w:pPr>
        <w:jc w:val="both"/>
        <w:ind w:firstLine="1305"/>
        <w:spacing w:after="0" w:line="249" w:lineRule="auto"/>
        <w:tabs>
          <w:tab w:leader="none" w:pos="1793"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RSUs Subject to Plan</w:t>
      </w:r>
      <w:r>
        <w:rPr>
          <w:rFonts w:ascii="Arial" w:cs="Arial" w:eastAsia="Arial" w:hAnsi="Arial"/>
          <w:sz w:val="21"/>
          <w:szCs w:val="21"/>
          <w:color w:val="auto"/>
        </w:rPr>
        <w:t>. All the RSUs are subject to the Plan, a copy of which has been provided to the Participant and the terms of which are incorporated herein by this reference. In the event of a conflict between any term or provision contained herein and a term or provision of the Plan, the applicable terms and provisions of the Plan will govern and prevail. The Notice and these Terms and Conditions may only be amended in writing.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Remainder of page intentionally left blank</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#23206959 v6</w:t>
      </w:r>
    </w:p>
    <w:p>
      <w:pPr>
        <w:sectPr>
          <w:pgSz w:w="11900" w:h="16838" w:orient="portrait"/>
          <w:cols w:equalWidth="0" w:num="1">
            <w:col w:w="11420"/>
          </w:cols>
          <w:pgMar w:left="240" w:top="624" w:right="239" w:bottom="1440" w:gutter="0" w:footer="0" w:header="0"/>
        </w:sectPr>
      </w:pPr>
    </w:p>
    <w:bookmarkStart w:id="166" w:name="page167"/>
    <w:bookmarkEnd w:id="166"/>
    <w:p>
      <w:pPr>
        <w:jc w:val="right"/>
        <w:ind w:right="20"/>
        <w:spacing w:after="0"/>
        <w:rPr>
          <w:sz w:val="20"/>
          <w:szCs w:val="20"/>
          <w:color w:val="auto"/>
        </w:rPr>
      </w:pPr>
      <w:r>
        <w:rPr>
          <w:rFonts w:ascii="Arial" w:cs="Arial" w:eastAsia="Arial" w:hAnsi="Arial"/>
          <w:sz w:val="18"/>
          <w:szCs w:val="18"/>
          <w:b w:val="1"/>
          <w:bCs w:val="1"/>
          <w:color w:val="auto"/>
        </w:rPr>
        <w:t>Exhibit 10.50</w:t>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LLP Partners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EVERCORE PARTNERS INC.</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u w:val="single" w:color="auto"/>
          <w:color w:val="auto"/>
        </w:rPr>
        <w:t>NOTICE OF AWARD OF RESTRICTED STOCK UNITS</w:t>
      </w:r>
    </w:p>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Evercore Partners Inc. (the “</w:t>
      </w:r>
      <w:r>
        <w:rPr>
          <w:rFonts w:ascii="Arial" w:cs="Arial" w:eastAsia="Arial" w:hAnsi="Arial"/>
          <w:sz w:val="20"/>
          <w:szCs w:val="20"/>
          <w:i w:val="1"/>
          <w:iCs w:val="1"/>
          <w:color w:val="auto"/>
        </w:rPr>
        <w:t>Company</w:t>
      </w:r>
      <w:r>
        <w:rPr>
          <w:rFonts w:ascii="Arial" w:cs="Arial" w:eastAsia="Arial" w:hAnsi="Arial"/>
          <w:sz w:val="20"/>
          <w:szCs w:val="20"/>
          <w:color w:val="auto"/>
        </w:rPr>
        <w:t>”), pursuant to its Amended and Restated 2006 Stock Incentive Plan (the “</w:t>
      </w:r>
      <w:r>
        <w:rPr>
          <w:rFonts w:ascii="Arial" w:cs="Arial" w:eastAsia="Arial" w:hAnsi="Arial"/>
          <w:sz w:val="20"/>
          <w:szCs w:val="20"/>
          <w:i w:val="1"/>
          <w:iCs w:val="1"/>
          <w:color w:val="auto"/>
        </w:rPr>
        <w:t>Plan</w:t>
      </w:r>
      <w:r>
        <w:rPr>
          <w:rFonts w:ascii="Arial" w:cs="Arial" w:eastAsia="Arial" w:hAnsi="Arial"/>
          <w:sz w:val="20"/>
          <w:szCs w:val="20"/>
          <w:color w:val="auto"/>
        </w:rPr>
        <w:t>”), hereby awards to the participant identified below a restricted stock unit award (the “</w:t>
      </w:r>
      <w:r>
        <w:rPr>
          <w:rFonts w:ascii="Arial" w:cs="Arial" w:eastAsia="Arial" w:hAnsi="Arial"/>
          <w:sz w:val="20"/>
          <w:szCs w:val="20"/>
          <w:i w:val="1"/>
          <w:iCs w:val="1"/>
          <w:color w:val="auto"/>
        </w:rPr>
        <w:t>Award</w:t>
      </w:r>
      <w:r>
        <w:rPr>
          <w:rFonts w:ascii="Arial" w:cs="Arial" w:eastAsia="Arial" w:hAnsi="Arial"/>
          <w:sz w:val="20"/>
          <w:szCs w:val="20"/>
          <w:color w:val="auto"/>
        </w:rPr>
        <w:t xml:space="preserve">”) with respect to the number of shares of the Company’s Class A common stock (“Shares”) indicated below in this Notice of Award of Restricted Stock Units (the </w:t>
      </w:r>
      <w:r>
        <w:rPr>
          <w:rFonts w:ascii="Arial" w:cs="Arial" w:eastAsia="Arial" w:hAnsi="Arial"/>
          <w:sz w:val="20"/>
          <w:szCs w:val="20"/>
          <w:i w:val="1"/>
          <w:iCs w:val="1"/>
          <w:color w:val="auto"/>
        </w:rPr>
        <w:t>“Notice”</w:t>
      </w:r>
      <w:r>
        <w:rPr>
          <w:rFonts w:ascii="Arial" w:cs="Arial" w:eastAsia="Arial" w:hAnsi="Arial"/>
          <w:sz w:val="20"/>
          <w:szCs w:val="20"/>
          <w:color w:val="auto"/>
        </w:rPr>
        <w:t>). The Award is effective on the grant date indicated below and is subject to the terms set forth herein and in the Restricted Stock Unit Award Terms and Conditions attached hereto (the “</w:t>
      </w:r>
      <w:r>
        <w:rPr>
          <w:rFonts w:ascii="Arial" w:cs="Arial" w:eastAsia="Arial" w:hAnsi="Arial"/>
          <w:sz w:val="20"/>
          <w:szCs w:val="20"/>
          <w:i w:val="1"/>
          <w:iCs w:val="1"/>
          <w:color w:val="auto"/>
        </w:rPr>
        <w:t>Terms and Conditions</w:t>
      </w:r>
      <w:r>
        <w:rPr>
          <w:rFonts w:ascii="Arial" w:cs="Arial" w:eastAsia="Arial" w:hAnsi="Arial"/>
          <w:sz w:val="20"/>
          <w:szCs w:val="20"/>
          <w:color w:val="auto"/>
        </w:rPr>
        <w:t>”) and your Schedule of Terms (as in effect from time to time, the “</w:t>
      </w:r>
      <w:r>
        <w:rPr>
          <w:rFonts w:ascii="Arial" w:cs="Arial" w:eastAsia="Arial" w:hAnsi="Arial"/>
          <w:sz w:val="20"/>
          <w:szCs w:val="20"/>
          <w:i w:val="1"/>
          <w:iCs w:val="1"/>
          <w:color w:val="auto"/>
        </w:rPr>
        <w:t>SoT</w:t>
      </w:r>
      <w:r>
        <w:rPr>
          <w:rFonts w:ascii="Arial" w:cs="Arial" w:eastAsia="Arial" w:hAnsi="Arial"/>
          <w:sz w:val="20"/>
          <w:szCs w:val="20"/>
          <w:color w:val="auto"/>
        </w:rPr>
        <w:t>”) relating to the Amended and Restated Limited Liability Partnership Deed in Relation to Evercore Partners International LLP (the “</w:t>
      </w:r>
      <w:r>
        <w:rPr>
          <w:rFonts w:ascii="Arial" w:cs="Arial" w:eastAsia="Arial" w:hAnsi="Arial"/>
          <w:sz w:val="20"/>
          <w:szCs w:val="20"/>
          <w:i w:val="1"/>
          <w:iCs w:val="1"/>
          <w:color w:val="auto"/>
        </w:rPr>
        <w:t>LLP</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r>
        <w:rPr>
          <w:rFonts w:ascii="Arial" w:cs="Arial" w:eastAsia="Arial" w:hAnsi="Arial"/>
          <w:sz w:val="20"/>
          <w:szCs w:val="20"/>
          <w:color w:val="auto"/>
        </w:rPr>
        <w:t>,” and together with the SoT, the “</w:t>
      </w:r>
      <w:r>
        <w:rPr>
          <w:rFonts w:ascii="Arial" w:cs="Arial" w:eastAsia="Arial" w:hAnsi="Arial"/>
          <w:sz w:val="20"/>
          <w:szCs w:val="20"/>
          <w:i w:val="1"/>
          <w:iCs w:val="1"/>
          <w:color w:val="auto"/>
        </w:rPr>
        <w:t>LLP Documents</w:t>
      </w:r>
      <w:r>
        <w:rPr>
          <w:rFonts w:ascii="Arial" w:cs="Arial" w:eastAsia="Arial" w:hAnsi="Arial"/>
          <w:sz w:val="20"/>
          <w:szCs w:val="20"/>
          <w:color w:val="auto"/>
        </w:rPr>
        <w:t>”).</w:t>
      </w: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4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Participant</w:t>
            </w:r>
          </w:p>
        </w:tc>
        <w:tc>
          <w:tcPr>
            <w:tcW w:w="6840" w:type="dxa"/>
            <w:vAlign w:val="bottom"/>
            <w:tcBorders>
              <w:top w:val="single" w:sz="8" w:color="00000A"/>
              <w:right w:val="single" w:sz="8" w:color="00000A"/>
            </w:tcBorders>
          </w:tcPr>
          <w:p>
            <w:pPr>
              <w:spacing w:after="0"/>
              <w:rPr>
                <w:sz w:val="24"/>
                <w:szCs w:val="24"/>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Grant Date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February 11, 2014</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Number of RSUs Granted</w:t>
            </w:r>
          </w:p>
        </w:tc>
        <w:tc>
          <w:tcPr>
            <w:tcW w:w="6840" w:type="dxa"/>
            <w:vAlign w:val="bottom"/>
            <w:tcBorders>
              <w:right w:val="single" w:sz="8" w:color="00000A"/>
            </w:tcBorders>
          </w:tcPr>
          <w:p>
            <w:pPr>
              <w:spacing w:after="0"/>
              <w:rPr>
                <w:sz w:val="23"/>
                <w:szCs w:val="23"/>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49"/>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Vesting Schedule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25% of this Award will vest on each of the first, second, third and fourth</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anniversaries of February 4, 2014, subject in each case to the Participant’s</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continued service with one or more of the Company’s Affiliates through the</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89"/>
              </w:rPr>
              <w:t>applicable vesting date and subject further to accelerated vesting in certain cases,</w:t>
            </w:r>
          </w:p>
        </w:tc>
      </w:tr>
      <w:tr>
        <w:trPr>
          <w:trHeight w:val="266"/>
        </w:trPr>
        <w:tc>
          <w:tcPr>
            <w:tcW w:w="4600" w:type="dxa"/>
            <w:vAlign w:val="bottom"/>
            <w:tcBorders>
              <w:left w:val="single" w:sz="8" w:color="00000A"/>
              <w:right w:val="single" w:sz="8" w:color="00000A"/>
            </w:tcBorders>
          </w:tcPr>
          <w:p>
            <w:pPr>
              <w:spacing w:after="0"/>
              <w:rPr>
                <w:sz w:val="23"/>
                <w:szCs w:val="23"/>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all as specified in the attached Terms and Conditions.</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bl>
    <w:p>
      <w:pPr>
        <w:spacing w:after="0" w:line="22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You do not have to accept this Award. If you wish to decline this Award, you should promptly notify the undersigned of your decision in writing. If you do not provide such written notification within 10 days, you will be deemed to have accepted this Award on the terms set forth herein and in the attached Terms and Conditions. Your acceptance of this Award will also constitute your affirmation that you are in compliance with the terms of all restrictive covenants contained in the LLP Documents and that you remain bound by such covenants.</w:t>
      </w:r>
    </w:p>
    <w:p>
      <w:pPr>
        <w:spacing w:after="0" w:line="162"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If you have been promoted or had a change in position and, in conjunction with this Award, have been asked to execute a revised SoT, this Award is contingent on your delivery to the Company of that revised SoT within 10 days of your receipt of this Notice and related Terms and Conditions. Failure to timely execute and deliver the revised SoT will be deemed a rejection of this Award and all rights hereunder.</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EVERCORE PARTNERS INC.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_______________</w:t>
      </w: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Date: ______________</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color w:val="auto"/>
        </w:rPr>
        <w:t>Attachments:</w:t>
      </w:r>
      <w:r>
        <w:rPr>
          <w:sz w:val="20"/>
          <w:szCs w:val="20"/>
          <w:color w:val="auto"/>
        </w:rPr>
        <w:tab/>
      </w:r>
      <w:r>
        <w:rPr>
          <w:rFonts w:ascii="Arial" w:cs="Arial" w:eastAsia="Arial" w:hAnsi="Arial"/>
          <w:sz w:val="19"/>
          <w:szCs w:val="19"/>
          <w:color w:val="auto"/>
        </w:rPr>
        <w:t>Restricted Stock Unit Award Terms and Conditions</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Stock Incentive Plan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40"/>
          </w:cols>
          <w:pgMar w:left="240" w:top="121"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21"/>
          <w:szCs w:val="21"/>
          <w:color w:val="auto"/>
        </w:rPr>
        <w:t>LLP Partners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RESTRICTED STOCK UNIT AWARD TERMS AND CONDITIONS</w:t>
      </w:r>
    </w:p>
    <w:p>
      <w:pPr>
        <w:spacing w:after="0" w:line="21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1"/>
          <w:szCs w:val="21"/>
          <w:color w:val="auto"/>
        </w:rPr>
        <w:t>This document contains the Terms and Conditions of the restricted stock units awarded by the Company to the Participant indicated in the attached Notice. Capitalized terms not otherwise defined herein or in the Notice have the same meanings as defined in the Plan.</w:t>
      </w:r>
    </w:p>
    <w:p>
      <w:pPr>
        <w:spacing w:after="0" w:line="195" w:lineRule="exact"/>
        <w:rPr>
          <w:sz w:val="20"/>
          <w:szCs w:val="20"/>
          <w:color w:val="auto"/>
        </w:rPr>
      </w:pPr>
    </w:p>
    <w:p>
      <w:pPr>
        <w:jc w:val="both"/>
        <w:ind w:firstLine="1305"/>
        <w:spacing w:after="0" w:line="263" w:lineRule="auto"/>
        <w:tabs>
          <w:tab w:leader="none" w:pos="2101"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Grant of RSUs</w:t>
      </w:r>
      <w:r>
        <w:rPr>
          <w:rFonts w:ascii="Arial" w:cs="Arial" w:eastAsia="Arial" w:hAnsi="Arial"/>
          <w:sz w:val="21"/>
          <w:szCs w:val="21"/>
          <w:color w:val="auto"/>
        </w:rPr>
        <w:t>. Effective on the Grant Date, the Company grants to the Participant the number of restricted stock units (</w:t>
      </w:r>
      <w:r>
        <w:rPr>
          <w:rFonts w:ascii="Arial" w:cs="Arial" w:eastAsia="Arial" w:hAnsi="Arial"/>
          <w:sz w:val="21"/>
          <w:szCs w:val="21"/>
          <w:i w:val="1"/>
          <w:iCs w:val="1"/>
          <w:color w:val="auto"/>
        </w:rPr>
        <w:t>“RSUs”</w:t>
      </w:r>
      <w:r>
        <w:rPr>
          <w:rFonts w:ascii="Arial" w:cs="Arial" w:eastAsia="Arial" w:hAnsi="Arial"/>
          <w:sz w:val="21"/>
          <w:szCs w:val="21"/>
          <w:color w:val="auto"/>
        </w:rPr>
        <w:t>) indicated in the Notice, on the terms and conditions hereinafter set forth. Each RSU represents the unfunded, unsecured right of the Participant to receive one Share. The Participant will become vested in the RSUs, and take delivery of the Shares subject thereto, as set forth in these Terms and Conditions.</w:t>
      </w:r>
    </w:p>
    <w:p>
      <w:pPr>
        <w:spacing w:after="0" w:line="170" w:lineRule="exact"/>
        <w:rPr>
          <w:rFonts w:ascii="Arial" w:cs="Arial" w:eastAsia="Arial" w:hAnsi="Arial"/>
          <w:sz w:val="21"/>
          <w:szCs w:val="21"/>
          <w:color w:val="auto"/>
        </w:rPr>
      </w:pPr>
    </w:p>
    <w:p>
      <w:pPr>
        <w:ind w:left="1660" w:hanging="355"/>
        <w:spacing w:after="0"/>
        <w:tabs>
          <w:tab w:leader="none" w:pos="166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Vesting and Delivery</w:t>
      </w:r>
      <w:r>
        <w:rPr>
          <w:rFonts w:ascii="Arial" w:cs="Arial" w:eastAsia="Arial" w:hAnsi="Arial"/>
          <w:sz w:val="21"/>
          <w:szCs w:val="21"/>
          <w:color w:val="auto"/>
        </w:rPr>
        <w:t>.</w:t>
      </w:r>
    </w:p>
    <w:p>
      <w:pPr>
        <w:spacing w:after="0" w:line="231" w:lineRule="exact"/>
        <w:rPr>
          <w:sz w:val="20"/>
          <w:szCs w:val="20"/>
          <w:color w:val="auto"/>
        </w:rPr>
      </w:pPr>
    </w:p>
    <w:p>
      <w:pPr>
        <w:jc w:val="both"/>
        <w:ind w:firstLine="1305"/>
        <w:spacing w:after="0" w:line="267" w:lineRule="auto"/>
        <w:tabs>
          <w:tab w:leader="none" w:pos="217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Subject to the Participant remaining in continuous service with the Company through the relevant Vesting Event (as hereinafter defined), the Participant shall become vested in the RSUs subject hereto as follows (the occurrence of each such event described herein, a </w:t>
      </w:r>
      <w:r>
        <w:rPr>
          <w:rFonts w:ascii="Arial" w:cs="Arial" w:eastAsia="Arial" w:hAnsi="Arial"/>
          <w:sz w:val="21"/>
          <w:szCs w:val="21"/>
          <w:i w:val="1"/>
          <w:iCs w:val="1"/>
          <w:color w:val="auto"/>
        </w:rPr>
        <w:t>“Vesting Event”</w:t>
      </w:r>
      <w:r>
        <w:rPr>
          <w:rFonts w:ascii="Arial" w:cs="Arial" w:eastAsia="Arial" w:hAnsi="Arial"/>
          <w:sz w:val="21"/>
          <w:szCs w:val="21"/>
          <w:color w:val="auto"/>
        </w:rPr>
        <w:t>):</w:t>
      </w:r>
    </w:p>
    <w:p>
      <w:pPr>
        <w:spacing w:after="0" w:line="207" w:lineRule="exact"/>
        <w:rPr>
          <w:sz w:val="20"/>
          <w:szCs w:val="20"/>
          <w:color w:val="auto"/>
        </w:rPr>
      </w:pPr>
    </w:p>
    <w:p>
      <w:pPr>
        <w:ind w:left="2140" w:hanging="835"/>
        <w:spacing w:after="0"/>
        <w:tabs>
          <w:tab w:leader="none" w:pos="21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2015;</w:t>
      </w:r>
    </w:p>
    <w:p>
      <w:pPr>
        <w:spacing w:after="0" w:line="249" w:lineRule="exact"/>
        <w:rPr>
          <w:sz w:val="20"/>
          <w:szCs w:val="20"/>
          <w:color w:val="auto"/>
        </w:rPr>
      </w:pPr>
    </w:p>
    <w:p>
      <w:pPr>
        <w:ind w:left="2200" w:hanging="895"/>
        <w:spacing w:after="0"/>
        <w:tabs>
          <w:tab w:leader="none" w:pos="22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2016;</w:t>
      </w:r>
    </w:p>
    <w:p>
      <w:pPr>
        <w:spacing w:after="0" w:line="249" w:lineRule="exact"/>
        <w:rPr>
          <w:sz w:val="20"/>
          <w:szCs w:val="20"/>
          <w:color w:val="auto"/>
        </w:rPr>
      </w:pPr>
    </w:p>
    <w:p>
      <w:pPr>
        <w:ind w:left="2260" w:hanging="955"/>
        <w:spacing w:after="0"/>
        <w:tabs>
          <w:tab w:leader="none" w:pos="22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2017;</w:t>
      </w:r>
    </w:p>
    <w:p>
      <w:pPr>
        <w:spacing w:after="0" w:line="249" w:lineRule="exact"/>
        <w:rPr>
          <w:sz w:val="20"/>
          <w:szCs w:val="20"/>
          <w:color w:val="auto"/>
        </w:rPr>
      </w:pPr>
    </w:p>
    <w:p>
      <w:pPr>
        <w:ind w:left="2260" w:hanging="955"/>
        <w:spacing w:after="0"/>
        <w:tabs>
          <w:tab w:leader="none" w:pos="22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2018; and</w:t>
      </w:r>
    </w:p>
    <w:p>
      <w:pPr>
        <w:spacing w:after="0" w:line="248" w:lineRule="exact"/>
        <w:rPr>
          <w:rFonts w:ascii="Arial" w:cs="Arial" w:eastAsia="Arial" w:hAnsi="Arial"/>
          <w:sz w:val="19"/>
          <w:szCs w:val="19"/>
          <w:color w:val="auto"/>
        </w:rPr>
      </w:pPr>
    </w:p>
    <w:p>
      <w:pPr>
        <w:jc w:val="both"/>
        <w:ind w:left="660" w:firstLine="645"/>
        <w:spacing w:after="0" w:line="299" w:lineRule="auto"/>
        <w:tabs>
          <w:tab w:leader="none" w:pos="22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otherwise unvested RSUs shall become one hundred percent (100%) vested upon (A) the occurrence of a Change in Control, (B) the occurrence of an event described in clause 35 of the LLP Agreement, or (C) the Participant being a Good Leaver (as defined in the LLP Documents, provided, that clause (c) of the “Rule of 70” definition shall be deleted and replaced with the following: “attained a combined age and years of service equal to at least 65”).</w:t>
      </w:r>
    </w:p>
    <w:p>
      <w:pPr>
        <w:spacing w:after="0" w:line="181" w:lineRule="exact"/>
        <w:rPr>
          <w:sz w:val="20"/>
          <w:szCs w:val="20"/>
          <w:color w:val="auto"/>
        </w:rPr>
      </w:pPr>
    </w:p>
    <w:p>
      <w:pPr>
        <w:jc w:val="both"/>
        <w:ind w:firstLine="1305"/>
        <w:spacing w:after="0" w:line="267" w:lineRule="auto"/>
        <w:tabs>
          <w:tab w:leader="none" w:pos="218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Upon cessation of the Participant’s service with the Company for any reason other than as described in Section 2(a)(v)(C) above, all then unvested RSUs shall immediately be forfeited by the Participant, without payment of any consideration therefor.</w:t>
      </w:r>
    </w:p>
    <w:p>
      <w:pPr>
        <w:spacing w:after="0" w:line="206" w:lineRule="exact"/>
        <w:rPr>
          <w:rFonts w:ascii="Arial" w:cs="Arial" w:eastAsia="Arial" w:hAnsi="Arial"/>
          <w:sz w:val="21"/>
          <w:szCs w:val="21"/>
          <w:color w:val="auto"/>
        </w:rPr>
      </w:pPr>
    </w:p>
    <w:p>
      <w:pPr>
        <w:jc w:val="both"/>
        <w:ind w:firstLine="1305"/>
        <w:spacing w:after="0" w:line="263" w:lineRule="auto"/>
        <w:tabs>
          <w:tab w:leader="none" w:pos="217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Upon the occurrence of a Vesting Event, one Share shall be issuable for each RSU that vests on the date of such Vesting Event, subject to the terms and provisions of the Plan and these Terms and Conditions (including, without limitation, Sections 2(d) and 2(e) below). Thereafter, upon satisfaction of any required tax withholding obligations and except as otherwise provided in Sections 2(d) and 2(e) below, the Company shall deliver to the Participant Shares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20"/>
          </w:cols>
          <w:pgMar w:left="240" w:top="125" w:right="239" w:bottom="1440" w:gutter="0" w:footer="0" w:header="0"/>
        </w:sectPr>
      </w:pPr>
    </w:p>
    <w:bookmarkStart w:id="168" w:name="page169"/>
    <w:bookmarkEnd w:id="168"/>
    <w:p>
      <w:pPr>
        <w:spacing w:after="0"/>
        <w:rPr>
          <w:sz w:val="20"/>
          <w:szCs w:val="20"/>
          <w:color w:val="auto"/>
        </w:rPr>
      </w:pPr>
      <w:r>
        <w:rPr>
          <w:rFonts w:ascii="Arial" w:cs="Arial" w:eastAsia="Arial" w:hAnsi="Arial"/>
          <w:sz w:val="21"/>
          <w:szCs w:val="21"/>
          <w:color w:val="auto"/>
        </w:rPr>
        <w:t>underlying any vested RSUs as soon as practicable (but in no event later than 15 calendar days after the Vesting Event).</w:t>
      </w:r>
    </w:p>
    <w:p>
      <w:pPr>
        <w:spacing w:after="0" w:line="231" w:lineRule="exact"/>
        <w:rPr>
          <w:sz w:val="20"/>
          <w:szCs w:val="20"/>
          <w:color w:val="auto"/>
        </w:rPr>
      </w:pPr>
    </w:p>
    <w:p>
      <w:pPr>
        <w:jc w:val="both"/>
        <w:ind w:firstLine="1305"/>
        <w:spacing w:after="0" w:line="258" w:lineRule="auto"/>
        <w:tabs>
          <w:tab w:leader="none" w:pos="218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 the event of the occurrence of a Vesting Event under Section 2(a)(v)(C) arising from the Participant being “Removed without Cause” (as defined in the LLP Documents), each Share issuable in respect of an RSU then vesting will be delivered by the Company (following satisfaction of applicable tax withholding requirements) within 30 days following the end of the “Restricted Period” (as defined in the LLP Documents); provided the Participant, within such 30 day period, executes a general release of claims against the Company and its Affiliates in a form reasonably prescribed by the Company. If the Participant fails to timely satisfy the release requirements described in the preceding sentence, any RSUs otherwise vesting as a result of the Participant being “Removed without Cause” and any Shares otherwise issuable under this paragraph will be forfeited and the Participant will have no further rights hereunder.</w:t>
      </w:r>
    </w:p>
    <w:p>
      <w:pPr>
        <w:spacing w:after="0" w:line="192" w:lineRule="exact"/>
        <w:rPr>
          <w:rFonts w:ascii="Arial" w:cs="Arial" w:eastAsia="Arial" w:hAnsi="Arial"/>
          <w:sz w:val="21"/>
          <w:szCs w:val="21"/>
          <w:color w:val="auto"/>
        </w:rPr>
      </w:pPr>
    </w:p>
    <w:p>
      <w:pPr>
        <w:jc w:val="both"/>
        <w:ind w:firstLine="1305"/>
        <w:spacing w:after="0" w:line="283" w:lineRule="auto"/>
        <w:tabs>
          <w:tab w:leader="none" w:pos="21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 the event of the Participant’s Qualifying Retirement (as defined in the LLP Documents), each Share issuable in respect of an RSU then vesting will be delivered by the Company (following satisfaction of applicable tax withholding requirements) promptly following the earliest of (i) the Participant’s death, (ii) the Participant’s “Permanent Incapacity” (as defined in the LLP Documents), (iii) a Terminating Material Breach (as defined in the LLP Agreement), and (iv) (A) the first anniversary of the date of the Participant’s cessation of service, if the RSU would otherwise have vested prior to such anniversary pursuant to Sections 2(a)</w:t>
      </w:r>
    </w:p>
    <w:p>
      <w:pPr>
        <w:spacing w:after="0" w:line="4"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(i)-(iv), 2(a)(v)(A) or 2(a)(v)(B), or (B) the date the RSU would otherwise have vested pursuant to Sections 2(a)(i)-(iv), 2(a)(v)(A) or 2(a)(v)(B), if such date is after the first anniversary of your cessation of service; provided that in any case, no forfeiture of the RSU is required pursuant to Section 10. If the forfeiture of an RSU is required pursuant to Section 10, the RSU will be cancelled and the Participant (and his or her heirs or intestate successors) will have no further rights in respect thereof or in respect of any Share underlying such RSU.</w:t>
      </w:r>
    </w:p>
    <w:p>
      <w:pPr>
        <w:spacing w:after="0" w:line="218" w:lineRule="exact"/>
        <w:rPr>
          <w:rFonts w:ascii="Arial" w:cs="Arial" w:eastAsia="Arial" w:hAnsi="Arial"/>
          <w:sz w:val="19"/>
          <w:szCs w:val="19"/>
          <w:color w:val="auto"/>
        </w:rPr>
      </w:pPr>
    </w:p>
    <w:p>
      <w:pPr>
        <w:jc w:val="both"/>
        <w:ind w:firstLine="1305"/>
        <w:spacing w:after="0" w:line="280" w:lineRule="auto"/>
        <w:tabs>
          <w:tab w:leader="none" w:pos="215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In the event of the death of the Participant, the delivery of Shares under this Section 2 shall be made in accordance with the beneficiary designation form on file with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absence of any such beneficiary designation form, the delivery of Shares under this Section 2 shall be made to the person or persons to whom the Participant’s rights with respect to this Award shall pass by will or by the applicable laws of descent and distribution.</w:t>
      </w:r>
    </w:p>
    <w:p>
      <w:pPr>
        <w:spacing w:after="0" w:line="196" w:lineRule="exact"/>
        <w:rPr>
          <w:rFonts w:ascii="Arial" w:cs="Arial" w:eastAsia="Arial" w:hAnsi="Arial"/>
          <w:sz w:val="20"/>
          <w:szCs w:val="20"/>
          <w:color w:val="auto"/>
        </w:rPr>
      </w:pPr>
    </w:p>
    <w:p>
      <w:pPr>
        <w:ind w:firstLine="1305"/>
        <w:spacing w:after="0" w:line="279" w:lineRule="auto"/>
        <w:tabs>
          <w:tab w:leader="none" w:pos="218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For purposes of these Terms and Conditions, service with the Company will be deemed to include service with the Company’s Affiliates, but only during the period of such affiliation.</w:t>
      </w:r>
    </w:p>
    <w:p>
      <w:pPr>
        <w:spacing w:after="0" w:line="181" w:lineRule="exact"/>
        <w:rPr>
          <w:sz w:val="20"/>
          <w:szCs w:val="20"/>
          <w:color w:val="auto"/>
        </w:rPr>
      </w:pPr>
    </w:p>
    <w:p>
      <w:pPr>
        <w:ind w:right="20" w:firstLine="1305"/>
        <w:spacing w:after="0" w:line="266" w:lineRule="auto"/>
        <w:tabs>
          <w:tab w:leader="none" w:pos="1783"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Adjustments Upon Certain Events</w:t>
      </w:r>
      <w:r>
        <w:rPr>
          <w:rFonts w:ascii="Arial" w:cs="Arial" w:eastAsia="Arial" w:hAnsi="Arial"/>
          <w:sz w:val="21"/>
          <w:szCs w:val="21"/>
          <w:color w:val="auto"/>
        </w:rPr>
        <w:t>. The Committee shall, in its sole discretion, make equitable substitutions or adjustments to the number of Shares and RSUs subject hereto pursuant to Section 9(a)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20"/>
          </w:cols>
          <w:pgMar w:left="240" w:top="624" w:right="239" w:bottom="1440" w:gutter="0" w:footer="0" w:header="0"/>
        </w:sectPr>
      </w:pPr>
    </w:p>
    <w:bookmarkStart w:id="169" w:name="page170"/>
    <w:bookmarkEnd w:id="169"/>
    <w:p>
      <w:pPr>
        <w:jc w:val="both"/>
        <w:ind w:firstLine="1305"/>
        <w:spacing w:after="0" w:line="284" w:lineRule="auto"/>
        <w:tabs>
          <w:tab w:leader="none" w:pos="170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Neither the Plan, the Notice nor these Terms and Conditions shall be construed as giving the Participant the right to be retained in the employ or service of, or in any consulting relationship with, the Company or any of its Affiliates. Further, the Company (or, as applicable, its Affiliates) may at any time dismiss the Participant, free from any liability or any claim under the Plan, the Notice or these Terms and Conditions, except as otherwise expressly provided herein.</w:t>
      </w:r>
    </w:p>
    <w:p>
      <w:pPr>
        <w:spacing w:after="0" w:line="154" w:lineRule="exact"/>
        <w:rPr>
          <w:rFonts w:ascii="Arial" w:cs="Arial" w:eastAsia="Arial" w:hAnsi="Arial"/>
          <w:sz w:val="19"/>
          <w:szCs w:val="19"/>
          <w:color w:val="auto"/>
        </w:rPr>
      </w:pPr>
    </w:p>
    <w:p>
      <w:pPr>
        <w:jc w:val="both"/>
        <w:ind w:firstLine="1305"/>
        <w:spacing w:after="0" w:line="253" w:lineRule="auto"/>
        <w:tabs>
          <w:tab w:leader="none" w:pos="1743"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No Acquired Rights</w:t>
      </w:r>
      <w:r>
        <w:rPr>
          <w:rFonts w:ascii="Arial" w:cs="Arial" w:eastAsia="Arial" w:hAnsi="Arial"/>
          <w:sz w:val="21"/>
          <w:szCs w:val="21"/>
          <w:color w:val="auto"/>
        </w:rPr>
        <w:t>. This Award has been granted entirely at the discretion of the Committee. The grant of this Award does not obligate the Company to grant additional Awards to the Participant in the future (whether on the same or different terms).</w:t>
      </w:r>
    </w:p>
    <w:p>
      <w:pPr>
        <w:spacing w:after="0" w:line="181" w:lineRule="exact"/>
        <w:rPr>
          <w:rFonts w:ascii="Arial" w:cs="Arial" w:eastAsia="Arial" w:hAnsi="Arial"/>
          <w:sz w:val="21"/>
          <w:szCs w:val="21"/>
          <w:color w:val="auto"/>
        </w:rPr>
      </w:pPr>
    </w:p>
    <w:p>
      <w:pPr>
        <w:ind w:left="1660" w:hanging="355"/>
        <w:spacing w:after="0"/>
        <w:tabs>
          <w:tab w:leader="none" w:pos="166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No Rights of a Stockholder; Dividend Equivalent Payments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firstLine="1953"/>
        <w:spacing w:after="0" w:line="253" w:lineRule="auto"/>
        <w:tabs>
          <w:tab w:leader="none" w:pos="2487"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Participant shall not have any rights or privileges as a stockholder of the Company, which for the avoidance of doubt includes no rights to dividends or to vote, until the Shares in question have been registered in the Company’s register of stockholders as being held by the Participant.</w:t>
      </w:r>
    </w:p>
    <w:p>
      <w:pPr>
        <w:spacing w:after="0" w:line="181" w:lineRule="exact"/>
        <w:rPr>
          <w:rFonts w:ascii="Arial" w:cs="Arial" w:eastAsia="Arial" w:hAnsi="Arial"/>
          <w:sz w:val="21"/>
          <w:szCs w:val="21"/>
          <w:color w:val="auto"/>
        </w:rPr>
      </w:pPr>
    </w:p>
    <w:p>
      <w:pPr>
        <w:ind w:left="2400" w:hanging="447"/>
        <w:spacing w:after="0"/>
        <w:tabs>
          <w:tab w:leader="none" w:pos="240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foregoing notwithstanding:</w:t>
      </w:r>
    </w:p>
    <w:p>
      <w:pPr>
        <w:spacing w:after="0" w:line="217" w:lineRule="exact"/>
        <w:rPr>
          <w:rFonts w:ascii="Arial" w:cs="Arial" w:eastAsia="Arial" w:hAnsi="Arial"/>
          <w:sz w:val="21"/>
          <w:szCs w:val="21"/>
          <w:color w:val="auto"/>
        </w:rPr>
      </w:pPr>
    </w:p>
    <w:p>
      <w:pPr>
        <w:jc w:val="both"/>
        <w:ind w:firstLine="2601"/>
        <w:spacing w:after="0" w:line="275" w:lineRule="auto"/>
        <w:tabs>
          <w:tab w:leader="none" w:pos="3099" w:val="left"/>
        </w:tabs>
        <w:numPr>
          <w:ilvl w:val="2"/>
          <w:numId w:val="110"/>
        </w:numPr>
        <w:rPr>
          <w:rFonts w:ascii="Arial" w:cs="Arial" w:eastAsia="Arial" w:hAnsi="Arial"/>
          <w:sz w:val="19"/>
          <w:szCs w:val="19"/>
          <w:color w:val="auto"/>
        </w:rPr>
      </w:pPr>
      <w:r>
        <w:rPr>
          <w:rFonts w:ascii="Arial" w:cs="Arial" w:eastAsia="Arial" w:hAnsi="Arial"/>
          <w:sz w:val="19"/>
          <w:szCs w:val="19"/>
          <w:color w:val="auto"/>
        </w:rPr>
        <w:t>if the Company declares and pays a cash dividend or distribution with respect to its Shares, the RSUs subject hereto will be increased by a number of additional RSUs determined by dividing (A) the total dividend or distribution that would then be payable with respect to a number of Shares equal to the number of RSUs outstanding hereunder on the dividend or distribution record date for which no Vesting Event has yet occurred, divided by (B) the Fair Market Value on the date the dividend or distribution is paid. Additional RSUs credited under this paragraph will be subject to the same terms and conditions (including the same vesting and delivery schedule, but not including the right to be credited with additional dividend equivalent RSUs under this section) as the RSUs outstanding hereunder on the applicable dividend or distribution record date for which no Vesting Event has yet occurred.</w:t>
      </w:r>
    </w:p>
    <w:p>
      <w:pPr>
        <w:spacing w:after="0" w:line="165" w:lineRule="exact"/>
        <w:rPr>
          <w:rFonts w:ascii="Arial" w:cs="Arial" w:eastAsia="Arial" w:hAnsi="Arial"/>
          <w:sz w:val="19"/>
          <w:szCs w:val="19"/>
          <w:color w:val="auto"/>
        </w:rPr>
      </w:pPr>
    </w:p>
    <w:p>
      <w:pPr>
        <w:jc w:val="both"/>
        <w:ind w:firstLine="2601"/>
        <w:spacing w:after="0" w:line="247" w:lineRule="auto"/>
        <w:tabs>
          <w:tab w:leader="none" w:pos="3067" w:val="left"/>
        </w:tabs>
        <w:numPr>
          <w:ilvl w:val="2"/>
          <w:numId w:val="110"/>
        </w:numPr>
        <w:rPr>
          <w:rFonts w:ascii="Arial" w:cs="Arial" w:eastAsia="Arial" w:hAnsi="Arial"/>
          <w:sz w:val="21"/>
          <w:szCs w:val="21"/>
          <w:color w:val="auto"/>
        </w:rPr>
      </w:pPr>
      <w:r>
        <w:rPr>
          <w:rFonts w:ascii="Arial" w:cs="Arial" w:eastAsia="Arial" w:hAnsi="Arial"/>
          <w:sz w:val="21"/>
          <w:szCs w:val="21"/>
          <w:color w:val="auto"/>
        </w:rPr>
        <w:t>if the Company declares and pays a cash dividend or distribution with respect to its Shares after the occurrence of a Vesting Event with respect to particular RSUs but before Shares are issued in respect thereof, the Company will make a special cash payment to the Participant equal to the amount of the dividend or distribution that would have been payable to the Participant had he or she been the record holder of those Shares on the record date of such dividend or distribution. Such special cash payment will be subject to withholding for applicable taxes.</w:t>
      </w:r>
    </w:p>
    <w:p>
      <w:pPr>
        <w:spacing w:after="0" w:line="188" w:lineRule="exact"/>
        <w:rPr>
          <w:rFonts w:ascii="Arial" w:cs="Arial" w:eastAsia="Arial" w:hAnsi="Arial"/>
          <w:sz w:val="21"/>
          <w:szCs w:val="21"/>
          <w:color w:val="auto"/>
        </w:rPr>
      </w:pPr>
    </w:p>
    <w:p>
      <w:pPr>
        <w:jc w:val="both"/>
        <w:ind w:firstLine="1305"/>
        <w:spacing w:after="0" w:line="245" w:lineRule="auto"/>
        <w:tabs>
          <w:tab w:leader="none" w:pos="1675"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Transferability of Shares</w:t>
      </w:r>
      <w:r>
        <w:rPr>
          <w:rFonts w:ascii="Arial" w:cs="Arial" w:eastAsia="Arial" w:hAnsi="Arial"/>
          <w:sz w:val="21"/>
          <w:szCs w:val="21"/>
          <w:color w:val="auto"/>
        </w:rPr>
        <w:t>. Any Shares issued or transferred to the Participant pursuant to this Award shall be subject to such stop transfer orders and other restrictions as the Committee may deem advisable under the Plan, the Notice, these Terms and Conditions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or make an appropriate entry on the record books of the appropriate registered book-entry custodian, if the Shares are not certificated, to make appropriate reference to such restrictions.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20"/>
          </w:cols>
          <w:pgMar w:left="240" w:top="624" w:right="239" w:bottom="1440" w:gutter="0" w:footer="0" w:header="0"/>
        </w:sectPr>
      </w:pPr>
    </w:p>
    <w:bookmarkStart w:id="170" w:name="page171"/>
    <w:bookmarkEnd w:id="170"/>
    <w:p>
      <w:pPr>
        <w:jc w:val="both"/>
        <w:ind w:firstLine="1305"/>
        <w:spacing w:after="0" w:line="266" w:lineRule="auto"/>
        <w:tabs>
          <w:tab w:leader="none" w:pos="1675"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Transferability of RSUs</w:t>
      </w:r>
      <w:r>
        <w:rPr>
          <w:rFonts w:ascii="Arial" w:cs="Arial" w:eastAsia="Arial" w:hAnsi="Arial"/>
          <w:sz w:val="20"/>
          <w:szCs w:val="20"/>
          <w:color w:val="auto"/>
        </w:rPr>
        <w:t>. Except as set forth in Section 2(f), the RSUs (and, prior to their actual issuance, the Shares subject hereto) may not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8 shall be void and unenforceable.</w:t>
      </w:r>
    </w:p>
    <w:p>
      <w:pPr>
        <w:spacing w:after="0" w:line="168" w:lineRule="exact"/>
        <w:rPr>
          <w:rFonts w:ascii="Arial" w:cs="Arial" w:eastAsia="Arial" w:hAnsi="Arial"/>
          <w:sz w:val="20"/>
          <w:szCs w:val="20"/>
          <w:color w:val="auto"/>
        </w:rPr>
      </w:pPr>
    </w:p>
    <w:p>
      <w:pPr>
        <w:jc w:val="both"/>
        <w:ind w:firstLine="1305"/>
        <w:spacing w:after="0" w:line="284" w:lineRule="auto"/>
        <w:tabs>
          <w:tab w:leader="none" w:pos="172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or any Affiliate shall have the right and are hereby authorized to withhold from any transfer due under this Award, or from any other compensation or amount owing to the Participant, applicable withholding taxes with respect to this Award to satisfy all obligations for the payment of such taxes. The payment of any applicable withholding taxes through the withholding of Shares otherwise issuable under this Award shall not exceed the minimum required withholding liability.</w:t>
      </w:r>
    </w:p>
    <w:p>
      <w:pPr>
        <w:spacing w:after="0" w:line="154" w:lineRule="exact"/>
        <w:rPr>
          <w:rFonts w:ascii="Arial" w:cs="Arial" w:eastAsia="Arial" w:hAnsi="Arial"/>
          <w:sz w:val="19"/>
          <w:szCs w:val="19"/>
          <w:color w:val="auto"/>
        </w:rPr>
      </w:pPr>
    </w:p>
    <w:p>
      <w:pPr>
        <w:ind w:left="1780" w:hanging="475"/>
        <w:spacing w:after="0"/>
        <w:tabs>
          <w:tab w:leader="none" w:pos="1780"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firstLine="1953"/>
        <w:spacing w:after="0" w:line="247" w:lineRule="auto"/>
        <w:tabs>
          <w:tab w:leader="none" w:pos="2479" w:val="left"/>
        </w:tabs>
        <w:numPr>
          <w:ilvl w:val="1"/>
          <w:numId w:val="111"/>
        </w:numPr>
        <w:rPr>
          <w:rFonts w:ascii="Arial" w:cs="Arial" w:eastAsia="Arial" w:hAnsi="Arial"/>
          <w:sz w:val="21"/>
          <w:szCs w:val="21"/>
          <w:color w:val="auto"/>
        </w:rPr>
      </w:pPr>
      <w:r>
        <w:rPr>
          <w:rFonts w:ascii="Arial" w:cs="Arial" w:eastAsia="Arial" w:hAnsi="Arial"/>
          <w:sz w:val="21"/>
          <w:szCs w:val="21"/>
          <w:color w:val="auto"/>
        </w:rPr>
        <w:t xml:space="preserve">The Participant has agreed to be bound by certain restrictive covenants during his or her service to the Company and following the cessation of that service, as included in the LLP Documents (such covenants, together with any restrictive covenants made by the Participant after the date hereof, the </w:t>
      </w:r>
      <w:r>
        <w:rPr>
          <w:rFonts w:ascii="Arial" w:cs="Arial" w:eastAsia="Arial" w:hAnsi="Arial"/>
          <w:sz w:val="21"/>
          <w:szCs w:val="21"/>
          <w:i w:val="1"/>
          <w:iCs w:val="1"/>
          <w:color w:val="auto"/>
        </w:rPr>
        <w:t>“Restrictive Covenants”</w:t>
      </w:r>
      <w:r>
        <w:rPr>
          <w:rFonts w:ascii="Arial" w:cs="Arial" w:eastAsia="Arial" w:hAnsi="Arial"/>
          <w:sz w:val="21"/>
          <w:szCs w:val="21"/>
          <w:color w:val="auto"/>
        </w:rPr>
        <w:t>). As a condition to the issuance or delivery of Shares in respect of RSUs, the Participant may be required to certify, in a manner acceptable to the Company, that he or she continues to be in compliance with the Restrictive Covenants.</w:t>
      </w:r>
    </w:p>
    <w:p>
      <w:pPr>
        <w:spacing w:after="0" w:line="188" w:lineRule="exact"/>
        <w:rPr>
          <w:rFonts w:ascii="Arial" w:cs="Arial" w:eastAsia="Arial" w:hAnsi="Arial"/>
          <w:sz w:val="21"/>
          <w:szCs w:val="21"/>
          <w:color w:val="auto"/>
        </w:rPr>
      </w:pPr>
    </w:p>
    <w:p>
      <w:pPr>
        <w:jc w:val="both"/>
        <w:ind w:firstLine="1953"/>
        <w:spacing w:after="0" w:line="249" w:lineRule="auto"/>
        <w:tabs>
          <w:tab w:leader="none" w:pos="2602" w:val="left"/>
        </w:tabs>
        <w:numPr>
          <w:ilvl w:val="1"/>
          <w:numId w:val="111"/>
        </w:numPr>
        <w:rPr>
          <w:rFonts w:ascii="Arial" w:cs="Arial" w:eastAsia="Arial" w:hAnsi="Arial"/>
          <w:sz w:val="21"/>
          <w:szCs w:val="21"/>
          <w:color w:val="auto"/>
        </w:rPr>
      </w:pPr>
      <w:r>
        <w:rPr>
          <w:rFonts w:ascii="Arial" w:cs="Arial" w:eastAsia="Arial" w:hAnsi="Arial"/>
          <w:sz w:val="21"/>
          <w:szCs w:val="21"/>
          <w:color w:val="auto"/>
        </w:rPr>
        <w:t>If the Participant violates any of the terms of the Restrictive Covenants, then the Participant will immediately forfeit any remaining RSUs (even if otherwise vested) for which Shares have not yet been delivered. In addition, in the event of such conduct, the Participant will be required to repay to the Company any dividend or distribution equivalent amounts paid under Section 6(b)(ii) in respect of such Shares.</w:t>
      </w:r>
    </w:p>
    <w:p>
      <w:pPr>
        <w:spacing w:after="0" w:line="186" w:lineRule="exact"/>
        <w:rPr>
          <w:rFonts w:ascii="Arial" w:cs="Arial" w:eastAsia="Arial" w:hAnsi="Arial"/>
          <w:sz w:val="21"/>
          <w:szCs w:val="21"/>
          <w:color w:val="auto"/>
        </w:rPr>
      </w:pPr>
    </w:p>
    <w:p>
      <w:pPr>
        <w:jc w:val="both"/>
        <w:ind w:firstLine="1953"/>
        <w:spacing w:after="0" w:line="275" w:lineRule="auto"/>
        <w:tabs>
          <w:tab w:leader="none" w:pos="249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Similarly, if the Participant’s service with the Company terminates as a result of his or her Qualifying Retirement and if, at any time prior to the delivery of all Shares otherwise deliverable under Section 2(e), the Participant engages in conduct that violates the Restrictive Covenants (regardless of the fact that such Participant is at the time of such violation no longer an employee or whether the time limits in the relevant Restrictive Covenant have otherwise expired), in addition to any other remedies that are available pursuant to the Restrictive Covenants: (i) the Participant will immediately and automatically forfeit any remaining RSUs (even if otherwise vested) for which Shares have not yet been delivered, and (ii) the Participant will be required to repay to the Company any dividend or distribution equivalent amounts paid under Section 6(b)(ii) in respect of such RSUs.</w:t>
      </w:r>
    </w:p>
    <w:p>
      <w:pPr>
        <w:spacing w:after="0" w:line="165" w:lineRule="exact"/>
        <w:rPr>
          <w:rFonts w:ascii="Arial" w:cs="Arial" w:eastAsia="Arial" w:hAnsi="Arial"/>
          <w:sz w:val="19"/>
          <w:szCs w:val="19"/>
          <w:color w:val="auto"/>
        </w:rPr>
      </w:pPr>
    </w:p>
    <w:p>
      <w:pPr>
        <w:ind w:left="2400" w:hanging="447"/>
        <w:spacing w:after="0"/>
        <w:tabs>
          <w:tab w:leader="none" w:pos="240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remedies contained in this section will be in addition to, not in lieu of, any other available remedies.</w:t>
      </w:r>
    </w:p>
    <w:p>
      <w:pPr>
        <w:spacing w:after="0" w:line="240" w:lineRule="exact"/>
        <w:rPr>
          <w:rFonts w:ascii="Arial" w:cs="Arial" w:eastAsia="Arial" w:hAnsi="Arial"/>
          <w:sz w:val="19"/>
          <w:szCs w:val="19"/>
          <w:color w:val="auto"/>
        </w:rPr>
      </w:pPr>
    </w:p>
    <w:p>
      <w:pPr>
        <w:ind w:firstLine="1305"/>
        <w:spacing w:after="0" w:line="266" w:lineRule="auto"/>
        <w:tabs>
          <w:tab w:leader="none" w:pos="182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AWARD SHALL BE GOVERNED BY AND CONSTRUED IN ACCORDANCE WITH THE LAWS OF THE STATE OF NEW YORK WITHOUT REGARD TO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20"/>
          </w:cols>
          <w:pgMar w:left="240" w:top="624" w:right="239" w:bottom="1440" w:gutter="0" w:footer="0" w:header="0"/>
        </w:sectPr>
      </w:pPr>
    </w:p>
    <w:bookmarkStart w:id="171" w:name="page172"/>
    <w:bookmarkEnd w:id="171"/>
    <w:p>
      <w:pPr>
        <w:jc w:val="both"/>
        <w:ind w:firstLine="1305"/>
        <w:spacing w:after="0" w:line="249" w:lineRule="auto"/>
        <w:tabs>
          <w:tab w:leader="none" w:pos="1793"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RSUs Subject to Plan</w:t>
      </w:r>
      <w:r>
        <w:rPr>
          <w:rFonts w:ascii="Arial" w:cs="Arial" w:eastAsia="Arial" w:hAnsi="Arial"/>
          <w:sz w:val="21"/>
          <w:szCs w:val="21"/>
          <w:color w:val="auto"/>
        </w:rPr>
        <w:t>. All the RSUs are subject to the Plan, a copy of which has been provided to the Participant and the terms of which are incorporated herein by this reference. In the event of a conflict between any term or provision contained herein and a term or provision of the Plan, the applicable terms and provisions of the Plan will govern and prevail. The Notice and these Terms and Conditions may only be amended in writing.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Remainder of page intentionally left blank</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#24065755 v1</w:t>
      </w:r>
    </w:p>
    <w:p>
      <w:pPr>
        <w:sectPr>
          <w:pgSz w:w="11900" w:h="16838" w:orient="portrait"/>
          <w:cols w:equalWidth="0" w:num="1">
            <w:col w:w="11420"/>
          </w:cols>
          <w:pgMar w:left="240" w:top="624" w:right="239" w:bottom="1440" w:gutter="0" w:footer="0" w:header="0"/>
        </w:sectPr>
      </w:pPr>
    </w:p>
    <w:bookmarkStart w:id="172" w:name="page173"/>
    <w:bookmarkEnd w:id="172"/>
    <w:p>
      <w:pPr>
        <w:jc w:val="right"/>
        <w:ind w:right="20"/>
        <w:spacing w:after="0"/>
        <w:rPr>
          <w:sz w:val="20"/>
          <w:szCs w:val="20"/>
          <w:color w:val="auto"/>
        </w:rPr>
      </w:pPr>
      <w:r>
        <w:rPr>
          <w:rFonts w:ascii="Arial" w:cs="Arial" w:eastAsia="Arial" w:hAnsi="Arial"/>
          <w:sz w:val="18"/>
          <w:szCs w:val="18"/>
          <w:b w:val="1"/>
          <w:bCs w:val="1"/>
          <w:color w:val="auto"/>
        </w:rPr>
        <w:t>Exhibit 10.51</w:t>
      </w:r>
    </w:p>
    <w:p>
      <w:pPr>
        <w:spacing w:after="0" w:line="256"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non –US, non -LLP</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EVERCORE PARTNERS INC.</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u w:val="single" w:color="auto"/>
          <w:color w:val="auto"/>
        </w:rPr>
        <w:t>NOTICE OF AWARD OF RESTRICTED STOCK UNITS</w:t>
      </w:r>
    </w:p>
    <w:p>
      <w:pPr>
        <w:spacing w:after="0" w:line="21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Evercore Partners Inc. (the “</w:t>
      </w:r>
      <w:r>
        <w:rPr>
          <w:rFonts w:ascii="Arial" w:cs="Arial" w:eastAsia="Arial" w:hAnsi="Arial"/>
          <w:sz w:val="21"/>
          <w:szCs w:val="21"/>
          <w:i w:val="1"/>
          <w:iCs w:val="1"/>
          <w:color w:val="auto"/>
        </w:rPr>
        <w:t>Company</w:t>
      </w:r>
      <w:r>
        <w:rPr>
          <w:rFonts w:ascii="Arial" w:cs="Arial" w:eastAsia="Arial" w:hAnsi="Arial"/>
          <w:sz w:val="21"/>
          <w:szCs w:val="21"/>
          <w:color w:val="auto"/>
        </w:rPr>
        <w:t>”), pursuant to its Amended and Restated 2006 Stock Incentive Plan (the “</w:t>
      </w:r>
      <w:r>
        <w:rPr>
          <w:rFonts w:ascii="Arial" w:cs="Arial" w:eastAsia="Arial" w:hAnsi="Arial"/>
          <w:sz w:val="21"/>
          <w:szCs w:val="21"/>
          <w:i w:val="1"/>
          <w:iCs w:val="1"/>
          <w:color w:val="auto"/>
        </w:rPr>
        <w:t>Plan</w:t>
      </w:r>
      <w:r>
        <w:rPr>
          <w:rFonts w:ascii="Arial" w:cs="Arial" w:eastAsia="Arial" w:hAnsi="Arial"/>
          <w:sz w:val="21"/>
          <w:szCs w:val="21"/>
          <w:color w:val="auto"/>
        </w:rPr>
        <w:t>”), hereby awards to the participant identified below a restricted stock unit award (the “</w:t>
      </w:r>
      <w:r>
        <w:rPr>
          <w:rFonts w:ascii="Arial" w:cs="Arial" w:eastAsia="Arial" w:hAnsi="Arial"/>
          <w:sz w:val="21"/>
          <w:szCs w:val="21"/>
          <w:i w:val="1"/>
          <w:iCs w:val="1"/>
          <w:color w:val="auto"/>
        </w:rPr>
        <w:t>Award</w:t>
      </w:r>
      <w:r>
        <w:rPr>
          <w:rFonts w:ascii="Arial" w:cs="Arial" w:eastAsia="Arial" w:hAnsi="Arial"/>
          <w:sz w:val="21"/>
          <w:szCs w:val="21"/>
          <w:color w:val="auto"/>
        </w:rPr>
        <w:t xml:space="preserve">”) with respect to the number of shares of the Company’s Class A common stock (“Shares”) indicated below in this Notice of Award of Restricted Stock Units (the </w:t>
      </w:r>
      <w:r>
        <w:rPr>
          <w:rFonts w:ascii="Arial" w:cs="Arial" w:eastAsia="Arial" w:hAnsi="Arial"/>
          <w:sz w:val="21"/>
          <w:szCs w:val="21"/>
          <w:i w:val="1"/>
          <w:iCs w:val="1"/>
          <w:color w:val="auto"/>
        </w:rPr>
        <w:t>“Notice”</w:t>
      </w:r>
      <w:r>
        <w:rPr>
          <w:rFonts w:ascii="Arial" w:cs="Arial" w:eastAsia="Arial" w:hAnsi="Arial"/>
          <w:sz w:val="21"/>
          <w:szCs w:val="21"/>
          <w:color w:val="auto"/>
        </w:rPr>
        <w:t>). The Award is effective on the grant date indicated below and is subject to the terms set forth herein and in the Restricted Stock Unit Award Terms and Conditions attached hereto (the “</w:t>
      </w:r>
      <w:r>
        <w:rPr>
          <w:rFonts w:ascii="Arial" w:cs="Arial" w:eastAsia="Arial" w:hAnsi="Arial"/>
          <w:sz w:val="21"/>
          <w:szCs w:val="21"/>
          <w:i w:val="1"/>
          <w:iCs w:val="1"/>
          <w:color w:val="auto"/>
        </w:rPr>
        <w:t>Terms and Conditions</w:t>
      </w:r>
      <w:r>
        <w:rPr>
          <w:rFonts w:ascii="Arial" w:cs="Arial" w:eastAsia="Arial" w:hAnsi="Arial"/>
          <w:sz w:val="21"/>
          <w:szCs w:val="21"/>
          <w:color w:val="auto"/>
        </w:rPr>
        <w:t>”).</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4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Participant</w:t>
            </w:r>
          </w:p>
        </w:tc>
        <w:tc>
          <w:tcPr>
            <w:tcW w:w="6840" w:type="dxa"/>
            <w:vAlign w:val="bottom"/>
            <w:tcBorders>
              <w:top w:val="single" w:sz="8" w:color="00000A"/>
              <w:right w:val="single" w:sz="8" w:color="00000A"/>
            </w:tcBorders>
          </w:tcPr>
          <w:p>
            <w:pPr>
              <w:spacing w:after="0"/>
              <w:rPr>
                <w:sz w:val="24"/>
                <w:szCs w:val="24"/>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Grant Date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February 11, 2014</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72"/>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Number of RSUs Granted</w:t>
            </w:r>
          </w:p>
        </w:tc>
        <w:tc>
          <w:tcPr>
            <w:tcW w:w="6840" w:type="dxa"/>
            <w:vAlign w:val="bottom"/>
            <w:tcBorders>
              <w:right w:val="single" w:sz="8" w:color="00000A"/>
            </w:tcBorders>
          </w:tcPr>
          <w:p>
            <w:pPr>
              <w:spacing w:after="0"/>
              <w:rPr>
                <w:sz w:val="23"/>
                <w:szCs w:val="23"/>
                <w:color w:val="auto"/>
              </w:rPr>
            </w:pP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r>
        <w:trPr>
          <w:trHeight w:val="249"/>
        </w:trPr>
        <w:tc>
          <w:tcPr>
            <w:tcW w:w="4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Vesting Schedule</w:t>
            </w: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25% of this Award will vest on each of the first, second, third and fourth</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anniversaries of February 4, 2014, subject in each case to the Participant’s</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97"/>
              </w:rPr>
              <w:t>continued service with one or more of the Company’s Affiliates through the</w:t>
            </w:r>
          </w:p>
        </w:tc>
      </w:tr>
      <w:tr>
        <w:trPr>
          <w:trHeight w:val="243"/>
        </w:trPr>
        <w:tc>
          <w:tcPr>
            <w:tcW w:w="4600" w:type="dxa"/>
            <w:vAlign w:val="bottom"/>
            <w:tcBorders>
              <w:left w:val="single" w:sz="8" w:color="00000A"/>
              <w:right w:val="single" w:sz="8" w:color="00000A"/>
            </w:tcBorders>
          </w:tcPr>
          <w:p>
            <w:pPr>
              <w:spacing w:after="0"/>
              <w:rPr>
                <w:sz w:val="21"/>
                <w:szCs w:val="21"/>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w w:val="89"/>
              </w:rPr>
              <w:t>applicable vesting date and subject further to accelerated vesting in certain cases,</w:t>
            </w:r>
          </w:p>
        </w:tc>
      </w:tr>
      <w:tr>
        <w:trPr>
          <w:trHeight w:val="266"/>
        </w:trPr>
        <w:tc>
          <w:tcPr>
            <w:tcW w:w="4600" w:type="dxa"/>
            <w:vAlign w:val="bottom"/>
            <w:tcBorders>
              <w:left w:val="single" w:sz="8" w:color="00000A"/>
              <w:right w:val="single" w:sz="8" w:color="00000A"/>
            </w:tcBorders>
          </w:tcPr>
          <w:p>
            <w:pPr>
              <w:spacing w:after="0"/>
              <w:rPr>
                <w:sz w:val="23"/>
                <w:szCs w:val="23"/>
                <w:color w:val="auto"/>
              </w:rPr>
            </w:pPr>
          </w:p>
        </w:tc>
        <w:tc>
          <w:tcPr>
            <w:tcW w:w="68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all as specified in the attached Terms and Conditions.</w:t>
            </w:r>
          </w:p>
        </w:tc>
      </w:tr>
      <w:tr>
        <w:trPr>
          <w:trHeight w:val="208"/>
        </w:trPr>
        <w:tc>
          <w:tcPr>
            <w:tcW w:w="4600" w:type="dxa"/>
            <w:vAlign w:val="bottom"/>
            <w:tcBorders>
              <w:left w:val="single" w:sz="8" w:color="00000A"/>
              <w:bottom w:val="single" w:sz="8" w:color="00000A"/>
              <w:right w:val="single" w:sz="8" w:color="00000A"/>
            </w:tcBorders>
          </w:tcPr>
          <w:p>
            <w:pPr>
              <w:spacing w:after="0"/>
              <w:rPr>
                <w:sz w:val="18"/>
                <w:szCs w:val="18"/>
                <w:color w:val="auto"/>
              </w:rPr>
            </w:pPr>
          </w:p>
        </w:tc>
        <w:tc>
          <w:tcPr>
            <w:tcW w:w="6840" w:type="dxa"/>
            <w:vAlign w:val="bottom"/>
            <w:tcBorders>
              <w:bottom w:val="single" w:sz="8" w:color="00000A"/>
              <w:right w:val="single" w:sz="8" w:color="00000A"/>
            </w:tcBorders>
          </w:tcPr>
          <w:p>
            <w:pPr>
              <w:spacing w:after="0"/>
              <w:rPr>
                <w:sz w:val="18"/>
                <w:szCs w:val="18"/>
                <w:color w:val="auto"/>
              </w:rPr>
            </w:pPr>
          </w:p>
        </w:tc>
      </w:tr>
    </w:tbl>
    <w:p>
      <w:pPr>
        <w:spacing w:after="0" w:line="228"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You do not have to accept this Award. If you wish to decline this Award, you should promptly notify the undersigned of your decision in writing. If you do not provide such written notification within 10 days, you will be deemed to have accepted this Award on the terms set forth herein and in the attached Terms and Conditions. Your acceptance of this Award will also constitute your affirmation that you are in compliance with the terms of all restrictive covenants that you have previously entered into with the Company or any of its Affiliates and that you remain bound by such covenants.</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If you have been promoted or had a change in position and, in conjunction with this Award, you have been asked to execute a new agreement that includes confidentiality and non-solicitation provisions (a “CN Agreement”), this Award is contingent on your delivery to the Company of an executed new CN Agreement in the form prescribed by the Company within 10 days of your receipt of this Notice and related Terms and Conditions. Failure to timely return the executed new CN Agreement will be deemed a rejection of this Award and all rights hereunder.</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EVERCORE PARTNERS INC.</w:t>
      </w: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________________</w:t>
      </w: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Date: _______________</w:t>
      </w:r>
    </w:p>
    <w:p>
      <w:pPr>
        <w:spacing w:after="0" w:line="200" w:lineRule="exact"/>
        <w:rPr>
          <w:sz w:val="20"/>
          <w:szCs w:val="20"/>
          <w:color w:val="auto"/>
        </w:rPr>
      </w:pP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color w:val="auto"/>
        </w:rPr>
        <w:t>Attachments:</w:t>
      </w:r>
      <w:r>
        <w:rPr>
          <w:sz w:val="20"/>
          <w:szCs w:val="20"/>
          <w:color w:val="auto"/>
        </w:rPr>
        <w:tab/>
      </w:r>
      <w:r>
        <w:rPr>
          <w:rFonts w:ascii="Arial" w:cs="Arial" w:eastAsia="Arial" w:hAnsi="Arial"/>
          <w:sz w:val="19"/>
          <w:szCs w:val="19"/>
          <w:color w:val="auto"/>
        </w:rPr>
        <w:t>Restricted Stock Unit Award Terms and Conditions</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Stock Incentive Plan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40"/>
          </w:cols>
          <w:pgMar w:left="240" w:top="122" w:right="219" w:bottom="1440" w:gutter="0" w:footer="0" w:header="0"/>
        </w:sectPr>
      </w:pPr>
    </w:p>
    <w:bookmarkStart w:id="173" w:name="page174"/>
    <w:bookmarkEnd w:id="173"/>
    <w:p>
      <w:pPr>
        <w:jc w:val="right"/>
        <w:spacing w:after="0"/>
        <w:rPr>
          <w:sz w:val="20"/>
          <w:szCs w:val="20"/>
          <w:color w:val="auto"/>
        </w:rPr>
      </w:pPr>
      <w:r>
        <w:rPr>
          <w:rFonts w:ascii="Arial" w:cs="Arial" w:eastAsia="Arial" w:hAnsi="Arial"/>
          <w:sz w:val="21"/>
          <w:szCs w:val="21"/>
          <w:color w:val="auto"/>
        </w:rPr>
        <w:t>non-US, non-LLP</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RESTRICTED STOCK UNIT AWARD TERMS AND CONDITIONS</w:t>
      </w:r>
    </w:p>
    <w:p>
      <w:pPr>
        <w:spacing w:after="0" w:line="21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1"/>
          <w:szCs w:val="21"/>
          <w:color w:val="auto"/>
        </w:rPr>
        <w:t>This document contains the Terms and Conditions of the restricted stock units awarded by the Company to the Participant indicated in the attached Notice. Capitalized terms not otherwise defined herein or in the Notice have the same meanings as defined in the Plan.</w:t>
      </w:r>
    </w:p>
    <w:p>
      <w:pPr>
        <w:spacing w:after="0" w:line="195" w:lineRule="exact"/>
        <w:rPr>
          <w:sz w:val="20"/>
          <w:szCs w:val="20"/>
          <w:color w:val="auto"/>
        </w:rPr>
      </w:pPr>
    </w:p>
    <w:p>
      <w:pPr>
        <w:jc w:val="both"/>
        <w:ind w:firstLine="1305"/>
        <w:spacing w:after="0" w:line="263" w:lineRule="auto"/>
        <w:tabs>
          <w:tab w:leader="none" w:pos="2101"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Grant of RSUs</w:t>
      </w:r>
      <w:r>
        <w:rPr>
          <w:rFonts w:ascii="Arial" w:cs="Arial" w:eastAsia="Arial" w:hAnsi="Arial"/>
          <w:sz w:val="21"/>
          <w:szCs w:val="21"/>
          <w:color w:val="auto"/>
        </w:rPr>
        <w:t>. Effective on the Grant Date, the Company grants to the Participant the number of restricted stock units (</w:t>
      </w:r>
      <w:r>
        <w:rPr>
          <w:rFonts w:ascii="Arial" w:cs="Arial" w:eastAsia="Arial" w:hAnsi="Arial"/>
          <w:sz w:val="21"/>
          <w:szCs w:val="21"/>
          <w:i w:val="1"/>
          <w:iCs w:val="1"/>
          <w:color w:val="auto"/>
        </w:rPr>
        <w:t>“RSUs”</w:t>
      </w:r>
      <w:r>
        <w:rPr>
          <w:rFonts w:ascii="Arial" w:cs="Arial" w:eastAsia="Arial" w:hAnsi="Arial"/>
          <w:sz w:val="21"/>
          <w:szCs w:val="21"/>
          <w:color w:val="auto"/>
        </w:rPr>
        <w:t>) indicated in the Notice, on the terms and conditions hereinafter set forth. Each RSU represents the unfunded, unsecured right of the Participant to receive one Share. The Participant will become vested in the RSUs, and take delivery of the Shares subject thereto, as set forth in these Terms and Conditions.</w:t>
      </w:r>
    </w:p>
    <w:p>
      <w:pPr>
        <w:spacing w:after="0" w:line="170" w:lineRule="exact"/>
        <w:rPr>
          <w:rFonts w:ascii="Arial" w:cs="Arial" w:eastAsia="Arial" w:hAnsi="Arial"/>
          <w:sz w:val="21"/>
          <w:szCs w:val="21"/>
          <w:color w:val="auto"/>
        </w:rPr>
      </w:pPr>
    </w:p>
    <w:p>
      <w:pPr>
        <w:ind w:left="1660" w:hanging="355"/>
        <w:spacing w:after="0"/>
        <w:tabs>
          <w:tab w:leader="none" w:pos="166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Vesting and Delivery</w:t>
      </w:r>
      <w:r>
        <w:rPr>
          <w:rFonts w:ascii="Arial" w:cs="Arial" w:eastAsia="Arial" w:hAnsi="Arial"/>
          <w:sz w:val="21"/>
          <w:szCs w:val="21"/>
          <w:color w:val="auto"/>
        </w:rPr>
        <w:t>.</w:t>
      </w:r>
    </w:p>
    <w:p>
      <w:pPr>
        <w:spacing w:after="0" w:line="231" w:lineRule="exact"/>
        <w:rPr>
          <w:sz w:val="20"/>
          <w:szCs w:val="20"/>
          <w:color w:val="auto"/>
        </w:rPr>
      </w:pPr>
    </w:p>
    <w:p>
      <w:pPr>
        <w:jc w:val="both"/>
        <w:ind w:firstLine="1305"/>
        <w:spacing w:after="0" w:line="267" w:lineRule="auto"/>
        <w:tabs>
          <w:tab w:leader="none" w:pos="217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Subject to the Participant remaining in continuous service with the Company through the relevant Vesting Event (as hereinafter defined), the Participant shall become vested in the RSUs subject hereto as follows (the occurrence of each such event described herein, a </w:t>
      </w:r>
      <w:r>
        <w:rPr>
          <w:rFonts w:ascii="Arial" w:cs="Arial" w:eastAsia="Arial" w:hAnsi="Arial"/>
          <w:sz w:val="21"/>
          <w:szCs w:val="21"/>
          <w:i w:val="1"/>
          <w:iCs w:val="1"/>
          <w:color w:val="auto"/>
        </w:rPr>
        <w:t>“Vesting Event”</w:t>
      </w:r>
      <w:r>
        <w:rPr>
          <w:rFonts w:ascii="Arial" w:cs="Arial" w:eastAsia="Arial" w:hAnsi="Arial"/>
          <w:sz w:val="21"/>
          <w:szCs w:val="21"/>
          <w:color w:val="auto"/>
        </w:rPr>
        <w:t>):</w:t>
      </w:r>
    </w:p>
    <w:p>
      <w:pPr>
        <w:spacing w:after="0" w:line="207" w:lineRule="exact"/>
        <w:rPr>
          <w:sz w:val="20"/>
          <w:szCs w:val="20"/>
          <w:color w:val="auto"/>
        </w:rPr>
      </w:pPr>
    </w:p>
    <w:p>
      <w:pPr>
        <w:ind w:left="2140" w:hanging="835"/>
        <w:spacing w:after="0"/>
        <w:tabs>
          <w:tab w:leader="none" w:pos="21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2015;</w:t>
      </w:r>
    </w:p>
    <w:p>
      <w:pPr>
        <w:spacing w:after="0" w:line="249" w:lineRule="exact"/>
        <w:rPr>
          <w:sz w:val="20"/>
          <w:szCs w:val="20"/>
          <w:color w:val="auto"/>
        </w:rPr>
      </w:pPr>
    </w:p>
    <w:p>
      <w:pPr>
        <w:ind w:left="2200" w:hanging="895"/>
        <w:spacing w:after="0"/>
        <w:tabs>
          <w:tab w:leader="none" w:pos="22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2016;</w:t>
      </w:r>
    </w:p>
    <w:p>
      <w:pPr>
        <w:spacing w:after="0" w:line="249" w:lineRule="exact"/>
        <w:rPr>
          <w:sz w:val="20"/>
          <w:szCs w:val="20"/>
          <w:color w:val="auto"/>
        </w:rPr>
      </w:pPr>
    </w:p>
    <w:p>
      <w:pPr>
        <w:ind w:left="2260" w:hanging="955"/>
        <w:spacing w:after="0"/>
        <w:tabs>
          <w:tab w:leader="none" w:pos="22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2017;</w:t>
      </w:r>
    </w:p>
    <w:p>
      <w:pPr>
        <w:spacing w:after="0" w:line="249" w:lineRule="exact"/>
        <w:rPr>
          <w:sz w:val="20"/>
          <w:szCs w:val="20"/>
          <w:color w:val="auto"/>
        </w:rPr>
      </w:pPr>
    </w:p>
    <w:p>
      <w:pPr>
        <w:ind w:left="2260" w:hanging="955"/>
        <w:spacing w:after="0"/>
        <w:tabs>
          <w:tab w:leader="none" w:pos="22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Twenty-five percent (25%) of the total number of RSUs subject hereto shall become vested on February 4,</w:t>
      </w:r>
    </w:p>
    <w:p>
      <w:pPr>
        <w:spacing w:after="0" w:line="4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2018; and</w:t>
      </w:r>
    </w:p>
    <w:p>
      <w:pPr>
        <w:spacing w:after="0" w:line="248" w:lineRule="exact"/>
        <w:rPr>
          <w:rFonts w:ascii="Arial" w:cs="Arial" w:eastAsia="Arial" w:hAnsi="Arial"/>
          <w:sz w:val="19"/>
          <w:szCs w:val="19"/>
          <w:color w:val="auto"/>
        </w:rPr>
      </w:pPr>
    </w:p>
    <w:p>
      <w:pPr>
        <w:jc w:val="both"/>
        <w:ind w:left="660" w:firstLine="645"/>
        <w:spacing w:after="0" w:line="307" w:lineRule="auto"/>
        <w:tabs>
          <w:tab w:leader="none" w:pos="22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otherwise unvested RSUs shall become one hundred percent (100%) vested upon (A) the occurrence of a Change in Control, (B) the Participant’s death, (C) the Participant’s Disability, (D) the termination of the Participant’s service by the Company without Cause (as defined below), or (E) the Participant’s Qualifying Retirement (as defined below).</w:t>
      </w:r>
    </w:p>
    <w:p>
      <w:pPr>
        <w:spacing w:after="0" w:line="174" w:lineRule="exact"/>
        <w:rPr>
          <w:sz w:val="20"/>
          <w:szCs w:val="20"/>
          <w:color w:val="auto"/>
        </w:rPr>
      </w:pPr>
    </w:p>
    <w:p>
      <w:pPr>
        <w:jc w:val="both"/>
        <w:ind w:firstLine="1305"/>
        <w:spacing w:after="0" w:line="267" w:lineRule="auto"/>
        <w:tabs>
          <w:tab w:leader="none" w:pos="218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Upon cessation of the Participant’s service with the Company for any reason other than death, Disability, Qualifying Retirement or termination by the Company without Cause, all then unvested RSUs shall immediately be forfeited by the Participant, without payment of any consideration therefor.</w:t>
      </w:r>
    </w:p>
    <w:p>
      <w:pPr>
        <w:spacing w:after="0" w:line="206" w:lineRule="exact"/>
        <w:rPr>
          <w:rFonts w:ascii="Arial" w:cs="Arial" w:eastAsia="Arial" w:hAnsi="Arial"/>
          <w:sz w:val="21"/>
          <w:szCs w:val="21"/>
          <w:color w:val="auto"/>
        </w:rPr>
      </w:pPr>
    </w:p>
    <w:p>
      <w:pPr>
        <w:jc w:val="both"/>
        <w:ind w:firstLine="1305"/>
        <w:spacing w:after="0" w:line="263" w:lineRule="auto"/>
        <w:tabs>
          <w:tab w:leader="none" w:pos="217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Upon the occurrence of a Vesting Event, one Share shall be issuable for each RSU that vests on the date of such Vesting Event, subject to the terms and provisions of the Plan and these Terms and Conditions (including, without limitation, Sections 2(d) and 2(e) below). Thereafter, upon satisfaction of any required tax withholding obligations and except as otherwise provided in Sections 2(d) and 2(e) below, the Company shall deliver to the Participant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sz w:val="20"/>
          <w:szCs w:val="20"/>
          <w:color w:val="auto"/>
        </w:rPr>
      </w:pPr>
      <w:r>
        <w:rPr>
          <w:rFonts w:ascii="Arial" w:cs="Arial" w:eastAsia="Arial" w:hAnsi="Arial"/>
          <w:sz w:val="21"/>
          <w:szCs w:val="21"/>
          <w:color w:val="auto"/>
        </w:rPr>
        <w:t>underlying any vested RSUs as soon as practicable (but in no event later than 15 calendar days after the Vesting Event).</w:t>
      </w:r>
    </w:p>
    <w:p>
      <w:pPr>
        <w:spacing w:after="0" w:line="258" w:lineRule="exact"/>
        <w:rPr>
          <w:sz w:val="20"/>
          <w:szCs w:val="20"/>
          <w:color w:val="auto"/>
        </w:rPr>
      </w:pPr>
    </w:p>
    <w:p>
      <w:pPr>
        <w:jc w:val="both"/>
        <w:ind w:firstLine="1305"/>
        <w:spacing w:after="0" w:line="271" w:lineRule="auto"/>
        <w:tabs>
          <w:tab w:leader="none" w:pos="218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 the event of a Vesting Event described in Section 2(a)(v)(D)(termination without Cause), each Share issuable in respect of an RSU then vesting will be delivered by the Company, following satisfaction of applicable tax withholding requirements, within (A) 30 days following the end of the Participant’s post-employment restricted period applicable to the non-solicitation of clients, as set forth in the Participant’s service agreement if the Participant has entered into a service agreement with an Affiliate of the Company and has not entered into a CN Agreement, or (B) 30 days following the end of the Participant’s “Restricted Period” applicable to the non-solicitation of clients, if the Participant has entered into a CN Agreement; provided in either case that, within 30 days following such termination, the Participant executes a general release of claims against the Company and its Affiliates in a form reasonably prescribed by the Company. If the Participant fails to timely satisfy the release requirements described in the preceding sentence, any RSUs otherwise vesting under Section 2(a)(v)(D) and any Shares otherwise issuable under this paragraph will be forfeited and the Participant will have no further rights hereunder.</w:t>
      </w:r>
    </w:p>
    <w:p>
      <w:pPr>
        <w:spacing w:after="0" w:line="212" w:lineRule="exact"/>
        <w:rPr>
          <w:rFonts w:ascii="Arial" w:cs="Arial" w:eastAsia="Arial" w:hAnsi="Arial"/>
          <w:sz w:val="20"/>
          <w:szCs w:val="20"/>
          <w:color w:val="auto"/>
        </w:rPr>
      </w:pPr>
    </w:p>
    <w:p>
      <w:pPr>
        <w:jc w:val="both"/>
        <w:ind w:firstLine="1305"/>
        <w:spacing w:after="0" w:line="284" w:lineRule="auto"/>
        <w:tabs>
          <w:tab w:leader="none" w:pos="217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of a Vesting Event described in Section 2(a)(v)(E)(a Qualifying Retirement), each Share issuable in respect of an RSU then vesting will be delivered by the Company, following satisfaction of applicable tax withholding requirements, promptly following the earliest of: (i) the Participant’s death, (ii) the Participant’s Disability, and (iii) (A) the first anniversary of the date of the Participant’s cessation of service, if the RSU would otherwise have vested prior to such anniversary pursuant to Sections 2(a)</w:t>
      </w:r>
    </w:p>
    <w:p>
      <w:pPr>
        <w:spacing w:after="0" w:line="1"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(i)-(iv)(scheduled vesting dates) or 2(a)(v)(A)(Change in Control), or (B) the date the RSU would otherwise have vested pursuant to Sections 2(a)(i)-(iv) or 2(a)(v)(A), if such date is after the first anniversary of the Participant’s cessation of service; provided that, in any case, no forfeiture of the RSU is required pursuant to Section 11. If the forfeiture of an RSU is required pursuant to Section 11, the RSU will be cancelled and the Participant (and his or her heirs or intestate successors) will have no further rights in respect thereof or in respect of any Share underlying such RSU.</w:t>
      </w:r>
    </w:p>
    <w:p>
      <w:pPr>
        <w:spacing w:after="0" w:line="218" w:lineRule="exact"/>
        <w:rPr>
          <w:rFonts w:ascii="Arial" w:cs="Arial" w:eastAsia="Arial" w:hAnsi="Arial"/>
          <w:sz w:val="19"/>
          <w:szCs w:val="19"/>
          <w:color w:val="auto"/>
        </w:rPr>
      </w:pPr>
    </w:p>
    <w:p>
      <w:pPr>
        <w:jc w:val="both"/>
        <w:ind w:firstLine="1305"/>
        <w:spacing w:after="0" w:line="280" w:lineRule="auto"/>
        <w:tabs>
          <w:tab w:leader="none" w:pos="215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In the event of the death of the Participant, the delivery of Shares under this Section 2 shall be made in accordance with the beneficiary designation form on file with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absence of any such beneficiary designation form, the delivery of Shares under this Section 2 shall be made to the person or persons to whom the Participant’s rights with respect to this Award shall pass by will or by the applicable laws of descent and distribution.</w:t>
      </w:r>
    </w:p>
    <w:p>
      <w:pPr>
        <w:spacing w:after="0" w:line="196" w:lineRule="exact"/>
        <w:rPr>
          <w:rFonts w:ascii="Arial" w:cs="Arial" w:eastAsia="Arial" w:hAnsi="Arial"/>
          <w:sz w:val="20"/>
          <w:szCs w:val="20"/>
          <w:color w:val="auto"/>
        </w:rPr>
      </w:pPr>
    </w:p>
    <w:p>
      <w:pPr>
        <w:ind w:firstLine="1305"/>
        <w:spacing w:after="0" w:line="279" w:lineRule="auto"/>
        <w:tabs>
          <w:tab w:leader="none" w:pos="218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For purposes of these Terms and Conditions, service with the Company will be deemed to include service with the Company’s Affiliates, but only during the period of such affiliation.</w:t>
      </w:r>
    </w:p>
    <w:p>
      <w:pPr>
        <w:spacing w:after="0" w:line="181" w:lineRule="exact"/>
        <w:rPr>
          <w:sz w:val="20"/>
          <w:szCs w:val="20"/>
          <w:color w:val="auto"/>
        </w:rPr>
      </w:pPr>
    </w:p>
    <w:p>
      <w:pPr>
        <w:ind w:right="20" w:firstLine="1305"/>
        <w:spacing w:after="0" w:line="266" w:lineRule="auto"/>
        <w:tabs>
          <w:tab w:leader="none" w:pos="1702"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these Terms and Conditions and notwithstanding any provision of the Plan to the contrary, the following definitions will apply:</w:t>
      </w:r>
    </w:p>
    <w:p>
      <w:pPr>
        <w:spacing w:after="0" w:line="166" w:lineRule="exact"/>
        <w:rPr>
          <w:rFonts w:ascii="Arial" w:cs="Arial" w:eastAsia="Arial" w:hAnsi="Arial"/>
          <w:sz w:val="21"/>
          <w:szCs w:val="21"/>
          <w:color w:val="auto"/>
        </w:rPr>
      </w:pPr>
    </w:p>
    <w:p>
      <w:pPr>
        <w:jc w:val="both"/>
        <w:ind w:firstLine="1953"/>
        <w:spacing w:after="0" w:line="293" w:lineRule="auto"/>
        <w:tabs>
          <w:tab w:leader="none" w:pos="239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 the Participant’s material breach of any of the Restrictive Covenants (as defined below), any published policy of the Company or its Affiliates applicable to the Participant, including the Company’s or any of its Affiliates’ Code of Ethics; (ii) any act or omission by the Participant that causes the Participant, the Company or any of the Company’s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20"/>
          </w:cols>
          <w:pgMar w:left="240" w:top="625" w:right="23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20"/>
          <w:szCs w:val="20"/>
          <w:color w:val="auto"/>
        </w:rPr>
        <w:t>Affiliates to be in violation of any law, rule or regulation related to the business of the Company or its Affiliates, or any rule of any exchange or association of which the Company or its Affiliates is a member, which, in any such case, would make the Participant, the Company or any of the Company’s Affiliates subject to being enjoined, suspended, barred or otherwise disciplined; (iii) the Participant’s conviction of, or plea of guilty or no contest to, any felony; (iv) the Participant’s participation in any fraud or embezzlement; (v) gross negligence, willful misconduct by the Participant in the course of employment or the Participant’s deliberate and unreasonably continuous disregard of his or her material duties; or (vi) the Participant’s committing to, or engaging in any act or making any statement which impairs, impugns, denigrates, disparages or negatively reflects upon the name, reputation or business interests of the Company or any of its Affiliates which, in any such case, has a material adverse effect on the Company; provided, however, that in the case of clauses (i), (ii), (v) and (vi), “Cause” shall not exist if such breach, act or omission, if capable of being cured (in the good faith determination of the Company’s CEO), shall have been cured within ten business days after the Company provides the Participant with written notice thereof.</w:t>
      </w:r>
    </w:p>
    <w:p>
      <w:pPr>
        <w:spacing w:after="0" w:line="181" w:lineRule="exact"/>
        <w:rPr>
          <w:sz w:val="20"/>
          <w:szCs w:val="20"/>
          <w:color w:val="auto"/>
        </w:rPr>
      </w:pPr>
    </w:p>
    <w:p>
      <w:pPr>
        <w:jc w:val="both"/>
        <w:ind w:firstLine="1953"/>
        <w:spacing w:after="0" w:line="246" w:lineRule="auto"/>
        <w:tabs>
          <w:tab w:leader="none" w:pos="2572" w:val="left"/>
        </w:tabs>
        <w:numPr>
          <w:ilvl w:val="1"/>
          <w:numId w:val="1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Retirement</w:t>
      </w:r>
      <w:r>
        <w:rPr>
          <w:rFonts w:ascii="Arial" w:cs="Arial" w:eastAsia="Arial" w:hAnsi="Arial"/>
          <w:sz w:val="21"/>
          <w:szCs w:val="21"/>
          <w:color w:val="auto"/>
        </w:rPr>
        <w:t>” means the Participant’s retirement from service with the Company and its Affiliates after he or she has satisfied the following conditions: (i) the sum of the Participant’s age plus completed years of continuous service with the Company is greater than 65; (ii) the Participant is at least age 55 and has completed at least 5 years of continuous service with the Company; and (iii) the Participant has completed one year of service with the Company after providing the Company with written notice of his or her intent to retire (which notice may not be provided earlier than one year prior to the satisfaction of the conditions stated above in clauses (i) and (ii)).</w:t>
      </w:r>
    </w:p>
    <w:p>
      <w:pPr>
        <w:spacing w:after="0" w:line="189" w:lineRule="exact"/>
        <w:rPr>
          <w:rFonts w:ascii="Arial" w:cs="Arial" w:eastAsia="Arial" w:hAnsi="Arial"/>
          <w:sz w:val="21"/>
          <w:szCs w:val="21"/>
          <w:color w:val="auto"/>
        </w:rPr>
      </w:pPr>
    </w:p>
    <w:p>
      <w:pPr>
        <w:ind w:right="20" w:firstLine="1305"/>
        <w:spacing w:after="0" w:line="266" w:lineRule="auto"/>
        <w:tabs>
          <w:tab w:leader="none" w:pos="1783"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Adjustments Upon Certain Events</w:t>
      </w:r>
      <w:r>
        <w:rPr>
          <w:rFonts w:ascii="Arial" w:cs="Arial" w:eastAsia="Arial" w:hAnsi="Arial"/>
          <w:sz w:val="21"/>
          <w:szCs w:val="21"/>
          <w:color w:val="auto"/>
        </w:rPr>
        <w:t>. The Committee shall, in its sole discretion, make equitable substitutions or adjustments to the number of Shares and RSUs subject hereto pursuant to Section 9(a) of the Plan.</w:t>
      </w:r>
    </w:p>
    <w:p>
      <w:pPr>
        <w:spacing w:after="0" w:line="166" w:lineRule="exact"/>
        <w:rPr>
          <w:rFonts w:ascii="Arial" w:cs="Arial" w:eastAsia="Arial" w:hAnsi="Arial"/>
          <w:sz w:val="21"/>
          <w:szCs w:val="21"/>
          <w:color w:val="auto"/>
        </w:rPr>
      </w:pPr>
    </w:p>
    <w:p>
      <w:pPr>
        <w:jc w:val="both"/>
        <w:ind w:firstLine="1305"/>
        <w:spacing w:after="0" w:line="284" w:lineRule="auto"/>
        <w:tabs>
          <w:tab w:leader="none" w:pos="170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Neither the Plan, the Notice nor these Terms and Conditions shall be construed as giving the Participant the right to be retained in the employ or service of, or in any consulting relationship with, the Company or any of its Affiliates. Further, the Company (or, as applicable, its Affiliates) may at any time dismiss the Participant, free from any liability or any claim under the Plan, the Notice or these Terms and Conditions, except as otherwise expressly provided herein.</w:t>
      </w:r>
    </w:p>
    <w:p>
      <w:pPr>
        <w:spacing w:after="0" w:line="154" w:lineRule="exact"/>
        <w:rPr>
          <w:rFonts w:ascii="Arial" w:cs="Arial" w:eastAsia="Arial" w:hAnsi="Arial"/>
          <w:sz w:val="19"/>
          <w:szCs w:val="19"/>
          <w:color w:val="auto"/>
        </w:rPr>
      </w:pPr>
    </w:p>
    <w:p>
      <w:pPr>
        <w:jc w:val="both"/>
        <w:ind w:firstLine="1305"/>
        <w:spacing w:after="0" w:line="253" w:lineRule="auto"/>
        <w:tabs>
          <w:tab w:leader="none" w:pos="1743"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No Acquired Rights</w:t>
      </w:r>
      <w:r>
        <w:rPr>
          <w:rFonts w:ascii="Arial" w:cs="Arial" w:eastAsia="Arial" w:hAnsi="Arial"/>
          <w:sz w:val="21"/>
          <w:szCs w:val="21"/>
          <w:color w:val="auto"/>
        </w:rPr>
        <w:t>. This Award has been granted entirely at the discretion of the Committee. The grant of this Award does not obligate the Company to grant additional Awards to the Participant in the future (whether on the same or different terms).</w:t>
      </w:r>
    </w:p>
    <w:p>
      <w:pPr>
        <w:spacing w:after="0" w:line="181" w:lineRule="exact"/>
        <w:rPr>
          <w:rFonts w:ascii="Arial" w:cs="Arial" w:eastAsia="Arial" w:hAnsi="Arial"/>
          <w:sz w:val="21"/>
          <w:szCs w:val="21"/>
          <w:color w:val="auto"/>
        </w:rPr>
      </w:pPr>
    </w:p>
    <w:p>
      <w:pPr>
        <w:ind w:left="1660" w:hanging="355"/>
        <w:spacing w:after="0"/>
        <w:tabs>
          <w:tab w:leader="none" w:pos="166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No Rights of a Stockholder; Dividend Equivalent Payments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firstLine="1953"/>
        <w:spacing w:after="0" w:line="253" w:lineRule="auto"/>
        <w:tabs>
          <w:tab w:leader="none" w:pos="2487"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Participant shall not have any rights or privileges as a stockholder of the Company, which for the avoidance of doubt includes no rights to dividends or to vote, until the Shares in question have been registered in the Company’s register of stockholders as being held by the Participant.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20"/>
          </w:cols>
          <w:pgMar w:left="240" w:top="624" w:right="239" w:bottom="1440" w:gutter="0" w:footer="0" w:header="0"/>
        </w:sectPr>
      </w:pPr>
    </w:p>
    <w:bookmarkStart w:id="176" w:name="page177"/>
    <w:bookmarkEnd w:id="176"/>
    <w:p>
      <w:pPr>
        <w:ind w:left="2400" w:hanging="447"/>
        <w:spacing w:after="0"/>
        <w:tabs>
          <w:tab w:leader="none" w:pos="240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foregoing notwithstanding:</w:t>
      </w:r>
    </w:p>
    <w:p>
      <w:pPr>
        <w:spacing w:after="0" w:line="217" w:lineRule="exact"/>
        <w:rPr>
          <w:rFonts w:ascii="Arial" w:cs="Arial" w:eastAsia="Arial" w:hAnsi="Arial"/>
          <w:sz w:val="21"/>
          <w:szCs w:val="21"/>
          <w:color w:val="auto"/>
        </w:rPr>
      </w:pPr>
    </w:p>
    <w:p>
      <w:pPr>
        <w:jc w:val="both"/>
        <w:ind w:firstLine="2601"/>
        <w:spacing w:after="0" w:line="275" w:lineRule="auto"/>
        <w:tabs>
          <w:tab w:leader="none" w:pos="3099" w:val="left"/>
        </w:tabs>
        <w:numPr>
          <w:ilvl w:val="2"/>
          <w:numId w:val="124"/>
        </w:numPr>
        <w:rPr>
          <w:rFonts w:ascii="Arial" w:cs="Arial" w:eastAsia="Arial" w:hAnsi="Arial"/>
          <w:sz w:val="19"/>
          <w:szCs w:val="19"/>
          <w:color w:val="auto"/>
        </w:rPr>
      </w:pPr>
      <w:r>
        <w:rPr>
          <w:rFonts w:ascii="Arial" w:cs="Arial" w:eastAsia="Arial" w:hAnsi="Arial"/>
          <w:sz w:val="19"/>
          <w:szCs w:val="19"/>
          <w:color w:val="auto"/>
        </w:rPr>
        <w:t>if the Company declares and pays a cash dividend or distribution with respect to its Shares, the RSUs subject hereto will be increased by a number of additional RSUs determined by dividing (A) the total dividend or distribution that would then be payable with respect to a number of Shares equal to the number of RSUs outstanding hereunder on the dividend or distribution record date for which no Vesting Event has yet occurred, divided by (B) the Fair Market Value on the date the dividend or distribution is paid. Additional RSUs credited under this paragraph will be subject to the same terms and conditions (including the same vesting and delivery schedule, but not including the right to be credited with additional dividend equivalent RSUs under this section) as the RSUs outstanding hereunder on the applicable dividend or distribution record date for which no Vesting Event has yet occurred.</w:t>
      </w:r>
    </w:p>
    <w:p>
      <w:pPr>
        <w:spacing w:after="0" w:line="165" w:lineRule="exact"/>
        <w:rPr>
          <w:rFonts w:ascii="Arial" w:cs="Arial" w:eastAsia="Arial" w:hAnsi="Arial"/>
          <w:sz w:val="19"/>
          <w:szCs w:val="19"/>
          <w:color w:val="auto"/>
        </w:rPr>
      </w:pPr>
    </w:p>
    <w:p>
      <w:pPr>
        <w:jc w:val="both"/>
        <w:ind w:firstLine="2601"/>
        <w:spacing w:after="0" w:line="247" w:lineRule="auto"/>
        <w:tabs>
          <w:tab w:leader="none" w:pos="3067" w:val="left"/>
        </w:tabs>
        <w:numPr>
          <w:ilvl w:val="2"/>
          <w:numId w:val="124"/>
        </w:numPr>
        <w:rPr>
          <w:rFonts w:ascii="Arial" w:cs="Arial" w:eastAsia="Arial" w:hAnsi="Arial"/>
          <w:sz w:val="21"/>
          <w:szCs w:val="21"/>
          <w:color w:val="auto"/>
        </w:rPr>
      </w:pPr>
      <w:r>
        <w:rPr>
          <w:rFonts w:ascii="Arial" w:cs="Arial" w:eastAsia="Arial" w:hAnsi="Arial"/>
          <w:sz w:val="21"/>
          <w:szCs w:val="21"/>
          <w:color w:val="auto"/>
        </w:rPr>
        <w:t>if the Company declares and pays a cash dividend or distribution with respect to its Shares after the occurrence of a Vesting Event with respect to particular RSUs but before Shares are issued in respect thereof, the Company will make a special cash payment to the Participant equal to the amount of the dividend or distribution that would have been payable to the Participant had he or she been the record holder of those Shares on the record date of such dividend or distribution. Such special cash payment will be subject to withholding for applicable taxes.</w:t>
      </w:r>
    </w:p>
    <w:p>
      <w:pPr>
        <w:spacing w:after="0" w:line="188" w:lineRule="exact"/>
        <w:rPr>
          <w:rFonts w:ascii="Arial" w:cs="Arial" w:eastAsia="Arial" w:hAnsi="Arial"/>
          <w:sz w:val="21"/>
          <w:szCs w:val="21"/>
          <w:color w:val="auto"/>
        </w:rPr>
      </w:pPr>
    </w:p>
    <w:p>
      <w:pPr>
        <w:jc w:val="both"/>
        <w:ind w:firstLine="1305"/>
        <w:spacing w:after="0" w:line="245" w:lineRule="auto"/>
        <w:tabs>
          <w:tab w:leader="none" w:pos="1675"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Transferability of Shares</w:t>
      </w:r>
      <w:r>
        <w:rPr>
          <w:rFonts w:ascii="Arial" w:cs="Arial" w:eastAsia="Arial" w:hAnsi="Arial"/>
          <w:sz w:val="21"/>
          <w:szCs w:val="21"/>
          <w:color w:val="auto"/>
        </w:rPr>
        <w:t>. Any Shares issued or transferred to the Participant pursuant to this Award shall be subject to such stop transfer orders and other restrictions as the Committee may deem advisable under the Plan, the Notice, these Terms and Conditions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or make an appropriate entry on the record books of the appropriate registered book-entry custodian, if the Shares are not certificated, to make appropriate reference to such restrictions.</w:t>
      </w:r>
    </w:p>
    <w:p>
      <w:pPr>
        <w:spacing w:after="0" w:line="192" w:lineRule="exact"/>
        <w:rPr>
          <w:rFonts w:ascii="Arial" w:cs="Arial" w:eastAsia="Arial" w:hAnsi="Arial"/>
          <w:sz w:val="21"/>
          <w:szCs w:val="21"/>
          <w:color w:val="auto"/>
        </w:rPr>
      </w:pPr>
    </w:p>
    <w:p>
      <w:pPr>
        <w:jc w:val="both"/>
        <w:ind w:firstLine="1305"/>
        <w:spacing w:after="0" w:line="266" w:lineRule="auto"/>
        <w:tabs>
          <w:tab w:leader="none" w:pos="1675"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Transferability of RSUs</w:t>
      </w:r>
      <w:r>
        <w:rPr>
          <w:rFonts w:ascii="Arial" w:cs="Arial" w:eastAsia="Arial" w:hAnsi="Arial"/>
          <w:sz w:val="20"/>
          <w:szCs w:val="20"/>
          <w:color w:val="auto"/>
        </w:rPr>
        <w:t>. Except as set forth in Section 2(f), the RSUs (and, prior to their actual issuance, the Shares subject hereto) may not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9 shall be void and unenforceable.</w:t>
      </w:r>
    </w:p>
    <w:p>
      <w:pPr>
        <w:spacing w:after="0" w:line="168" w:lineRule="exact"/>
        <w:rPr>
          <w:rFonts w:ascii="Arial" w:cs="Arial" w:eastAsia="Arial" w:hAnsi="Arial"/>
          <w:sz w:val="20"/>
          <w:szCs w:val="20"/>
          <w:color w:val="auto"/>
        </w:rPr>
      </w:pPr>
    </w:p>
    <w:p>
      <w:pPr>
        <w:jc w:val="both"/>
        <w:ind w:firstLine="1305"/>
        <w:spacing w:after="0" w:line="284" w:lineRule="auto"/>
        <w:tabs>
          <w:tab w:leader="none" w:pos="1820"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or any Affiliate shall have the right and are hereby authorized to withhold from any transfer due under this Award, or from any other compensation or amount owing to the Participant, applicable withholding taxes with respect to this Award to satisfy all obligations for the payment of such taxes. The payment of any applicable withholding taxes through the withholding of Shares otherwise issuable under this Award shall not exceed the minimum required withholding liability.</w:t>
      </w:r>
    </w:p>
    <w:p>
      <w:pPr>
        <w:spacing w:after="0" w:line="154" w:lineRule="exact"/>
        <w:rPr>
          <w:rFonts w:ascii="Arial" w:cs="Arial" w:eastAsia="Arial" w:hAnsi="Arial"/>
          <w:sz w:val="19"/>
          <w:szCs w:val="19"/>
          <w:color w:val="auto"/>
        </w:rPr>
      </w:pPr>
    </w:p>
    <w:p>
      <w:pPr>
        <w:ind w:left="1760" w:hanging="455"/>
        <w:spacing w:after="0"/>
        <w:tabs>
          <w:tab w:leader="none" w:pos="176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ind w:firstLine="1953"/>
        <w:spacing w:after="0" w:line="266" w:lineRule="auto"/>
        <w:tabs>
          <w:tab w:leader="none" w:pos="2472"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Participant has agreed, either as part of a service agreement or pursuant to a CN Agreement, to be bound by certain restrictive covenants during his or her service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20"/>
          </w:cols>
          <w:pgMar w:left="240" w:top="624" w:right="239" w:bottom="1440" w:gutter="0" w:footer="0" w:header="0"/>
        </w:sectPr>
      </w:pPr>
    </w:p>
    <w:bookmarkStart w:id="177" w:name="page178"/>
    <w:bookmarkEnd w:id="177"/>
    <w:p>
      <w:pPr>
        <w:jc w:val="both"/>
        <w:spacing w:after="0" w:line="247" w:lineRule="auto"/>
        <w:rPr>
          <w:sz w:val="20"/>
          <w:szCs w:val="20"/>
          <w:color w:val="auto"/>
        </w:rPr>
      </w:pPr>
      <w:r>
        <w:rPr>
          <w:rFonts w:ascii="Arial" w:cs="Arial" w:eastAsia="Arial" w:hAnsi="Arial"/>
          <w:sz w:val="21"/>
          <w:szCs w:val="21"/>
          <w:color w:val="auto"/>
        </w:rPr>
        <w:t xml:space="preserve">to the Company and following the cessation of that service for any reason and the Participant’s agreement and acknowledgement of the effectiveness of such covenants is a condition to the effectiveness of this Award (such covenants, together with any restrictive covenants made by the Participant after the date hereof, the </w:t>
      </w:r>
      <w:r>
        <w:rPr>
          <w:rFonts w:ascii="Arial" w:cs="Arial" w:eastAsia="Arial" w:hAnsi="Arial"/>
          <w:sz w:val="21"/>
          <w:szCs w:val="21"/>
          <w:i w:val="1"/>
          <w:iCs w:val="1"/>
          <w:color w:val="auto"/>
        </w:rPr>
        <w:t>“Restrictive Covenants”</w:t>
      </w:r>
      <w:r>
        <w:rPr>
          <w:rFonts w:ascii="Arial" w:cs="Arial" w:eastAsia="Arial" w:hAnsi="Arial"/>
          <w:sz w:val="21"/>
          <w:szCs w:val="21"/>
          <w:color w:val="auto"/>
        </w:rPr>
        <w:t>). As a condition to the issuance or delivery of Shares in respect of RSUs, the Participant may be required to certify, in a manner acceptable to the Company, that he or she continues to be in compliance with the Restrictive Covenants.</w:t>
      </w:r>
    </w:p>
    <w:p>
      <w:pPr>
        <w:spacing w:after="0" w:line="189" w:lineRule="exact"/>
        <w:rPr>
          <w:sz w:val="20"/>
          <w:szCs w:val="20"/>
          <w:color w:val="auto"/>
        </w:rPr>
      </w:pPr>
    </w:p>
    <w:p>
      <w:pPr>
        <w:jc w:val="both"/>
        <w:ind w:firstLine="1953"/>
        <w:spacing w:after="0" w:line="249" w:lineRule="auto"/>
        <w:tabs>
          <w:tab w:leader="none" w:pos="2602" w:val="left"/>
        </w:tabs>
        <w:numPr>
          <w:ilvl w:val="1"/>
          <w:numId w:val="126"/>
        </w:numPr>
        <w:rPr>
          <w:rFonts w:ascii="Arial" w:cs="Arial" w:eastAsia="Arial" w:hAnsi="Arial"/>
          <w:sz w:val="21"/>
          <w:szCs w:val="21"/>
          <w:color w:val="auto"/>
        </w:rPr>
      </w:pPr>
      <w:r>
        <w:rPr>
          <w:rFonts w:ascii="Arial" w:cs="Arial" w:eastAsia="Arial" w:hAnsi="Arial"/>
          <w:sz w:val="21"/>
          <w:szCs w:val="21"/>
          <w:color w:val="auto"/>
        </w:rPr>
        <w:t>If the Participant violates any of the terms of the Restrictive Covenants, then the Participant will immediately forfeit any remaining RSUs (even if otherwise vested) for which Shares have not yet been delivered. In addition, in the event of such conduct, the Participant will be required to repay to the Company any dividend or distribution equivalent amounts paid under Section 7(b)(ii) in respect of such Shares.</w:t>
      </w:r>
    </w:p>
    <w:p>
      <w:pPr>
        <w:spacing w:after="0" w:line="186" w:lineRule="exact"/>
        <w:rPr>
          <w:rFonts w:ascii="Arial" w:cs="Arial" w:eastAsia="Arial" w:hAnsi="Arial"/>
          <w:sz w:val="21"/>
          <w:szCs w:val="21"/>
          <w:color w:val="auto"/>
        </w:rPr>
      </w:pPr>
    </w:p>
    <w:p>
      <w:pPr>
        <w:jc w:val="both"/>
        <w:ind w:firstLine="1953"/>
        <w:spacing w:after="0" w:line="275" w:lineRule="auto"/>
        <w:tabs>
          <w:tab w:leader="none" w:pos="2496" w:val="left"/>
        </w:tabs>
        <w:numPr>
          <w:ilvl w:val="1"/>
          <w:numId w:val="126"/>
        </w:numPr>
        <w:rPr>
          <w:rFonts w:ascii="Arial" w:cs="Arial" w:eastAsia="Arial" w:hAnsi="Arial"/>
          <w:sz w:val="19"/>
          <w:szCs w:val="19"/>
          <w:color w:val="auto"/>
        </w:rPr>
      </w:pPr>
      <w:r>
        <w:rPr>
          <w:rFonts w:ascii="Arial" w:cs="Arial" w:eastAsia="Arial" w:hAnsi="Arial"/>
          <w:sz w:val="19"/>
          <w:szCs w:val="19"/>
          <w:color w:val="auto"/>
        </w:rPr>
        <w:t>Similarly, if the Participant’s service with the Company terminates as a result of his or her Qualifying Retirement and if, at any time prior to the delivery of all Shares otherwise deliverable under Section 2(e), the Participant engages in conduct that violates the Restrictive Covenants (regardless of the fact that such Participant is at the time of such violation no longer an employee or whether the time limits in the relevant Restrictive Covenant have otherwise expired), in addition to any other remedies that are available pursuant to the Restrictive Covenants: (i) the Participant will immediately and automatically forfeit any remaining RSUs (even if otherwise vested) for which Shares have not yet been delivered, and (ii) the Participant will be required to repay to the Company any dividend or distribution equivalent amounts paid under Section 7(b)(ii) in respect of such RSUs.</w:t>
      </w:r>
    </w:p>
    <w:p>
      <w:pPr>
        <w:spacing w:after="0" w:line="165" w:lineRule="exact"/>
        <w:rPr>
          <w:rFonts w:ascii="Arial" w:cs="Arial" w:eastAsia="Arial" w:hAnsi="Arial"/>
          <w:sz w:val="19"/>
          <w:szCs w:val="19"/>
          <w:color w:val="auto"/>
        </w:rPr>
      </w:pPr>
    </w:p>
    <w:p>
      <w:pPr>
        <w:ind w:left="2400" w:hanging="447"/>
        <w:spacing w:after="0"/>
        <w:tabs>
          <w:tab w:leader="none" w:pos="24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The remedies contained in this section will be in addition to, not in lieu of, any other available remedies.</w:t>
      </w:r>
    </w:p>
    <w:p>
      <w:pPr>
        <w:spacing w:after="0" w:line="240" w:lineRule="exact"/>
        <w:rPr>
          <w:rFonts w:ascii="Arial" w:cs="Arial" w:eastAsia="Arial" w:hAnsi="Arial"/>
          <w:sz w:val="19"/>
          <w:szCs w:val="19"/>
          <w:color w:val="auto"/>
        </w:rPr>
      </w:pPr>
    </w:p>
    <w:p>
      <w:pPr>
        <w:ind w:firstLine="1305"/>
        <w:spacing w:after="0" w:line="266" w:lineRule="auto"/>
        <w:tabs>
          <w:tab w:leader="none" w:pos="1820"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AWARD SHALL BE GOVERNED BY AND CONSTRUED IN ACCORDANCE WITH THE LAWS OF THE STATE OF NEW YORK WITHOUT REGARD TO CONFLICTS OF LAW.</w:t>
      </w:r>
    </w:p>
    <w:p>
      <w:pPr>
        <w:spacing w:after="0" w:line="166" w:lineRule="exact"/>
        <w:rPr>
          <w:rFonts w:ascii="Arial" w:cs="Arial" w:eastAsia="Arial" w:hAnsi="Arial"/>
          <w:sz w:val="21"/>
          <w:szCs w:val="21"/>
          <w:color w:val="auto"/>
        </w:rPr>
      </w:pPr>
    </w:p>
    <w:p>
      <w:pPr>
        <w:jc w:val="both"/>
        <w:ind w:firstLine="1305"/>
        <w:spacing w:after="0" w:line="249" w:lineRule="auto"/>
        <w:tabs>
          <w:tab w:leader="none" w:pos="1793"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RSUs Subject to Plan</w:t>
      </w:r>
      <w:r>
        <w:rPr>
          <w:rFonts w:ascii="Arial" w:cs="Arial" w:eastAsia="Arial" w:hAnsi="Arial"/>
          <w:sz w:val="21"/>
          <w:szCs w:val="21"/>
          <w:color w:val="auto"/>
        </w:rPr>
        <w:t>. All the RSUs are subject to the Plan, a copy of which has been provided to the Participant and the terms of which are incorporated herein by this reference. In the event of a conflict between any term or provision contained herein and a term or provision of the Plan, the applicable terms and provisions of the Plan will govern and prevail. The Notice and these Terms and Conditions may only be amended in writing.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Remainder of page intentionally left blank</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#24065757 v1</w:t>
      </w:r>
    </w:p>
    <w:p>
      <w:pPr>
        <w:sectPr>
          <w:pgSz w:w="11900" w:h="16838" w:orient="portrait"/>
          <w:cols w:equalWidth="0" w:num="1">
            <w:col w:w="11420"/>
          </w:cols>
          <w:pgMar w:left="240" w:top="625"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ind w:left="13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504"/>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40" w:type="dxa"/>
            <w:vAlign w:val="bottom"/>
            <w:vMerge w:val="restart"/>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14"/>
                <w:szCs w:val="14"/>
                <w:b w:val="1"/>
                <w:bCs w:val="1"/>
                <w:color w:val="auto"/>
              </w:rPr>
              <w:t>Jurisdiction of Incorporation or</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Advisors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GP Holdings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Group Holdings L.P.</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Group Holdings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Group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LP</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Partners Limited</w:t>
            </w:r>
          </w:p>
        </w:tc>
        <w:tc>
          <w:tcPr>
            <w:tcW w:w="2280" w:type="dxa"/>
            <w:vAlign w:val="bottom"/>
          </w:tcPr>
          <w:p>
            <w:pPr>
              <w:ind w:left="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Partners International L.L.P</w:t>
            </w:r>
          </w:p>
        </w:tc>
        <w:tc>
          <w:tcPr>
            <w:tcW w:w="2280" w:type="dxa"/>
            <w:vAlign w:val="bottom"/>
          </w:tcPr>
          <w:p>
            <w:pPr>
              <w:ind w:left="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Partners Services East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Protego Administradores, S. de R.L.</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Partners Mexico, S. de R.L.</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Casa de Bolsa, S.A. de C.V.</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Protego PE, S. de R.L.</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Protego Servicios, S.C.</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Sedna S. de R.L.</w:t>
            </w:r>
          </w:p>
        </w:tc>
        <w:tc>
          <w:tcPr>
            <w:tcW w:w="228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Capital Partners II, L.P.</w:t>
            </w:r>
          </w:p>
        </w:tc>
        <w:tc>
          <w:tcPr>
            <w:tcW w:w="2280" w:type="dxa"/>
            <w:vAlign w:val="bottom"/>
          </w:tcPr>
          <w:p>
            <w:pPr>
              <w:ind w:left="2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Partners II, L.P.</w:t>
            </w:r>
          </w:p>
        </w:tc>
        <w:tc>
          <w:tcPr>
            <w:tcW w:w="2280" w:type="dxa"/>
            <w:vAlign w:val="bottom"/>
          </w:tcPr>
          <w:p>
            <w:pPr>
              <w:ind w:left="2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Management Limited</w:t>
            </w:r>
          </w:p>
        </w:tc>
        <w:tc>
          <w:tcPr>
            <w:tcW w:w="228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Capital Partners III, L.P.</w:t>
            </w:r>
          </w:p>
        </w:tc>
        <w:tc>
          <w:tcPr>
            <w:tcW w:w="2280" w:type="dxa"/>
            <w:vAlign w:val="bottom"/>
          </w:tcPr>
          <w:p>
            <w:pPr>
              <w:ind w:left="2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Partners III, L.P.</w:t>
            </w:r>
          </w:p>
        </w:tc>
        <w:tc>
          <w:tcPr>
            <w:tcW w:w="2280" w:type="dxa"/>
            <w:vAlign w:val="bottom"/>
          </w:tcPr>
          <w:p>
            <w:pPr>
              <w:ind w:left="2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Mexico GP Holdings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Wealth Management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Holdings Limited</w:t>
            </w:r>
          </w:p>
        </w:tc>
        <w:tc>
          <w:tcPr>
            <w:tcW w:w="2280" w:type="dxa"/>
            <w:vAlign w:val="bottom"/>
          </w:tcPr>
          <w:p>
            <w:pPr>
              <w:ind w:left="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Trust Company, N.A.</w:t>
            </w:r>
          </w:p>
        </w:tc>
        <w:tc>
          <w:tcPr>
            <w:tcW w:w="228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Atalanta Sosnoff Capital, L.L.C.</w:t>
            </w:r>
          </w:p>
        </w:tc>
        <w:tc>
          <w:tcPr>
            <w:tcW w:w="228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Asia Limited</w:t>
            </w:r>
          </w:p>
        </w:tc>
        <w:tc>
          <w:tcPr>
            <w:tcW w:w="228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Brasil Participacoes LTDA</w:t>
            </w:r>
          </w:p>
        </w:tc>
        <w:tc>
          <w:tcPr>
            <w:tcW w:w="228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Partners Canada Ltd.</w:t>
            </w:r>
          </w:p>
        </w:tc>
        <w:tc>
          <w:tcPr>
            <w:tcW w:w="228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Private Capital Advisory L.P.</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PCA Holdco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Asia (Singapore) Pte. Ltd.</w:t>
            </w:r>
          </w:p>
        </w:tc>
        <w:tc>
          <w:tcPr>
            <w:tcW w:w="22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BD Investco LLC</w:t>
            </w: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Evercore Group Services Limited</w:t>
            </w:r>
          </w:p>
        </w:tc>
        <w:tc>
          <w:tcPr>
            <w:tcW w:w="2280" w:type="dxa"/>
            <w:vAlign w:val="bottom"/>
          </w:tcPr>
          <w:p>
            <w:pPr>
              <w:ind w:left="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3"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333-136506 and 333-193334 on Forms S-8, Registration Statement No. 333-174866 on Form S-3 ASR, and Registration Statement Nos. 333-145696, 333-159037, 333-167393, and 333-171487 on Forms S-3 of our reports relating to the consolidated financial statements of Evercore Partners Inc. and subsidiaries (the “Company”), and the effectiveness of the Company’s internal control over financial reporting dated February 28, 2014, appearing in this Annual Report on Form 10-K of the Company for the year ended December 31, 2013.</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2014</w:t>
      </w:r>
    </w:p>
    <w:p>
      <w:pPr>
        <w:sectPr>
          <w:pgSz w:w="11900" w:h="16838" w:orient="portrait"/>
          <w:cols w:equalWidth="0" w:num="1">
            <w:col w:w="11400"/>
          </w:cols>
          <w:pgMar w:left="240" w:top="743" w:right="2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Schlosstein, certify that:</w:t>
      </w:r>
    </w:p>
    <w:p>
      <w:pPr>
        <w:spacing w:after="0" w:line="171" w:lineRule="exact"/>
        <w:rPr>
          <w:sz w:val="20"/>
          <w:szCs w:val="20"/>
          <w:color w:val="auto"/>
        </w:rPr>
      </w:pPr>
    </w:p>
    <w:p>
      <w:pPr>
        <w:ind w:left="620" w:hanging="180"/>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Evercore Partners Inc. (the “Registrant”);</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440"/>
        <w:spacing w:after="0" w:line="277" w:lineRule="auto"/>
        <w:tabs>
          <w:tab w:leader="none" w:pos="6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20" w:firstLine="440"/>
        <w:spacing w:after="0" w:line="264" w:lineRule="auto"/>
        <w:tabs>
          <w:tab w:leader="none" w:pos="6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160" w:firstLine="440"/>
        <w:spacing w:after="0" w:line="308" w:lineRule="auto"/>
        <w:tabs>
          <w:tab w:leader="none" w:pos="61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0" w:firstLine="440"/>
        <w:spacing w:after="0" w:line="277" w:lineRule="auto"/>
        <w:tabs>
          <w:tab w:leader="none" w:pos="61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2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2014</w:t>
      </w:r>
    </w:p>
    <w:p>
      <w:pPr>
        <w:spacing w:after="0" w:line="360" w:lineRule="exact"/>
        <w:rPr>
          <w:sz w:val="20"/>
          <w:szCs w:val="20"/>
          <w:color w:val="auto"/>
        </w:rPr>
      </w:pPr>
    </w:p>
    <w:p>
      <w:pPr>
        <w:jc w:val="center"/>
        <w:ind w:left="7220"/>
        <w:spacing w:after="0"/>
        <w:tabs>
          <w:tab w:leader="none" w:pos="160" w:val="left"/>
        </w:tabs>
        <w:rPr>
          <w:sz w:val="20"/>
          <w:szCs w:val="20"/>
          <w:color w:val="auto"/>
        </w:rPr>
      </w:pP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RALPH SCHLOSSTEIN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8"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Ralph Schlosstein</w:t>
      </w:r>
    </w:p>
    <w:p>
      <w:pPr>
        <w:spacing w:after="0" w:line="4"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Chief Executive Officer and Director</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B. Walsh, certify that:</w:t>
      </w:r>
    </w:p>
    <w:p>
      <w:pPr>
        <w:spacing w:after="0" w:line="171" w:lineRule="exact"/>
        <w:rPr>
          <w:sz w:val="20"/>
          <w:szCs w:val="20"/>
          <w:color w:val="auto"/>
        </w:rPr>
      </w:pPr>
    </w:p>
    <w:p>
      <w:pPr>
        <w:ind w:left="620" w:hanging="180"/>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Evercore Partners Inc. (the “Registrant”);</w:t>
      </w:r>
    </w:p>
    <w:p>
      <w:pPr>
        <w:spacing w:after="0" w:line="90"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440"/>
        <w:spacing w:after="0" w:line="277" w:lineRule="auto"/>
        <w:tabs>
          <w:tab w:leader="none" w:pos="61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20" w:firstLine="440"/>
        <w:spacing w:after="0" w:line="264" w:lineRule="auto"/>
        <w:tabs>
          <w:tab w:leader="none" w:pos="6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160" w:firstLine="440"/>
        <w:spacing w:after="0" w:line="308" w:lineRule="auto"/>
        <w:tabs>
          <w:tab w:leader="none" w:pos="61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0" w:firstLine="440"/>
        <w:spacing w:after="0" w:line="277" w:lineRule="auto"/>
        <w:tabs>
          <w:tab w:leader="none" w:pos="6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2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2014</w:t>
      </w:r>
    </w:p>
    <w:p>
      <w:pPr>
        <w:spacing w:after="0" w:line="360" w:lineRule="exact"/>
        <w:rPr>
          <w:sz w:val="20"/>
          <w:szCs w:val="20"/>
          <w:color w:val="auto"/>
        </w:rPr>
      </w:pPr>
    </w:p>
    <w:p>
      <w:pPr>
        <w:jc w:val="center"/>
        <w:ind w:left="7200"/>
        <w:spacing w:after="0"/>
        <w:tabs>
          <w:tab w:leader="none" w:pos="160" w:val="left"/>
        </w:tabs>
        <w:rPr>
          <w:sz w:val="20"/>
          <w:szCs w:val="20"/>
          <w:color w:val="auto"/>
        </w:rPr>
      </w:pP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ROBERT B.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8"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Robert B. Walsh</w:t>
      </w:r>
    </w:p>
    <w:p>
      <w:pPr>
        <w:jc w:val="center"/>
        <w:ind w:left="720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Ralph Schlosstein, Chief Executive Officer of the Company, certify, pursuant to 18 U.S.C. §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65"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2014</w:t>
      </w:r>
    </w:p>
    <w:p>
      <w:pPr>
        <w:spacing w:after="0" w:line="143" w:lineRule="exact"/>
        <w:rPr>
          <w:rFonts w:ascii="Arial" w:cs="Arial" w:eastAsia="Arial" w:hAnsi="Arial"/>
          <w:sz w:val="18"/>
          <w:szCs w:val="18"/>
          <w:color w:val="auto"/>
        </w:rPr>
      </w:pPr>
    </w:p>
    <w:p>
      <w:pPr>
        <w:ind w:left="8280" w:hanging="104"/>
        <w:spacing w:after="0"/>
        <w:tabs>
          <w:tab w:leader="none" w:pos="82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 /  RALPH SCHLOSSTEIN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8"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Ralph Schlosstein</w:t>
      </w:r>
    </w:p>
    <w:p>
      <w:pPr>
        <w:spacing w:after="0" w:line="4"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358" w:lineRule="exact"/>
        <w:rPr>
          <w:sz w:val="20"/>
          <w:szCs w:val="20"/>
          <w:color w:val="auto"/>
        </w:rPr>
      </w:pPr>
    </w:p>
    <w:p>
      <w:pPr>
        <w:ind w:left="500" w:right="360" w:hanging="465"/>
        <w:spacing w:after="0" w:line="277" w:lineRule="auto"/>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Robert B. Walsh, Chief Financial Officer of the Company, certify, pursuant to 18 U.S.C. §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65" w:lineRule="auto"/>
        <w:tabs>
          <w:tab w:leader="none" w:pos="6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2014</w:t>
      </w:r>
    </w:p>
    <w:p>
      <w:pPr>
        <w:spacing w:after="0" w:line="143" w:lineRule="exact"/>
        <w:rPr>
          <w:rFonts w:ascii="Arial" w:cs="Arial" w:eastAsia="Arial" w:hAnsi="Arial"/>
          <w:sz w:val="18"/>
          <w:szCs w:val="18"/>
          <w:color w:val="auto"/>
        </w:rPr>
      </w:pPr>
    </w:p>
    <w:p>
      <w:pPr>
        <w:ind w:left="8460" w:hanging="100"/>
        <w:spacing w:after="0"/>
        <w:tabs>
          <w:tab w:leader="none" w:pos="8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 /  ROBERT B.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Robert B. Walsh</w:t>
      </w:r>
    </w:p>
    <w:p>
      <w:pPr>
        <w:spacing w:after="0" w:line="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Chief Financial Officer</w:t>
      </w:r>
    </w:p>
    <w:p>
      <w:pPr>
        <w:spacing w:after="0" w:line="358" w:lineRule="exact"/>
        <w:rPr>
          <w:sz w:val="20"/>
          <w:szCs w:val="20"/>
          <w:color w:val="auto"/>
        </w:rPr>
      </w:pPr>
    </w:p>
    <w:p>
      <w:pPr>
        <w:ind w:left="500" w:right="360" w:hanging="465"/>
        <w:spacing w:after="0" w:line="277" w:lineRule="auto"/>
        <w:tabs>
          <w:tab w:leader="none" w:pos="5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x"/>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decimal"/>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lowerRoman"/>
      <w:start w:val="3"/>
    </w:lvl>
  </w:abstractNum>
  <w:abstractNum w:abstractNumId="19">
    <w:nsid w:val="3B0FD379"/>
    <w:multiLevelType w:val="hybridMultilevel"/>
    <w:lvl w:ilvl="0">
      <w:lvlJc w:val="left"/>
      <w:lvlText w:val="(%1)"/>
      <w:numFmt w:val="decimal"/>
      <w:start w:val="1"/>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1)"/>
      <w:numFmt w:val="decimal"/>
      <w:start w:val="1"/>
    </w:lvl>
  </w:abstractNum>
  <w:abstractNum w:abstractNumId="22">
    <w:nsid w:val="60B6DF70"/>
    <w:multiLevelType w:val="hybridMultilevel"/>
    <w:lvl w:ilvl="0">
      <w:lvlJc w:val="left"/>
      <w:lvlText w:val="(%1)"/>
      <w:numFmt w:val="lowerLetter"/>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lowerLetter"/>
      <w:start w:val="2"/>
    </w:lvl>
  </w:abstractNum>
  <w:abstractNum w:abstractNumId="25">
    <w:nsid w:val="7FFFCA11"/>
    <w:multiLevelType w:val="hybridMultilevel"/>
    <w:lvl w:ilvl="0">
      <w:lvlJc w:val="left"/>
      <w:lvlText w:val="(%1)"/>
      <w:numFmt w:val="upperLetter"/>
      <w:start w:val="1"/>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1."/>
      <w:numFmt w:val="decimal"/>
      <w:start w:val="2"/>
    </w:lvl>
  </w:abstractNum>
  <w:abstractNum w:abstractNumId="30">
    <w:nsid w:val="6EB5BD4"/>
    <w:multiLevelType w:val="hybridMultilevel"/>
    <w:lvl w:ilvl="0">
      <w:lvlJc w:val="left"/>
      <w:lvlText w:val="%1."/>
      <w:numFmt w:val="decimal"/>
      <w:start w:val="3"/>
    </w:lvl>
  </w:abstractNum>
  <w:abstractNum w:abstractNumId="31">
    <w:nsid w:val="6F6DD9AC"/>
    <w:multiLevelType w:val="hybridMultilevel"/>
    <w:lvl w:ilvl="0">
      <w:lvlJc w:val="left"/>
      <w:lvlText w:val="(%1)"/>
      <w:numFmt w:val="decimal"/>
      <w:start w:val="1"/>
    </w:lvl>
  </w:abstractNum>
  <w:abstractNum w:abstractNumId="32">
    <w:nsid w:val="94211F2"/>
    <w:multiLevelType w:val="hybridMultilevel"/>
    <w:lvl w:ilvl="0">
      <w:lvlJc w:val="left"/>
      <w:lvlText w:val="(%1)"/>
      <w:numFmt w:val="decimal"/>
      <w:start w:val="15"/>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1)"/>
      <w:numFmt w:val="lowerLetter"/>
      <w:start w:val="1"/>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lowerLetter"/>
      <w:start w:val="5"/>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lowerLetter"/>
      <w:start w:val="1"/>
    </w:lvl>
  </w:abstractNum>
  <w:abstractNum w:abstractNumId="40">
    <w:nsid w:val="68EBC550"/>
    <w:multiLevelType w:val="hybridMultilevel"/>
    <w:lvl w:ilvl="0">
      <w:lvlJc w:val="left"/>
      <w:lvlText w:val="(%1)"/>
      <w:numFmt w:val="lowerLetter"/>
      <w:start w:val="1"/>
    </w:lvl>
    <w:lvl w:ilvl="1">
      <w:lvlJc w:val="left"/>
      <w:lvlText w:val="(%2)"/>
      <w:numFmt w:val="lowerRoman"/>
      <w:start w:val="1"/>
    </w:lvl>
  </w:abstractNum>
  <w:abstractNum w:abstractNumId="41">
    <w:nsid w:val="2DF6D648"/>
    <w:multiLevelType w:val="hybridMultilevel"/>
    <w:lvl w:ilvl="0">
      <w:lvlJc w:val="left"/>
      <w:lvlText w:val="(%1)"/>
      <w:numFmt w:val="lowerRoman"/>
      <w:start w:val="8"/>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lowerLetter"/>
      <w:start w:val="1"/>
    </w:lvl>
    <w:lvl w:ilvl="1">
      <w:lvlJc w:val="left"/>
      <w:lvlText w:val="(%2)"/>
      <w:numFmt w:val="lowerLetter"/>
      <w:start w:val="35"/>
    </w:lvl>
  </w:abstractNum>
  <w:abstractNum w:abstractNumId="44">
    <w:nsid w:val="39EE015C"/>
    <w:multiLevelType w:val="hybridMultilevel"/>
    <w:lvl w:ilvl="0">
      <w:lvlJc w:val="left"/>
      <w:lvlText w:val="(%1)"/>
      <w:numFmt w:val="lowerLetter"/>
      <w:start w:val="4"/>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2"/>
    </w:lvl>
  </w:abstractNum>
  <w:abstractNum w:abstractNumId="47">
    <w:nsid w:val="43F18422"/>
    <w:multiLevelType w:val="hybridMultilevel"/>
    <w:lvl w:ilvl="0">
      <w:lvlJc w:val="left"/>
      <w:lvlText w:val="(%1)"/>
      <w:numFmt w:val="lowerLetter"/>
      <w:start w:val="4"/>
    </w:lvl>
  </w:abstractNum>
  <w:abstractNum w:abstractNumId="48">
    <w:nsid w:val="60EF0119"/>
    <w:multiLevelType w:val="hybridMultilevel"/>
    <w:lvl w:ilvl="0">
      <w:lvlJc w:val="left"/>
      <w:lvlText w:val="(%1)"/>
      <w:numFmt w:val="lowerLetter"/>
      <w:start w:val="1"/>
    </w:lvl>
  </w:abstractNum>
  <w:abstractNum w:abstractNumId="49">
    <w:nsid w:val="26F324BA"/>
    <w:multiLevelType w:val="hybridMultilevel"/>
    <w:lvl w:ilvl="0">
      <w:lvlJc w:val="left"/>
      <w:lvlText w:val="(%1)"/>
      <w:numFmt w:val="lowerLetter"/>
      <w:start w:val="3"/>
    </w:lvl>
    <w:lvl w:ilvl="1">
      <w:lvlJc w:val="left"/>
      <w:lvlText w:val="(%2)"/>
      <w:numFmt w:val="lowerRoman"/>
      <w:start w:val="1"/>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3"/>
    </w:lvl>
  </w:abstractNum>
  <w:abstractNum w:abstractNumId="52">
    <w:nsid w:val="7055A5F5"/>
    <w:multiLevelType w:val="hybridMultilevel"/>
    <w:lvl w:ilvl="0">
      <w:lvlJc w:val="left"/>
      <w:lvlText w:val="%1"/>
      <w:numFmt w:val="lowerLetter"/>
      <w:start w:val="1"/>
    </w:lvl>
    <w:lvl w:ilvl="1">
      <w:lvlJc w:val="left"/>
      <w:lvlText w:val="(%2)"/>
      <w:numFmt w:val="lowerLetter"/>
      <w:start w:val="1"/>
    </w:lvl>
  </w:abstractNum>
  <w:abstractNum w:abstractNumId="53">
    <w:nsid w:val="5FB8370B"/>
    <w:multiLevelType w:val="hybridMultilevel"/>
    <w:lvl w:ilvl="0">
      <w:lvlJc w:val="left"/>
      <w:lvlText w:val="(%1)"/>
      <w:numFmt w:val="lowerLetter"/>
      <w:start w:val="35"/>
    </w:lvl>
    <w:lvl w:ilvl="1">
      <w:lvlJc w:val="left"/>
      <w:lvlText w:val="%2"/>
      <w:numFmt w:val="lowerLetter"/>
      <w:start w:val="1"/>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2"/>
    </w:lvl>
  </w:abstractNum>
  <w:abstractNum w:abstractNumId="56">
    <w:nsid w:val="5FB8011C"/>
    <w:multiLevelType w:val="hybridMultilevel"/>
    <w:lvl w:ilvl="0">
      <w:lvlJc w:val="left"/>
      <w:lvlText w:val="(%1)"/>
      <w:numFmt w:val="lowerLetter"/>
      <w:start w:val="3"/>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2"/>
    </w:lvl>
    <w:lvl w:ilvl="1">
      <w:lvlJc w:val="left"/>
      <w:lvlText w:val="(%2)"/>
      <w:numFmt w:val="lowerLetter"/>
      <w:start w:val="35"/>
    </w:lvl>
  </w:abstractNum>
  <w:abstractNum w:abstractNumId="59">
    <w:nsid w:val="6FC75AF8"/>
    <w:multiLevelType w:val="hybridMultilevel"/>
    <w:lvl w:ilvl="0">
      <w:lvlJc w:val="left"/>
      <w:lvlText w:val="%1"/>
      <w:numFmt w:val="lowerLetter"/>
      <w:start w:val="1"/>
    </w:lvl>
    <w:lvl w:ilvl="1">
      <w:lvlJc w:val="left"/>
      <w:lvlText w:val="(%2)"/>
      <w:numFmt w:val="upperLetter"/>
      <w:start w:val="1"/>
    </w:lvl>
  </w:abstractNum>
  <w:abstractNum w:abstractNumId="60">
    <w:nsid w:val="6A5F7029"/>
    <w:multiLevelType w:val="hybridMultilevel"/>
    <w:lvl w:ilvl="0">
      <w:lvlJc w:val="left"/>
      <w:lvlText w:val="(%1)"/>
      <w:numFmt w:val="lowerLetter"/>
      <w:start w:val="25"/>
    </w:lvl>
    <w:lvl w:ilvl="1">
      <w:lvlJc w:val="left"/>
      <w:lvlText w:val="(%2)"/>
      <w:numFmt w:val="upperLetter"/>
      <w:start w:val="2"/>
    </w:lvl>
  </w:abstractNum>
  <w:abstractNum w:abstractNumId="61">
    <w:nsid w:val="7D5E18F8"/>
    <w:multiLevelType w:val="hybridMultilevel"/>
    <w:lvl w:ilvl="0">
      <w:lvlJc w:val="left"/>
      <w:lvlText w:val="(%1)"/>
      <w:numFmt w:val="lowerRoman"/>
      <w:start w:val="2"/>
    </w:lvl>
  </w:abstractNum>
  <w:abstractNum w:abstractNumId="62">
    <w:nsid w:val="5F3534A4"/>
    <w:multiLevelType w:val="hybridMultilevel"/>
    <w:lvl w:ilvl="0">
      <w:lvlJc w:val="left"/>
      <w:lvlText w:val="%1"/>
      <w:numFmt w:val="lowerLetter"/>
      <w:start w:val="1"/>
    </w:lvl>
    <w:lvl w:ilvl="1">
      <w:lvlJc w:val="left"/>
      <w:lvlText w:val="(%2)"/>
      <w:numFmt w:val="lowerLetter"/>
      <w:start w:val="61"/>
    </w:lvl>
  </w:abstractNum>
  <w:abstractNum w:abstractNumId="63">
    <w:nsid w:val="73A1821B"/>
    <w:multiLevelType w:val="hybridMultilevel"/>
    <w:lvl w:ilvl="0">
      <w:lvlJc w:val="left"/>
      <w:lvlText w:val="(%1)"/>
      <w:numFmt w:val="lowerLetter"/>
      <w:start w:val="4"/>
    </w:lvl>
    <w:lvl w:ilvl="1">
      <w:lvlJc w:val="left"/>
      <w:lvlText w:val="%2"/>
      <w:numFmt w:val="lowerLetter"/>
      <w:start w:val="1"/>
    </w:lvl>
  </w:abstractNum>
  <w:abstractNum w:abstractNumId="64">
    <w:nsid w:val="7DE6771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65">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6">
    <w:nsid w:val="3FA62ACA"/>
    <w:multiLevelType w:val="hybridMultilevel"/>
    <w:lvl w:ilvl="0">
      <w:lvlJc w:val="left"/>
      <w:lvlText w:val="(%1)"/>
      <w:numFmt w:val="lowerRoman"/>
      <w:start w:val="2"/>
    </w:lvl>
  </w:abstractNum>
  <w:abstractNum w:abstractNumId="67">
    <w:nsid w:val="14FCE74E"/>
    <w:multiLevelType w:val="hybridMultilevel"/>
    <w:lvl w:ilvl="0">
      <w:lvlJc w:val="left"/>
      <w:lvlText w:val="(%1)"/>
      <w:numFmt w:val="lowerLetter"/>
      <w:start w:val="2"/>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4"/>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2"/>
    </w:lvl>
    <w:lvl w:ilvl="1">
      <w:lvlJc w:val="left"/>
      <w:lvlText w:val="(%2)"/>
      <w:numFmt w:val="lowerRoman"/>
      <w:start w:val="1"/>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2"/>
    </w:lvl>
  </w:abstractNum>
  <w:abstractNum w:abstractNumId="74">
    <w:nsid w:val="1D545C4D"/>
    <w:multiLevelType w:val="hybridMultilevel"/>
    <w:lvl w:ilvl="0">
      <w:lvlJc w:val="left"/>
      <w:lvlText w:val="(%1)"/>
      <w:numFmt w:val="lowerLetter"/>
      <w:start w:val="1"/>
    </w:lvl>
  </w:abstractNum>
  <w:abstractNum w:abstractNumId="75">
    <w:nsid w:val="59ADEA3D"/>
    <w:multiLevelType w:val="hybridMultilevel"/>
    <w:lvl w:ilvl="0">
      <w:lvlJc w:val="left"/>
      <w:lvlText w:val="(%1)"/>
      <w:numFmt w:val="lowerLetter"/>
      <w:start w:val="4"/>
    </w:lvl>
  </w:abstractNum>
  <w:abstractNum w:abstractNumId="76">
    <w:nsid w:val="288F1A34"/>
    <w:multiLevelType w:val="hybridMultilevel"/>
    <w:lvl w:ilvl="0">
      <w:lvlJc w:val="left"/>
      <w:lvlText w:val="(%1)"/>
      <w:numFmt w:val="lowerLetter"/>
      <w:start w:val="1"/>
    </w:lvl>
  </w:abstractNum>
  <w:abstractNum w:abstractNumId="77">
    <w:nsid w:val="2A155DBC"/>
    <w:multiLevelType w:val="hybridMultilevel"/>
    <w:lvl w:ilvl="0">
      <w:lvlJc w:val="left"/>
      <w:lvlText w:val="%1"/>
      <w:numFmt w:val="lowerLetter"/>
      <w:start w:val="1"/>
    </w:lvl>
    <w:lvl w:ilvl="1">
      <w:lvlJc w:val="left"/>
      <w:lvlText w:val="(%2)"/>
      <w:numFmt w:val="lowerLetter"/>
      <w:start w:val="1"/>
    </w:lvl>
  </w:abstractNum>
  <w:abstractNum w:abstractNumId="78">
    <w:nsid w:val="1D9F6E5F"/>
    <w:multiLevelType w:val="hybridMultilevel"/>
    <w:lvl w:ilvl="0">
      <w:lvlJc w:val="left"/>
      <w:lvlText w:val="(%1)"/>
      <w:numFmt w:val="lowerLetter"/>
      <w:start w:val="3"/>
    </w:lvl>
    <w:lvl w:ilvl="1">
      <w:lvlJc w:val="left"/>
      <w:lvlText w:val="%2"/>
      <w:numFmt w:val="lowerLetter"/>
      <w:start w:val="1"/>
    </w:lvl>
  </w:abstractNum>
  <w:abstractNum w:abstractNumId="79">
    <w:nsid w:val="97E1B4E"/>
    <w:multiLevelType w:val="hybridMultilevel"/>
    <w:lvl w:ilvl="0">
      <w:lvlJc w:val="left"/>
      <w:lvlText w:val="(%1)"/>
      <w:numFmt w:val="lowerLetter"/>
      <w:start w:val="2"/>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lowerLetter"/>
      <w:start w:val="2"/>
    </w:lvl>
  </w:abstractNum>
  <w:abstractNum w:abstractNumId="82">
    <w:nsid w:val="53584BCB"/>
    <w:multiLevelType w:val="hybridMultilevel"/>
    <w:lvl w:ilvl="0">
      <w:lvlJc w:val="left"/>
      <w:lvlText w:val="(%1)"/>
      <w:numFmt w:val="lowerLetter"/>
      <w:start w:val="1"/>
    </w:lvl>
    <w:lvl w:ilvl="1">
      <w:lvlJc w:val="left"/>
      <w:lvlText w:val="(%2)"/>
      <w:numFmt w:val="lowerRoman"/>
      <w:start w:val="1"/>
    </w:lvl>
  </w:abstractNum>
  <w:abstractNum w:abstractNumId="83">
    <w:nsid w:val="415E286C"/>
    <w:multiLevelType w:val="hybridMultilevel"/>
    <w:lvl w:ilvl="0">
      <w:lvlJc w:val="left"/>
      <w:lvlText w:val="(%1)"/>
      <w:numFmt w:val="lowerRoman"/>
      <w:start w:val="3"/>
    </w:lvl>
  </w:abstractNum>
  <w:abstractNum w:abstractNumId="84">
    <w:nsid w:val="7C58FD05"/>
    <w:multiLevelType w:val="hybridMultilevel"/>
    <w:lvl w:ilvl="0">
      <w:lvlJc w:val="left"/>
      <w:lvlText w:val="%1"/>
      <w:numFmt w:val="lowerLetter"/>
      <w:start w:val="1"/>
    </w:lvl>
    <w:lvl w:ilvl="1">
      <w:lvlJc w:val="left"/>
      <w:lvlText w:val="(%2)"/>
      <w:numFmt w:val="lowerRoman"/>
      <w:start w:val="9"/>
    </w:lvl>
  </w:abstractNum>
  <w:abstractNum w:abstractNumId="85">
    <w:nsid w:val="23D86AAC"/>
    <w:multiLevelType w:val="hybridMultilevel"/>
    <w:lvl w:ilvl="0">
      <w:lvlJc w:val="left"/>
      <w:lvlText w:val="(%1)"/>
      <w:numFmt w:val="lowerLetter"/>
      <w:start w:val="4"/>
    </w:lvl>
    <w:lvl w:ilvl="1">
      <w:lvlJc w:val="left"/>
      <w:lvlText w:val="%2"/>
      <w:numFmt w:val="lowerRoman"/>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Roman"/>
      <w:start w:val="1"/>
    </w:lvl>
  </w:abstractNum>
  <w:abstractNum w:abstractNumId="90">
    <w:nsid w:val="4BD8591A"/>
    <w:multiLevelType w:val="hybridMultilevel"/>
    <w:lvl w:ilvl="0">
      <w:lvlJc w:val="left"/>
      <w:lvlText w:val="(%1)"/>
      <w:numFmt w:val="lowerRoman"/>
      <w:start w:val="2"/>
    </w:lvl>
  </w:abstractNum>
  <w:abstractNum w:abstractNumId="91">
    <w:nsid w:val="78DF6A55"/>
    <w:multiLevelType w:val="hybridMultilevel"/>
    <w:lvl w:ilvl="0">
      <w:lvlJc w:val="left"/>
      <w:lvlText w:val="(%1)"/>
      <w:numFmt w:val="lowerRoman"/>
      <w:start w:val="3"/>
    </w:lvl>
  </w:abstractNum>
  <w:abstractNum w:abstractNumId="92">
    <w:nsid w:val="39B7AAA2"/>
    <w:multiLevelType w:val="hybridMultilevel"/>
    <w:lvl w:ilvl="0">
      <w:lvlJc w:val="left"/>
      <w:lvlText w:val="(%1)"/>
      <w:numFmt w:val="lowerRoman"/>
      <w:start w:val="4"/>
    </w:lvl>
  </w:abstractNum>
  <w:abstractNum w:abstractNumId="93">
    <w:nsid w:val="2B0D8DBE"/>
    <w:multiLevelType w:val="hybridMultilevel"/>
    <w:lvl w:ilvl="0">
      <w:lvlJc w:val="left"/>
      <w:lvlText w:val="(%1)"/>
      <w:numFmt w:val="lowerLetter"/>
      <w:start w:val="2"/>
    </w:lvl>
  </w:abstractNum>
  <w:abstractNum w:abstractNumId="94">
    <w:nsid w:val="6C80EC70"/>
    <w:multiLevelType w:val="hybridMultilevel"/>
    <w:lvl w:ilvl="0">
      <w:lvlJc w:val="left"/>
      <w:lvlText w:val="(%1)"/>
      <w:numFmt w:val="lowerLetter"/>
      <w:start w:val="4"/>
    </w:lvl>
  </w:abstractNum>
  <w:abstractNum w:abstractNumId="95">
    <w:nsid w:val="379E21B5"/>
    <w:multiLevelType w:val="hybridMultilevel"/>
    <w:lvl w:ilvl="0">
      <w:lvlJc w:val="left"/>
      <w:lvlText w:val="%1."/>
      <w:numFmt w:val="decimal"/>
      <w:start w:val="3"/>
    </w:lvl>
  </w:abstractNum>
  <w:abstractNum w:abstractNumId="96">
    <w:nsid w:val="69E3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7">
    <w:nsid w:val="2C27173B"/>
    <w:multiLevelType w:val="hybridMultilevel"/>
    <w:lvl w:ilvl="0">
      <w:lvlJc w:val="left"/>
      <w:lvlText w:val="(%1)"/>
      <w:numFmt w:val="lowerLetter"/>
      <w:start w:val="22"/>
    </w:lvl>
    <w:lvl w:ilvl="1">
      <w:lvlJc w:val="left"/>
      <w:lvlText w:val="%2."/>
      <w:numFmt w:val="decimal"/>
      <w:start w:val="3"/>
    </w:lvl>
    <w:lvl w:ilvl="2">
      <w:lvlJc w:val="left"/>
      <w:lvlText w:val="(%3)"/>
      <w:numFmt w:val="lowerLetter"/>
      <w:start w:val="2"/>
    </w:lvl>
  </w:abstractNum>
  <w:abstractNum w:abstractNumId="98">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9">
    <w:nsid w:val="6AA7B75C"/>
    <w:multiLevelType w:val="hybridMultilevel"/>
    <w:lvl w:ilvl="0">
      <w:lvlJc w:val="left"/>
      <w:lvlText w:val="%1."/>
      <w:numFmt w:val="decimal"/>
      <w:start w:val="11"/>
    </w:lvl>
    <w:lvl w:ilvl="1">
      <w:lvlJc w:val="left"/>
      <w:lvlText w:val="(%2)"/>
      <w:numFmt w:val="lowerLetter"/>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Roman"/>
      <w:start w:val="1"/>
    </w:lvl>
  </w:abstractNum>
  <w:abstractNum w:abstractNumId="103">
    <w:nsid w:val="3DB012B3"/>
    <w:multiLevelType w:val="hybridMultilevel"/>
    <w:lvl w:ilvl="0">
      <w:lvlJc w:val="left"/>
      <w:lvlText w:val="(%1)"/>
      <w:numFmt w:val="lowerRoman"/>
      <w:start w:val="2"/>
    </w:lvl>
  </w:abstractNum>
  <w:abstractNum w:abstractNumId="104">
    <w:nsid w:val="2708C9AF"/>
    <w:multiLevelType w:val="hybridMultilevel"/>
    <w:lvl w:ilvl="0">
      <w:lvlJc w:val="left"/>
      <w:lvlText w:val="(%1)"/>
      <w:numFmt w:val="lowerRoman"/>
      <w:start w:val="3"/>
    </w:lvl>
  </w:abstractNum>
  <w:abstractNum w:abstractNumId="105">
    <w:nsid w:val="5B25ACE2"/>
    <w:multiLevelType w:val="hybridMultilevel"/>
    <w:lvl w:ilvl="0">
      <w:lvlJc w:val="left"/>
      <w:lvlText w:val="(%1)"/>
      <w:numFmt w:val="lowerRoman"/>
      <w:start w:val="4"/>
    </w:lvl>
  </w:abstractNum>
  <w:abstractNum w:abstractNumId="106">
    <w:nsid w:val="175DFCF0"/>
    <w:multiLevelType w:val="hybridMultilevel"/>
    <w:lvl w:ilvl="0">
      <w:lvlJc w:val="left"/>
      <w:lvlText w:val="(%1)"/>
      <w:numFmt w:val="lowerLetter"/>
      <w:start w:val="2"/>
    </w:lvl>
  </w:abstractNum>
  <w:abstractNum w:abstractNumId="107">
    <w:nsid w:val="4F97E3E4"/>
    <w:multiLevelType w:val="hybridMultilevel"/>
    <w:lvl w:ilvl="0">
      <w:lvlJc w:val="left"/>
      <w:lvlText w:val="(%1)"/>
      <w:numFmt w:val="lowerLetter"/>
      <w:start w:val="4"/>
    </w:lvl>
  </w:abstractNum>
  <w:abstractNum w:abstractNumId="108">
    <w:nsid w:val="53B0A9E"/>
    <w:multiLevelType w:val="hybridMultilevel"/>
    <w:lvl w:ilvl="0">
      <w:lvlJc w:val="left"/>
      <w:lvlText w:val="%1."/>
      <w:numFmt w:val="decimal"/>
      <w:start w:val="3"/>
    </w:lvl>
  </w:abstractNum>
  <w:abstractNum w:abstractNumId="109">
    <w:nsid w:val="34FD6B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0">
    <w:nsid w:val="5915FF32"/>
    <w:multiLevelType w:val="hybridMultilevel"/>
    <w:lvl w:ilvl="0">
      <w:lvlJc w:val="left"/>
      <w:lvlText w:val="%1."/>
      <w:numFmt w:val="decimal"/>
      <w:start w:val="8"/>
    </w:lvl>
    <w:lvl w:ilvl="1">
      <w:lvlJc w:val="left"/>
      <w:lvlText w:val="(%2)"/>
      <w:numFmt w:val="lowerLetter"/>
      <w:start w:val="1"/>
    </w:lvl>
  </w:abstractNum>
  <w:abstractNum w:abstractNumId="111">
    <w:nsid w:val="56438D15"/>
    <w:multiLevelType w:val="hybridMultilevel"/>
    <w:lvl w:ilvl="0">
      <w:lvlJc w:val="left"/>
      <w:lvlText w:val="%1."/>
      <w:numFmt w:val="decimal"/>
      <w:start w:val="12"/>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lowerRoman"/>
      <w:start w:val="1"/>
    </w:lvl>
  </w:abstractNum>
  <w:abstractNum w:abstractNumId="115">
    <w:nsid w:val="4DF72E4E"/>
    <w:multiLevelType w:val="hybridMultilevel"/>
    <w:lvl w:ilvl="0">
      <w:lvlJc w:val="left"/>
      <w:lvlText w:val="(%1)"/>
      <w:numFmt w:val="lowerRoman"/>
      <w:start w:val="2"/>
    </w:lvl>
  </w:abstractNum>
  <w:abstractNum w:abstractNumId="116">
    <w:nsid w:val="5046B5A9"/>
    <w:multiLevelType w:val="hybridMultilevel"/>
    <w:lvl w:ilvl="0">
      <w:lvlJc w:val="left"/>
      <w:lvlText w:val="(%1)"/>
      <w:numFmt w:val="lowerRoman"/>
      <w:start w:val="3"/>
    </w:lvl>
  </w:abstractNum>
  <w:abstractNum w:abstractNumId="117">
    <w:nsid w:val="5D888A08"/>
    <w:multiLevelType w:val="hybridMultilevel"/>
    <w:lvl w:ilvl="0">
      <w:lvlJc w:val="left"/>
      <w:lvlText w:val="(%1)"/>
      <w:numFmt w:val="lowerRoman"/>
      <w:start w:val="4"/>
    </w:lvl>
  </w:abstractNum>
  <w:abstractNum w:abstractNumId="118">
    <w:nsid w:val="2A082C70"/>
    <w:multiLevelType w:val="hybridMultilevel"/>
    <w:lvl w:ilvl="0">
      <w:lvlJc w:val="left"/>
      <w:lvlText w:val="(%1)"/>
      <w:numFmt w:val="lowerLetter"/>
      <w:start w:val="2"/>
    </w:lvl>
  </w:abstractNum>
  <w:abstractNum w:abstractNumId="119">
    <w:nsid w:val="5EC6AFD4"/>
    <w:multiLevelType w:val="hybridMultilevel"/>
    <w:lvl w:ilvl="0">
      <w:lvlJc w:val="left"/>
      <w:lvlText w:val="(%1)"/>
      <w:numFmt w:val="lowerLetter"/>
      <w:start w:val="4"/>
    </w:lvl>
  </w:abstractNum>
  <w:abstractNum w:abstractNumId="120">
    <w:nsid w:val="19E21BB2"/>
    <w:multiLevelType w:val="hybridMultilevel"/>
    <w:lvl w:ilvl="0">
      <w:lvlJc w:val="left"/>
      <w:lvlText w:val="%1."/>
      <w:numFmt w:val="decimal"/>
      <w:start w:val="3"/>
    </w:lvl>
    <w:lvl w:ilvl="1">
      <w:lvlJc w:val="left"/>
      <w:lvlText w:val="(%2)"/>
      <w:numFmt w:val="lowerLetter"/>
      <w:start w:val="1"/>
    </w:lvl>
  </w:abstractNum>
  <w:abstractNum w:abstractNumId="121">
    <w:nsid w:val="75E0858A"/>
    <w:multiLevelType w:val="hybridMultilevel"/>
    <w:lvl w:ilvl="0">
      <w:lvlJc w:val="left"/>
      <w:lvlText w:val="%1"/>
      <w:numFmt w:val="decimal"/>
      <w:start w:val="1"/>
    </w:lvl>
    <w:lvl w:ilvl="1">
      <w:lvlJc w:val="left"/>
      <w:lvlText w:val="(%2)"/>
      <w:numFmt w:val="lowerLetter"/>
      <w:start w:val="2"/>
    </w:lvl>
  </w:abstractNum>
  <w:abstractNum w:abstractNumId="122">
    <w:nsid w:val="57A61A29"/>
    <w:multiLevelType w:val="hybridMultilevel"/>
    <w:lvl w:ilvl="0">
      <w:lvlJc w:val="left"/>
      <w:lvlText w:val="%1."/>
      <w:numFmt w:val="decimal"/>
      <w:start w:val="4"/>
    </w:lvl>
    <w:lvl w:ilvl="1">
      <w:lvlJc w:val="left"/>
      <w:lvlText w:val="(%2)"/>
      <w:numFmt w:val="lowerLetter"/>
      <w:start w:val="1"/>
    </w:lvl>
  </w:abstractNum>
  <w:abstractNum w:abstractNumId="123">
    <w:nsid w:val="5399C6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4">
    <w:nsid w:val="20EE134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5">
    <w:nsid w:val="4427069A"/>
    <w:multiLevelType w:val="hybridMultilevel"/>
    <w:lvl w:ilvl="0">
      <w:lvlJc w:val="left"/>
      <w:lvlText w:val="%1"/>
      <w:numFmt w:val="decimal"/>
      <w:start w:val="1"/>
    </w:lvl>
    <w:lvl w:ilvl="1">
      <w:lvlJc w:val="left"/>
      <w:lvlText w:val="(%2)"/>
      <w:numFmt w:val="lowerLetter"/>
      <w:start w:val="2"/>
    </w:lvl>
  </w:abstractNum>
  <w:abstractNum w:abstractNumId="126">
    <w:nsid w:val="B37E80A"/>
    <w:multiLevelType w:val="hybridMultilevel"/>
    <w:lvl w:ilvl="0">
      <w:lvlJc w:val="left"/>
      <w:lvlText w:val="%1."/>
      <w:numFmt w:val="decimal"/>
      <w:start w:val="12"/>
    </w:lvl>
    <w:lvl w:ilvl="1">
      <w:lvlJc w:val="left"/>
      <w:lvlText w:val="%2"/>
      <w:numFmt w:val="lowerLetter"/>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5"/>
    </w:lvl>
  </w:abstractNum>
  <w:abstractNum w:abstractNumId="130">
    <w:nsid w:val="BFFAE18"/>
    <w:multiLevelType w:val="hybridMultilevel"/>
    <w:lvl w:ilvl="0">
      <w:lvlJc w:val="left"/>
      <w:lvlText w:val="%1)"/>
      <w:numFmt w:val="lowerLetter"/>
      <w:start w:val="1"/>
    </w:lvl>
  </w:abstractNum>
  <w:abstractNum w:abstractNumId="131">
    <w:nsid w:val="E3E47A8"/>
    <w:multiLevelType w:val="hybridMultilevel"/>
    <w:lvl w:ilvl="0">
      <w:lvlJc w:val="left"/>
      <w:lvlText w:val="%1."/>
      <w:numFmt w:val="decimal"/>
      <w:start w:val="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decimal"/>
      <w:start w:val="5"/>
    </w:lvl>
  </w:abstractNum>
  <w:abstractNum w:abstractNumId="134">
    <w:nsid w:val="4BEE5A5B"/>
    <w:multiLevelType w:val="hybridMultilevel"/>
    <w:lvl w:ilvl="0">
      <w:lvlJc w:val="left"/>
      <w:lvlText w:val="%1)"/>
      <w:numFmt w:val="lowerLetter"/>
      <w:start w:val="1"/>
    </w:lvl>
  </w:abstractNum>
  <w:abstractNum w:abstractNumId="135">
    <w:nsid w:val="5551B9F3"/>
    <w:multiLevelType w:val="hybridMultilevel"/>
    <w:lvl w:ilvl="0">
      <w:lvlJc w:val="left"/>
      <w:lvlText w:val="(%1)"/>
      <w:numFmt w:val="decimal"/>
      <w:start w:val="1"/>
    </w:lvl>
    <w:lvl w:ilvl="1">
      <w:lvlJc w:val="left"/>
      <w:lvlText w:val="/"/>
      <w:numFmt w:val="bullet"/>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lvl w:ilvl="1">
      <w:lvlJc w:val="left"/>
      <w:lvlText w:val="/"/>
      <w:numFmt w:val="bullet"/>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2019-12-07T12:45:51Z</dcterms:created>
  <dcterms:modified xsi:type="dcterms:W3CDTF">2019-12-07T12:45:51Z</dcterms:modified>
</cp:coreProperties>
</file>