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ANNUAL AND TRANSITION REPORTS PURSUANT TO</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SECTIONS 13 OR 15(d) OF THE SECURITIES EXCHANGE ACT OF 1934</w:t>
      </w:r>
    </w:p>
    <w:p>
      <w:pPr>
        <w:spacing w:after="0" w:line="64" w:lineRule="exact"/>
        <w:rPr>
          <w:sz w:val="24"/>
          <w:szCs w:val="24"/>
          <w:color w:val="auto"/>
        </w:rPr>
      </w:pPr>
    </w:p>
    <w:p>
      <w:pPr>
        <w:ind w:left="460" w:right="260" w:hanging="452"/>
        <w:spacing w:after="0" w:line="274"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2007</w:t>
      </w: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w:t>
      </w:r>
    </w:p>
    <w:p>
      <w:pPr>
        <w:spacing w:after="0" w:line="29" w:lineRule="exact"/>
        <w:rPr>
          <w:sz w:val="24"/>
          <w:szCs w:val="24"/>
          <w:color w:val="auto"/>
        </w:rPr>
      </w:pPr>
    </w:p>
    <w:p>
      <w:pPr>
        <w:ind w:left="460"/>
        <w:spacing w:after="0"/>
        <w:tabs>
          <w:tab w:leader="none" w:pos="6680" w:val="left"/>
          <w:tab w:leader="none" w:pos="7900" w:val="left"/>
        </w:tabs>
        <w:rPr>
          <w:sz w:val="20"/>
          <w:szCs w:val="20"/>
          <w:color w:val="auto"/>
        </w:rPr>
      </w:pPr>
      <w:r>
        <w:rPr>
          <w:rFonts w:ascii="Arial" w:cs="Arial" w:eastAsia="Arial" w:hAnsi="Arial"/>
          <w:sz w:val="18"/>
          <w:szCs w:val="18"/>
          <w:b w:val="1"/>
          <w:bCs w:val="1"/>
          <w:color w:val="auto"/>
        </w:rPr>
        <w:t>EXCHANGE ACT OF 1934 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No. 001-32975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EVERCORE PARTNERS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tbl>
      <w:tblPr>
        <w:tblLayout w:type="fixed"/>
        <w:tblInd w:w="1280" w:type="dxa"/>
        <w:tblCellMar>
          <w:top w:w="0" w:type="dxa"/>
          <w:left w:w="0" w:type="dxa"/>
          <w:bottom w:w="0" w:type="dxa"/>
          <w:right w:w="0" w:type="dxa"/>
        </w:tblCellMar>
      </w:tblPr>
      <w:tr>
        <w:trPr>
          <w:trHeight w:val="218"/>
        </w:trPr>
        <w:tc>
          <w:tcPr>
            <w:tcW w:w="5000" w:type="dxa"/>
            <w:vAlign w:val="bottom"/>
          </w:tcPr>
          <w:p>
            <w:pPr>
              <w:jc w:val="center"/>
              <w:ind w:right="1864"/>
              <w:spacing w:after="0"/>
              <w:rPr>
                <w:sz w:val="20"/>
                <w:szCs w:val="20"/>
                <w:color w:val="auto"/>
              </w:rPr>
            </w:pPr>
            <w:r>
              <w:rPr>
                <w:rFonts w:ascii="Arial" w:cs="Arial" w:eastAsia="Arial" w:hAnsi="Arial"/>
                <w:sz w:val="18"/>
                <w:szCs w:val="18"/>
                <w:b w:val="1"/>
                <w:bCs w:val="1"/>
                <w:color w:val="auto"/>
                <w:w w:val="88"/>
              </w:rPr>
              <w:t>Delaware</w:t>
            </w:r>
          </w:p>
        </w:tc>
        <w:tc>
          <w:tcPr>
            <w:tcW w:w="2980" w:type="dxa"/>
            <w:vAlign w:val="bottom"/>
          </w:tcPr>
          <w:p>
            <w:pPr>
              <w:jc w:val="right"/>
              <w:ind w:right="24"/>
              <w:spacing w:after="0"/>
              <w:rPr>
                <w:sz w:val="20"/>
                <w:szCs w:val="20"/>
                <w:color w:val="auto"/>
              </w:rPr>
            </w:pPr>
            <w:r>
              <w:rPr>
                <w:rFonts w:ascii="Arial" w:cs="Arial" w:eastAsia="Arial" w:hAnsi="Arial"/>
                <w:sz w:val="18"/>
                <w:szCs w:val="18"/>
                <w:b w:val="1"/>
                <w:bCs w:val="1"/>
                <w:color w:val="auto"/>
              </w:rPr>
              <w:t>20-4748747</w:t>
            </w:r>
          </w:p>
        </w:tc>
      </w:tr>
      <w:tr>
        <w:trPr>
          <w:trHeight w:val="149"/>
        </w:trPr>
        <w:tc>
          <w:tcPr>
            <w:tcW w:w="5000" w:type="dxa"/>
            <w:vAlign w:val="bottom"/>
          </w:tcPr>
          <w:p>
            <w:pPr>
              <w:jc w:val="center"/>
              <w:ind w:right="18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80" w:type="dxa"/>
            <w:vAlign w:val="bottom"/>
          </w:tcPr>
          <w:p>
            <w:pPr>
              <w:jc w:val="center"/>
              <w:ind w:left="186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60"/>
        </w:trPr>
        <w:tc>
          <w:tcPr>
            <w:tcW w:w="5000" w:type="dxa"/>
            <w:vAlign w:val="bottom"/>
          </w:tcPr>
          <w:p>
            <w:pPr>
              <w:jc w:val="center"/>
              <w:ind w:right="1864"/>
              <w:spacing w:after="0"/>
              <w:rPr>
                <w:sz w:val="20"/>
                <w:szCs w:val="20"/>
                <w:color w:val="auto"/>
              </w:rPr>
            </w:pPr>
            <w:r>
              <w:rPr>
                <w:rFonts w:ascii="Arial" w:cs="Arial" w:eastAsia="Arial" w:hAnsi="Arial"/>
                <w:sz w:val="14"/>
                <w:szCs w:val="14"/>
                <w:b w:val="1"/>
                <w:bCs w:val="1"/>
                <w:color w:val="auto"/>
                <w:w w:val="89"/>
              </w:rPr>
              <w:t>Incorporation or Organization)</w:t>
            </w:r>
          </w:p>
        </w:tc>
        <w:tc>
          <w:tcPr>
            <w:tcW w:w="2980" w:type="dxa"/>
            <w:vAlign w:val="bottom"/>
          </w:tcPr>
          <w:p>
            <w:pPr>
              <w:jc w:val="center"/>
              <w:ind w:left="1864"/>
              <w:spacing w:after="0"/>
              <w:rPr>
                <w:sz w:val="20"/>
                <w:szCs w:val="20"/>
                <w:color w:val="auto"/>
              </w:rPr>
            </w:pPr>
            <w:r>
              <w:rPr>
                <w:rFonts w:ascii="Arial" w:cs="Arial" w:eastAsia="Arial" w:hAnsi="Arial"/>
                <w:sz w:val="14"/>
                <w:szCs w:val="14"/>
                <w:b w:val="1"/>
                <w:bCs w:val="1"/>
                <w:color w:val="auto"/>
                <w:w w:val="87"/>
              </w:rPr>
              <w:t>Identification No.)</w:t>
            </w:r>
          </w:p>
        </w:tc>
      </w:tr>
      <w:tr>
        <w:trPr>
          <w:trHeight w:val="218"/>
        </w:trPr>
        <w:tc>
          <w:tcPr>
            <w:tcW w:w="5000" w:type="dxa"/>
            <w:vAlign w:val="bottom"/>
          </w:tcPr>
          <w:p>
            <w:pPr>
              <w:jc w:val="center"/>
              <w:ind w:right="1864"/>
              <w:spacing w:after="0" w:line="218" w:lineRule="exact"/>
              <w:rPr>
                <w:sz w:val="20"/>
                <w:szCs w:val="20"/>
                <w:color w:val="auto"/>
              </w:rPr>
            </w:pPr>
            <w:r>
              <w:rPr>
                <w:rFonts w:ascii="Arial" w:cs="Arial" w:eastAsia="Arial" w:hAnsi="Arial"/>
                <w:sz w:val="18"/>
                <w:szCs w:val="18"/>
                <w:b w:val="1"/>
                <w:bCs w:val="1"/>
                <w:color w:val="auto"/>
                <w:w w:val="88"/>
              </w:rPr>
              <w:t>55 East 52</w:t>
            </w:r>
            <w:r>
              <w:rPr>
                <w:rFonts w:ascii="Arial" w:cs="Arial" w:eastAsia="Arial" w:hAnsi="Arial"/>
                <w:sz w:val="22"/>
                <w:szCs w:val="22"/>
                <w:b w:val="1"/>
                <w:bCs w:val="1"/>
                <w:color w:val="auto"/>
                <w:w w:val="88"/>
                <w:vertAlign w:val="superscript"/>
              </w:rPr>
              <w:t>nd</w:t>
            </w:r>
            <w:r>
              <w:rPr>
                <w:rFonts w:ascii="Arial" w:cs="Arial" w:eastAsia="Arial" w:hAnsi="Arial"/>
                <w:sz w:val="18"/>
                <w:szCs w:val="18"/>
                <w:b w:val="1"/>
                <w:bCs w:val="1"/>
                <w:color w:val="auto"/>
                <w:w w:val="88"/>
              </w:rPr>
              <w:t xml:space="preserve"> Street, New York, New York</w:t>
            </w:r>
          </w:p>
        </w:tc>
        <w:tc>
          <w:tcPr>
            <w:tcW w:w="2980" w:type="dxa"/>
            <w:vAlign w:val="bottom"/>
          </w:tcPr>
          <w:p>
            <w:pPr>
              <w:jc w:val="right"/>
              <w:ind w:right="224"/>
              <w:spacing w:after="0"/>
              <w:rPr>
                <w:sz w:val="20"/>
                <w:szCs w:val="20"/>
                <w:color w:val="auto"/>
              </w:rPr>
            </w:pPr>
            <w:r>
              <w:rPr>
                <w:rFonts w:ascii="Arial" w:cs="Arial" w:eastAsia="Arial" w:hAnsi="Arial"/>
                <w:sz w:val="18"/>
                <w:szCs w:val="18"/>
                <w:b w:val="1"/>
                <w:bCs w:val="1"/>
                <w:color w:val="auto"/>
              </w:rPr>
              <w:t>10055</w:t>
            </w:r>
          </w:p>
        </w:tc>
      </w:tr>
      <w:tr>
        <w:trPr>
          <w:trHeight w:val="174"/>
        </w:trPr>
        <w:tc>
          <w:tcPr>
            <w:tcW w:w="5000" w:type="dxa"/>
            <w:vAlign w:val="bottom"/>
          </w:tcPr>
          <w:p>
            <w:pPr>
              <w:jc w:val="center"/>
              <w:ind w:right="186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80" w:type="dxa"/>
            <w:vAlign w:val="bottom"/>
          </w:tcPr>
          <w:p>
            <w:pPr>
              <w:jc w:val="center"/>
              <w:ind w:left="1864"/>
              <w:spacing w:after="0"/>
              <w:rPr>
                <w:sz w:val="20"/>
                <w:szCs w:val="20"/>
                <w:color w:val="auto"/>
              </w:rPr>
            </w:pPr>
            <w:r>
              <w:rPr>
                <w:rFonts w:ascii="Arial" w:cs="Arial" w:eastAsia="Arial" w:hAnsi="Arial"/>
                <w:sz w:val="14"/>
                <w:szCs w:val="14"/>
                <w:b w:val="1"/>
                <w:bCs w:val="1"/>
                <w:color w:val="auto"/>
                <w:w w:val="92"/>
              </w:rPr>
              <w:t>(Zip Code)</w:t>
            </w:r>
          </w:p>
        </w:tc>
      </w:tr>
    </w:tbl>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(212) 857-3100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83820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4040" w:type="dxa"/>
            <w:vAlign w:val="bottom"/>
            <w:gridSpan w:val="3"/>
          </w:tcPr>
          <w:p>
            <w:pPr>
              <w:spacing w:after="0"/>
              <w:rPr>
                <w:sz w:val="14"/>
                <w:szCs w:val="1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940" w:type="dxa"/>
            <w:vAlign w:val="bottom"/>
            <w:gridSpan w:val="5"/>
          </w:tcPr>
          <w:p>
            <w:pPr>
              <w:jc w:val="center"/>
              <w:ind w:right="2240"/>
              <w:spacing w:after="0"/>
              <w:rPr>
                <w:sz w:val="20"/>
                <w:szCs w:val="20"/>
                <w:color w:val="auto"/>
              </w:rPr>
            </w:pPr>
            <w:r>
              <w:rPr>
                <w:rFonts w:ascii="Arial" w:cs="Arial" w:eastAsia="Arial" w:hAnsi="Arial"/>
                <w:sz w:val="18"/>
                <w:szCs w:val="18"/>
                <w:b w:val="1"/>
                <w:bCs w:val="1"/>
                <w:color w:val="auto"/>
                <w:w w:val="87"/>
              </w:rPr>
              <w:t>Class A Common Stock, $0.01 par value</w:t>
            </w:r>
          </w:p>
        </w:tc>
        <w:tc>
          <w:tcPr>
            <w:tcW w:w="27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New York Stock Exchange</w:t>
            </w: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1"/>
                <w:szCs w:val="21"/>
                <w:color w:val="auto"/>
              </w:rPr>
            </w:pPr>
          </w:p>
        </w:tc>
        <w:tc>
          <w:tcPr>
            <w:tcW w:w="6580" w:type="dxa"/>
            <w:vAlign w:val="bottom"/>
            <w:gridSpan w:val="5"/>
          </w:tcPr>
          <w:p>
            <w:pPr>
              <w:ind w:left="108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060" w:type="dxa"/>
            <w:vAlign w:val="bottom"/>
            <w:gridSpan w:val="3"/>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960" w:type="dxa"/>
            <w:vAlign w:val="bottom"/>
            <w:gridSpan w:val="2"/>
          </w:tcPr>
          <w:p>
            <w:pPr>
              <w:spacing w:after="0"/>
              <w:rPr>
                <w:sz w:val="11"/>
                <w:szCs w:val="11"/>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1"/>
                <w:szCs w:val="21"/>
                <w:color w:val="auto"/>
              </w:rPr>
            </w:pPr>
          </w:p>
        </w:tc>
        <w:tc>
          <w:tcPr>
            <w:tcW w:w="6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proceeding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4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the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140" w:firstLine="456"/>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0" w:right="319" w:bottom="1440" w:gutter="0" w:footer="0" w:header="0"/>
        </w:sectPr>
      </w:pPr>
    </w:p>
    <w:p>
      <w:pPr>
        <w:spacing w:after="0" w:line="1" w:lineRule="exact"/>
        <w:rPr>
          <w:sz w:val="24"/>
          <w:szCs w:val="24"/>
          <w:color w:val="auto"/>
        </w:rPr>
      </w:pPr>
    </w:p>
    <w:p>
      <w:pPr>
        <w:ind w:left="760"/>
        <w:spacing w:after="0" w:line="207" w:lineRule="exact"/>
        <w:tabs>
          <w:tab w:leader="none" w:pos="3840" w:val="left"/>
          <w:tab w:leader="none" w:pos="60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1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ind w:left="200" w:right="520"/>
        <w:spacing w:after="0" w:line="210"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3"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sectPr>
          <w:pgSz w:w="11900" w:h="16838" w:orient="portrait"/>
          <w:cols w:equalWidth="0" w:num="2">
            <w:col w:w="7980" w:space="160"/>
            <w:col w:w="3200"/>
          </w:cols>
          <w:pgMar w:left="240" w:top="230" w:right="31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aggregate market value of the voting and nonvoting common equity of the registrant held by non-affiliates as of June 30, 2007 was approximately</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$331.5 million, based on the closing price of the registrant’s Class A common stock reported on the New York Stock Exchange on such date of $29.77 per share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and on the par value of the registrant’s Class B common stock, par value $0.01 per share.</w:t>
      </w:r>
    </w:p>
    <w:p>
      <w:pPr>
        <w:spacing w:after="0" w:line="43" w:lineRule="exact"/>
        <w:rPr>
          <w:sz w:val="24"/>
          <w:szCs w:val="24"/>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number of shares of the registrant’s Class A common stock, par value $0.01 per share, outstanding as of March 11, 2008, was 11,261,100. The number of shares of the registrant’s Class B common stock, par value $0.01 per share, outstanding as of March 11, 2008 was 51 (excluding 49 shares of Class B common stock held by a subsidiary of the registrant).</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56" w:lineRule="exact"/>
        <w:rPr>
          <w:sz w:val="24"/>
          <w:szCs w:val="24"/>
          <w:color w:val="auto"/>
        </w:rPr>
      </w:pPr>
    </w:p>
    <w:p>
      <w:pPr>
        <w:ind w:right="140" w:firstLine="456"/>
        <w:spacing w:after="0" w:line="259" w:lineRule="auto"/>
        <w:rPr>
          <w:sz w:val="20"/>
          <w:szCs w:val="20"/>
          <w:color w:val="auto"/>
        </w:rPr>
      </w:pPr>
      <w:r>
        <w:rPr>
          <w:rFonts w:ascii="Arial" w:cs="Arial" w:eastAsia="Arial" w:hAnsi="Arial"/>
          <w:sz w:val="18"/>
          <w:szCs w:val="18"/>
          <w:color w:val="auto"/>
        </w:rPr>
        <w:t>Portions of the definitive Proxy Statement of Evercore Partners Inc. filed pursuant to Regulation 14A of the general rules and regulations under the Securities Exchange Act of 1934, as amended, for the 2008 annual meeting of stockholders to be held on June 3, 2008 (“Proxy Statement”)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0" w:type="dxa"/>
            <w:vAlign w:val="bottom"/>
            <w:gridSpan w:val="9"/>
          </w:tcPr>
          <w:p>
            <w:pPr>
              <w:jc w:val="center"/>
              <w:ind w:right="3700"/>
              <w:spacing w:after="0"/>
              <w:rPr>
                <w:sz w:val="20"/>
                <w:szCs w:val="20"/>
                <w:color w:val="auto"/>
              </w:rPr>
            </w:pPr>
            <w:r>
              <w:rPr>
                <w:rFonts w:ascii="Arial" w:cs="Arial" w:eastAsia="Arial" w:hAnsi="Arial"/>
                <w:sz w:val="18"/>
                <w:szCs w:val="18"/>
                <w:b w:val="1"/>
                <w:bCs w:val="1"/>
                <w:color w:val="auto"/>
                <w:w w:val="96"/>
              </w:rPr>
              <w:t>EVERCORE PARTNERS INC.</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80" w:type="dxa"/>
            <w:vAlign w:val="bottom"/>
            <w:gridSpan w:val="8"/>
          </w:tcPr>
          <w:p>
            <w:pPr>
              <w:jc w:val="center"/>
              <w:ind w:right="4200"/>
              <w:spacing w:after="0"/>
              <w:rPr>
                <w:sz w:val="20"/>
                <w:szCs w:val="20"/>
                <w:color w:val="auto"/>
              </w:rPr>
            </w:pPr>
            <w:r>
              <w:rPr>
                <w:rFonts w:ascii="Arial" w:cs="Arial" w:eastAsia="Arial" w:hAnsi="Arial"/>
                <w:sz w:val="18"/>
                <w:szCs w:val="18"/>
                <w:b w:val="1"/>
                <w:bCs w:val="1"/>
                <w:color w:val="auto"/>
                <w:w w:val="96"/>
              </w:rPr>
              <w:t>TABLE OF CONTENTS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0" w:type="dxa"/>
            <w:vAlign w:val="bottom"/>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380" w:type="dxa"/>
            <w:vAlign w:val="bottom"/>
            <w:gridSpan w:val="4"/>
            <w:vMerge w:val="restart"/>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540" w:type="dxa"/>
            <w:vAlign w:val="bottom"/>
            <w:tcBorders>
              <w:bottom w:val="single" w:sz="8" w:color="0000EE"/>
            </w:tcBorders>
            <w:vMerge w:val="continue"/>
          </w:tcPr>
          <w:p>
            <w:pPr>
              <w:spacing w:after="0"/>
              <w:rPr>
                <w:sz w:val="14"/>
                <w:szCs w:val="14"/>
                <w:color w:val="auto"/>
              </w:rPr>
            </w:pPr>
          </w:p>
        </w:tc>
        <w:tc>
          <w:tcPr>
            <w:tcW w:w="38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9520" w:type="dxa"/>
            <w:vAlign w:val="bottom"/>
            <w:gridSpan w:val="19"/>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1">
              <w:r>
                <w:rPr>
                  <w:rFonts w:ascii="Arial" w:cs="Arial" w:eastAsia="Arial" w:hAnsi="Arial"/>
                  <w:sz w:val="18"/>
                  <w:szCs w:val="18"/>
                  <w:color w:val="0000EE"/>
                  <w:w w:val="85"/>
                </w:rPr>
                <w:t>Risk Factors</w:t>
              </w:r>
            </w:hyperlink>
          </w:p>
        </w:tc>
        <w:tc>
          <w:tcPr>
            <w:tcW w:w="9260" w:type="dxa"/>
            <w:vAlign w:val="bottom"/>
            <w:gridSpan w:val="17"/>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1014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8160" w:type="dxa"/>
            <w:vAlign w:val="bottom"/>
            <w:gridSpan w:val="11"/>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8840" w:type="dxa"/>
            <w:vAlign w:val="bottom"/>
            <w:gridSpan w:val="15"/>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Submission of Matters to a Vote of Security Holders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PART II</w:t>
              </w:r>
            </w:hyperlink>
          </w:p>
        </w:tc>
        <w:tc>
          <w:tcPr>
            <w:tcW w:w="320" w:type="dxa"/>
            <w:vAlign w:val="bottom"/>
            <w:gridSpan w:val="3"/>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Market for Registrant’s Common Equity, Related Stockholder Matters and Issuer Purchases of Equity Securities</w:t>
              </w:r>
            </w:hyperlink>
          </w:p>
        </w:tc>
        <w:tc>
          <w:tcPr>
            <w:tcW w:w="22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014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Selected Financial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Management’s Discussion and Analysis of Financial Condition and Results of Operations</w:t>
              </w:r>
            </w:hyperlink>
          </w:p>
        </w:tc>
        <w:tc>
          <w:tcPr>
            <w:tcW w:w="3840" w:type="dxa"/>
            <w:vAlign w:val="bottom"/>
            <w:gridSpan w:val="4"/>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10140" w:type="dxa"/>
            <w:vAlign w:val="bottom"/>
            <w:gridSpan w:val="2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Financial Statements and Supplemental Data</w:t>
              </w:r>
            </w:hyperlink>
          </w:p>
        </w:tc>
        <w:tc>
          <w:tcPr>
            <w:tcW w:w="5900" w:type="dxa"/>
            <w:vAlign w:val="bottom"/>
            <w:gridSpan w:val="6"/>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98">
              <w:r>
                <w:rPr>
                  <w:rFonts w:ascii="Arial" w:cs="Arial" w:eastAsia="Arial" w:hAnsi="Arial"/>
                  <w:sz w:val="18"/>
                  <w:szCs w:val="18"/>
                  <w:color w:val="0000EE"/>
                  <w:w w:val="88"/>
                </w:rPr>
                <w:t>Changes in and Disagreements with Accountants on Accounting and Financial Disclosure</w:t>
              </w:r>
            </w:hyperlink>
          </w:p>
        </w:tc>
        <w:tc>
          <w:tcPr>
            <w:tcW w:w="3820" w:type="dxa"/>
            <w:vAlign w:val="bottom"/>
            <w:gridSpan w:val="3"/>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98">
              <w:r>
                <w:rPr>
                  <w:rFonts w:ascii="Arial" w:cs="Arial" w:eastAsia="Arial" w:hAnsi="Arial"/>
                  <w:sz w:val="18"/>
                  <w:szCs w:val="18"/>
                  <w:color w:val="0000EE"/>
                  <w:w w:val="85"/>
                </w:rPr>
                <w:t>Controls and Procedures</w:t>
              </w:r>
            </w:hyperlink>
          </w:p>
        </w:tc>
        <w:tc>
          <w:tcPr>
            <w:tcW w:w="8420" w:type="dxa"/>
            <w:vAlign w:val="bottom"/>
            <w:gridSpan w:val="13"/>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014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412"/>
        </w:trPr>
        <w:tc>
          <w:tcPr>
            <w:tcW w:w="920" w:type="dxa"/>
            <w:vAlign w:val="bottom"/>
            <w:gridSpan w:val="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PART III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5"/>
              </w:rPr>
              <w:t>Item 10.</w:t>
            </w:r>
          </w:p>
        </w:tc>
        <w:tc>
          <w:tcPr>
            <w:tcW w:w="280" w:type="dxa"/>
            <w:vAlign w:val="bottom"/>
            <w:gridSpan w:val="2"/>
          </w:tcPr>
          <w:p>
            <w:pPr>
              <w:spacing w:after="0"/>
              <w:rPr>
                <w:sz w:val="22"/>
                <w:szCs w:val="22"/>
                <w:color w:val="auto"/>
              </w:rPr>
            </w:pPr>
          </w:p>
        </w:tc>
        <w:tc>
          <w:tcPr>
            <w:tcW w:w="1014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Directors, Executive Officers and Corporate Governance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01">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5"/>
          </w:tcPr>
          <w:p>
            <w:pPr>
              <w:spacing w:after="0"/>
              <w:rPr>
                <w:sz w:val="22"/>
                <w:szCs w:val="22"/>
                <w:color w:val="auto"/>
              </w:rPr>
            </w:pPr>
          </w:p>
        </w:tc>
        <w:tc>
          <w:tcPr>
            <w:tcW w:w="6160" w:type="dxa"/>
            <w:vAlign w:val="bottom"/>
            <w:gridSpan w:val="7"/>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1014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Management and Related Stockholder Matters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18"/>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Transactions and Director Independence</w:t>
              </w:r>
            </w:hyperlink>
          </w:p>
        </w:tc>
        <w:tc>
          <w:tcPr>
            <w:tcW w:w="3040" w:type="dxa"/>
            <w:vAlign w:val="bottom"/>
            <w:gridSpan w:val="2"/>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260" w:type="dxa"/>
            <w:vAlign w:val="bottom"/>
            <w:tcBorders>
              <w:top w:val="single" w:sz="8" w:color="0000EE"/>
            </w:tcBorders>
            <w:gridSpan w:val="1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Principal Accountant Fees and Services</w:t>
              </w:r>
            </w:hyperlink>
          </w:p>
        </w:tc>
        <w:tc>
          <w:tcPr>
            <w:tcW w:w="4880" w:type="dxa"/>
            <w:vAlign w:val="bottom"/>
            <w:gridSpan w:val="5"/>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02">
              <w:r>
                <w:rPr>
                  <w:rFonts w:ascii="Arial" w:cs="Arial" w:eastAsia="Arial" w:hAnsi="Arial"/>
                  <w:sz w:val="18"/>
                  <w:szCs w:val="18"/>
                  <w:color w:val="0000EE"/>
                  <w:w w:val="91"/>
                </w:rPr>
                <w:t>PART IV</w:t>
              </w:r>
            </w:hyperlink>
          </w:p>
        </w:tc>
        <w:tc>
          <w:tcPr>
            <w:tcW w:w="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31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02">
              <w:r>
                <w:rPr>
                  <w:rFonts w:ascii="Arial" w:cs="Arial" w:eastAsia="Arial" w:hAnsi="Arial"/>
                  <w:sz w:val="18"/>
                  <w:szCs w:val="18"/>
                  <w:color w:val="0000EE"/>
                  <w:w w:val="88"/>
                </w:rPr>
                <w:t>Exhibits and Financial Statement Schedules</w:t>
              </w:r>
            </w:hyperlink>
          </w:p>
        </w:tc>
        <w:tc>
          <w:tcPr>
            <w:tcW w:w="7000" w:type="dxa"/>
            <w:vAlign w:val="bottom"/>
            <w:gridSpan w:val="9"/>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website address is www.evercore.com. We make available free of charge on the Investor Relations section of our website (http://ir.evercore.com) our Annual Report on Form 10-K (“Form 10-K”), Quarterly Reports on Form 10-Q, Current Reports on Form 8-K and all amendments to those reports as soon as reasonably practicable after such material is electronically filed or furnished with the Securities and Exchange Commission (the “SEC”) pursuant to Section 13(a) or 15(d) of the Securities Exchange Act of 1934 (the “Exchange Act”). We also make available through our website other reports filed with or furnished to the SEC under the Exchange Act, including our Proxy Statements and reports filed by officers and directors under Section 16(a) of that Act, as well as our Code of Business Conduct and Ethics. We do not intend for information contained in our website to be part of this Form 10-K.</w:t>
      </w:r>
    </w:p>
    <w:p>
      <w:pPr>
        <w:spacing w:after="0" w:line="120"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Any materials we file with the SEC may be read and copied at the SEC’s Public Reference Room at 100 F Street, N.E., Washington, DC, 20549. Information on the operation of the Public Reference Room may be obtained by calling the SEC at 1-800-SEC-0330. The SEC maintains an Internet site (http://www.sec.gov) that contains reports, proxy and information statements and other information regarding issuers that file electronically with the SEC.</w:t>
      </w:r>
    </w:p>
    <w:p>
      <w:pPr>
        <w:spacing w:after="0" w:line="10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In this report, references to “Evercore”, the “Company”, “we”, “us”, “our” and our “Successor Company” refer, subsequent to the Reorganization described in “Management’s Discussion and Analysis of Financial Condition and Results of Operations–Reorganization”, to Evercore Partners Inc., a Delaware corporation, and its consolidated subsidiaries. These references (other than Successor Company) refer, prior to such Reorganization, to Evercore Holdings, or our “Predecessor Company”, which was comprised of certain combined and consolidated entities under the common ownership of the Evercore Senior Managing Directors. Unless the context otherwise requires, references to (1) “Evercore Partners Inc.” refer solely to Evercore Partners Inc., and not to any of its consolidated subsidiaries and</w:t>
      </w:r>
    </w:p>
    <w:p>
      <w:pPr>
        <w:spacing w:after="0" w:line="2" w:lineRule="exact"/>
        <w:rPr>
          <w:sz w:val="20"/>
          <w:szCs w:val="20"/>
          <w:color w:val="auto"/>
        </w:rPr>
      </w:pPr>
    </w:p>
    <w:p>
      <w:pPr>
        <w:ind w:right="20" w:firstLine="8"/>
        <w:spacing w:after="0" w:line="255"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“Evercore LP” refer solely to Evercore LP, a Delaware limited partnership, and not to any of its consolidated subsidiaries. References to the “IPO” refer to our initial public offering on August 10, 2006 of 4,542,500 shares of our Class A common stock, including shares issued to the underwriters of the IPO pursuant to their election to exercise in full their overallotment option.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This report contains or incorporates by reference forward-looking statements within the meaning of Section 27A of the Securities Act of 1933 and Section 21E of the Exchange Act, which reflect our current views with respect to, among other things, our operations and financial performance. In some cases, you can identify these forward-looking statements by the use of words such as “outlook”, “believes”, “expects”, “potential”, “continues”, “may”, “should”, “seeks”, “approximately”, “predicts”, “intends”, “plans”, “estimates”, “anticipates” or the negative version of these words or other comparable words. Such forward-looking statements are subject to various risks and uncertainties.</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Accordingly, there are or will be important factors that could cause actual outcomes or results to differ materially from those indicated in these statements. All statements other than statements of historical fact are forward-looking statements and are based on various underlying assumptions and expectations and are subject to known and unknown risks, uncertainties and assumptions, and may include projections of our future financial performance based on our growth strategies and anticipated trends in Evercore’s business. We believe these factors include, but are not limited to, those described under “Risk Factors”. These factors should not be construed as exhaustive and should be read in conjunction with the other cautionary statements that are included or incorporated by reference in this report. We undertake no obligation to publicly update or review any forward-looking statement, whether as a result of new information, future developments or otherwise.</w:t>
      </w:r>
    </w:p>
    <w:p>
      <w:pPr>
        <w:spacing w:after="0" w:line="14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Evercore is the leading investment banking boutique in the world based on the dollar volume of announced worldwide merger and acquisition (“M&amp;A”) transactions on which we have advised since 2003. When we use the term “investment banking boutique,” we mean an investment banking firm that directly or through its affiliates does not underwrite public offerings of securities or engage in commercial banking activities. We provide advisory services to prominent multinational corporations on significant mergers, acquisitions, divestitures, restructurings and other strategic corporate transactions. Evercore also includes a successful Investment Management business through which we manage private equity funds and public securities for sophisticated institutional investors. We serve a diverse set of clients around the world from our offices in New York, Los Angeles, San Francisco, London, Mexico City and Monterrey.</w:t>
      </w:r>
    </w:p>
    <w:p>
      <w:pPr>
        <w:spacing w:after="0" w:line="120"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We were founded on the belief that there was an opportunity within the investment banking industry for a firm free of the potential conflicts of interest created within large, multi-product financial institutions. We also believed that an independent advisory business, with its broad set of relationships, would provide a differentiated investment platform from which to make private equity investments. We employ the Evercore relationship network throughout the investment process in our private equity business to originate investment opportunities, evaluate those opportunities and add value after an investment is made.</w:t>
      </w:r>
    </w:p>
    <w:p>
      <w:pPr>
        <w:spacing w:after="0" w:line="9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From the time of our founding in 1996, we have grown by expanding the range of our advisory and investment management services. In our Advisory business, at December 31, 2007 we had 28 Senior Managing Directors with expertise and client relationships in a number of industry sectors, including telecommunications, technology, aerospace and defense, media, energy and power, general industrial, consumer products, chemicals, automotive, and financial institutions: 17 in the United States, 6 in Mexico and 5 in Europe. Our Advisory business has a particular focus on advising multinational corporations on large, complex transactions. In addition, we have professionals with extensive restructuring experience. In our Investment Management business, at December 31, 2007 we had 9 Senior Managing Directors with expertise and relationships in a variety of industries: 7 in the United States, 1 in Mexico and 1 in Europe. As of December 31, 2007 our five private equity funds had capital commitments of over $1.4 billion. In addition to our private equity funds, we also manage public equities in the United States through our joint venture, Evercore Asset Management L.L.C. (“EAM”), and fixed income securities in Mexico through our subsidiary, Protego Casa de Bolsa (“PCB”).</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grown from three Senior Managing Directors at our inception to 40 at December 31, 2007. We expect to continue our growth by hiring additional highly-qualified professionals with a broad range of product and industry expertise, expanding into new geographic areas, deepening our coverage of key industry sectors, raising additional private equity funds and diversifying our Investment Management products and services. We opened our New York office in 1996, our Los Angeles office in 2000 and our San Francisco office in 2005. On August 10, 2006 we combined with Protego Asesores S. de R.L. (“Protego”) in Mexico, with offices in Mexico City and Monterrey, and on December 19, 2006 we acquired Braveheart Financial Services Limited (“Braveheart”), with an office in London.</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believe maintaining standards of excellence in our core businesses demands a spirit of cooperation and hands-on participation more commonly found in smaller organizations. Since our inception, we have set out to build – in the employees we choose and in the projects we undertake – an organization dedicated to the highest caliber of professionalism.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two business segments are Advisory and Investment Management.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Advisory business provides confidential, strategic and tactical advice to both public and private companies, with a particular focus on large, multinational corporations. By virtue of their prominence, size and sophistication, many of our clients are more likely to require expertise relating to larger and more complex situations. We have advised on numerous noteworthy transactions, including:</w:t>
      </w:r>
    </w:p>
    <w:p>
      <w:pPr>
        <w:sectPr>
          <w:pgSz w:w="11900" w:h="16838" w:orient="portrait"/>
          <w:cols w:equalWidth="0" w:num="1">
            <w:col w:w="11400"/>
          </w:cols>
          <w:pgMar w:left="240" w:top="459" w:right="259" w:bottom="1440" w:gutter="0" w:footer="0" w:header="0"/>
        </w:sectPr>
      </w:pP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First Data on its leveraged buyout by Kohlberg Kravis &amp; Roberts &amp; Co.</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Novelis on its sale to Hindalco</w:t>
      </w:r>
    </w:p>
    <w:p>
      <w:pPr>
        <w:spacing w:after="0" w:line="140" w:lineRule="exact"/>
        <w:rPr>
          <w:sz w:val="20"/>
          <w:szCs w:val="20"/>
          <w:color w:val="auto"/>
        </w:rPr>
      </w:pPr>
    </w:p>
    <w:p>
      <w:pPr>
        <w:sectPr>
          <w:pgSz w:w="11900" w:h="16838" w:orient="portrait"/>
          <w:cols w:equalWidth="0" w:num="4">
            <w:col w:w="180" w:space="220"/>
            <w:col w:w="5280" w:space="720"/>
            <w:col w:w="60" w:space="220"/>
            <w:col w:w="472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Smiths on its sale of its Aerospace division to General Electric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Realogy on its leveraged buyout by Apollo Management</w:t>
      </w:r>
    </w:p>
    <w:p>
      <w:pPr>
        <w:spacing w:after="0" w:line="140" w:lineRule="exact"/>
        <w:rPr>
          <w:sz w:val="20"/>
          <w:szCs w:val="20"/>
          <w:color w:val="auto"/>
        </w:rPr>
      </w:pPr>
    </w:p>
    <w:p>
      <w:pPr>
        <w:sectPr>
          <w:pgSz w:w="11900" w:h="16838" w:orient="portrait"/>
          <w:cols w:equalWidth="0" w:num="4">
            <w:col w:w="180" w:space="220"/>
            <w:col w:w="5280" w:space="720"/>
            <w:col w:w="60" w:space="220"/>
            <w:col w:w="472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CVS on its acquisition of Caremark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Credit Suisse on its sale of Winterthur to AXA</w:t>
      </w:r>
    </w:p>
    <w:p>
      <w:pPr>
        <w:spacing w:after="0" w:line="140" w:lineRule="exact"/>
        <w:rPr>
          <w:sz w:val="20"/>
          <w:szCs w:val="20"/>
          <w:color w:val="auto"/>
        </w:rPr>
      </w:pPr>
    </w:p>
    <w:p>
      <w:pPr>
        <w:sectPr>
          <w:pgSz w:w="11900" w:h="16838" w:orient="portrait"/>
          <w:cols w:equalWidth="0" w:num="4">
            <w:col w:w="180" w:space="220"/>
            <w:col w:w="5280" w:space="720"/>
            <w:col w:w="60" w:space="220"/>
            <w:col w:w="472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Motors on its sale of a 51% interest in GMAC to an investor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AT&amp;T on its acquisition of BellSouth</w:t>
      </w:r>
    </w:p>
    <w:p>
      <w:pPr>
        <w:spacing w:after="0" w:line="140" w:lineRule="exact"/>
        <w:rPr>
          <w:sz w:val="20"/>
          <w:szCs w:val="20"/>
          <w:color w:val="auto"/>
        </w:rPr>
      </w:pPr>
    </w:p>
    <w:p>
      <w:pPr>
        <w:sectPr>
          <w:pgSz w:w="11900" w:h="16838" w:orient="portrait"/>
          <w:cols w:equalWidth="0" w:num="4">
            <w:col w:w="180" w:space="220"/>
            <w:col w:w="5300" w:space="700"/>
            <w:col w:w="60" w:space="200"/>
            <w:col w:w="474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CVS on its acquisitions of Osco Drug and Sav-on Drug as part of the asset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VNU on its sale to a private equity consortium</w:t>
      </w:r>
    </w:p>
    <w:p>
      <w:pPr>
        <w:spacing w:after="0" w:line="38" w:lineRule="exact"/>
        <w:rPr>
          <w:sz w:val="20"/>
          <w:szCs w:val="20"/>
          <w:color w:val="auto"/>
        </w:rPr>
      </w:pPr>
    </w:p>
    <w:p>
      <w:pPr>
        <w:sectPr>
          <w:pgSz w:w="11900" w:h="16838" w:orient="portrait"/>
          <w:cols w:equalWidth="0" w:num="4">
            <w:col w:w="180" w:space="220"/>
            <w:col w:w="5280" w:space="720"/>
            <w:col w:w="60" w:space="220"/>
            <w:col w:w="4720"/>
          </w:cols>
          <w:pgMar w:left="240" w:top="459" w:right="25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sale of Albertsons</w:t>
      </w:r>
    </w:p>
    <w:p>
      <w:pPr>
        <w:sectPr>
          <w:pgSz w:w="11900" w:h="16838" w:orient="portrait"/>
          <w:cols w:equalWidth="0" w:num="1">
            <w:col w:w="11400"/>
          </w:cols>
          <w:pgMar w:left="240" w:top="459" w:right="259" w:bottom="1440" w:gutter="0" w:footer="0" w:header="0"/>
          <w:type w:val="continuous"/>
        </w:sectPr>
      </w:pP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Tyco on its split-up</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Cendant on its split-up</w:t>
      </w:r>
    </w:p>
    <w:p>
      <w:pPr>
        <w:spacing w:after="0" w:line="140" w:lineRule="exact"/>
        <w:rPr>
          <w:sz w:val="20"/>
          <w:szCs w:val="20"/>
          <w:color w:val="auto"/>
        </w:rPr>
      </w:pPr>
    </w:p>
    <w:p>
      <w:pPr>
        <w:sectPr>
          <w:pgSz w:w="11900" w:h="16838" w:orient="portrait"/>
          <w:cols w:equalWidth="0" w:num="4">
            <w:col w:w="180" w:space="220"/>
            <w:col w:w="5280" w:space="720"/>
            <w:col w:w="60" w:space="220"/>
            <w:col w:w="472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E*TRADE Financial on its capital raise from Citadel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80" w:hanging="42"/>
        <w:spacing w:after="0" w:line="268" w:lineRule="auto"/>
        <w:rPr>
          <w:sz w:val="20"/>
          <w:szCs w:val="20"/>
          <w:color w:val="auto"/>
        </w:rPr>
      </w:pPr>
      <w:r>
        <w:rPr>
          <w:rFonts w:ascii="Arial" w:cs="Arial" w:eastAsia="Arial" w:hAnsi="Arial"/>
          <w:sz w:val="18"/>
          <w:szCs w:val="18"/>
          <w:color w:val="auto"/>
        </w:rPr>
        <w:t>Swiss Re on its acquisition of General Electric’s reinsurance business</w:t>
      </w:r>
    </w:p>
    <w:p>
      <w:pPr>
        <w:spacing w:after="0" w:line="78" w:lineRule="exact"/>
        <w:rPr>
          <w:sz w:val="20"/>
          <w:szCs w:val="20"/>
          <w:color w:val="auto"/>
        </w:rPr>
      </w:pPr>
    </w:p>
    <w:p>
      <w:pPr>
        <w:sectPr>
          <w:pgSz w:w="11900" w:h="16838" w:orient="portrait"/>
          <w:cols w:equalWidth="0" w:num="4">
            <w:col w:w="180" w:space="220"/>
            <w:col w:w="5280" w:space="720"/>
            <w:col w:w="60" w:space="260"/>
            <w:col w:w="468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hanging="42"/>
        <w:spacing w:after="0" w:line="268" w:lineRule="auto"/>
        <w:rPr>
          <w:sz w:val="20"/>
          <w:szCs w:val="20"/>
          <w:color w:val="auto"/>
        </w:rPr>
      </w:pPr>
      <w:r>
        <w:rPr>
          <w:rFonts w:ascii="Arial" w:cs="Arial" w:eastAsia="Arial" w:hAnsi="Arial"/>
          <w:sz w:val="18"/>
          <w:szCs w:val="18"/>
          <w:color w:val="auto"/>
        </w:rPr>
        <w:t>SBC on its acquisition of AT&amp;T and on Cingular’s acquisition of AT&amp;T Wireless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hanging="42"/>
        <w:spacing w:after="0" w:line="268" w:lineRule="auto"/>
        <w:rPr>
          <w:sz w:val="20"/>
          <w:szCs w:val="20"/>
          <w:color w:val="auto"/>
        </w:rPr>
      </w:pPr>
      <w:r>
        <w:rPr>
          <w:rFonts w:ascii="Arial" w:cs="Arial" w:eastAsia="Arial" w:hAnsi="Arial"/>
          <w:sz w:val="18"/>
          <w:szCs w:val="18"/>
          <w:color w:val="auto"/>
        </w:rPr>
        <w:t>IntercontinentalExchange on its acquisition of the New York Board of Trade</w:t>
      </w:r>
    </w:p>
    <w:p>
      <w:pPr>
        <w:spacing w:after="0" w:line="78" w:lineRule="exact"/>
        <w:rPr>
          <w:sz w:val="20"/>
          <w:szCs w:val="20"/>
          <w:color w:val="auto"/>
        </w:rPr>
      </w:pPr>
    </w:p>
    <w:p>
      <w:pPr>
        <w:sectPr>
          <w:pgSz w:w="11900" w:h="16838" w:orient="portrait"/>
          <w:cols w:equalWidth="0" w:num="4">
            <w:col w:w="180" w:space="260"/>
            <w:col w:w="5240" w:space="720"/>
            <w:col w:w="60" w:space="260"/>
            <w:col w:w="468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Cerberus on the financing of its acquisition of Chrysler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Aquila on its pending sale to Great Plains Energy</w:t>
      </w:r>
    </w:p>
    <w:p>
      <w:pPr>
        <w:spacing w:after="0" w:line="140" w:lineRule="exact"/>
        <w:rPr>
          <w:sz w:val="20"/>
          <w:szCs w:val="20"/>
          <w:color w:val="auto"/>
        </w:rPr>
      </w:pPr>
    </w:p>
    <w:p>
      <w:pPr>
        <w:sectPr>
          <w:pgSz w:w="11900" w:h="16838" w:orient="portrait"/>
          <w:cols w:equalWidth="0" w:num="4">
            <w:col w:w="180" w:space="220"/>
            <w:col w:w="5280" w:space="720"/>
            <w:col w:w="60" w:space="200"/>
            <w:col w:w="474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Apax Partners on its acquisition of Thomson Learning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International Securities Exchange on its sale to Eurex</w:t>
      </w:r>
    </w:p>
    <w:p>
      <w:pPr>
        <w:spacing w:after="0" w:line="205" w:lineRule="exact"/>
        <w:rPr>
          <w:sz w:val="20"/>
          <w:szCs w:val="20"/>
          <w:color w:val="auto"/>
        </w:rPr>
      </w:pPr>
    </w:p>
    <w:p>
      <w:pPr>
        <w:sectPr>
          <w:pgSz w:w="11900" w:h="16838" w:orient="portrait"/>
          <w:cols w:equalWidth="0" w:num="4">
            <w:col w:w="180" w:space="200"/>
            <w:col w:w="5300" w:space="720"/>
            <w:col w:w="60" w:space="220"/>
            <w:col w:w="4720"/>
          </w:cols>
          <w:pgMar w:left="240" w:top="459" w:right="259" w:bottom="1440" w:gutter="0" w:footer="0" w:header="0"/>
          <w:type w:val="continuous"/>
        </w:sectPr>
      </w:pPr>
    </w:p>
    <w:p>
      <w:pPr>
        <w:ind w:right="40" w:firstLine="456"/>
        <w:spacing w:after="0" w:line="306" w:lineRule="auto"/>
        <w:rPr>
          <w:sz w:val="20"/>
          <w:szCs w:val="20"/>
          <w:color w:val="auto"/>
        </w:rPr>
      </w:pPr>
      <w:r>
        <w:rPr>
          <w:rFonts w:ascii="Arial" w:cs="Arial" w:eastAsia="Arial" w:hAnsi="Arial"/>
          <w:sz w:val="16"/>
          <w:szCs w:val="16"/>
          <w:color w:val="auto"/>
        </w:rPr>
        <w:t>Our approach is to work as a trusted senior advisor to top corporate officers and boards of directors, helping them devise strategies for enhancing shareholder value. We believe this relationship-based approach to our Advisory business gives us a competitive advantage in serving a distinct need in the market today. Furthermore, we believe our Advisory business is differentiated from that of our competitors in the following respects:</w:t>
      </w:r>
    </w:p>
    <w:p>
      <w:pPr>
        <w:spacing w:after="0" w:line="26" w:lineRule="exact"/>
        <w:rPr>
          <w:sz w:val="20"/>
          <w:szCs w:val="20"/>
          <w:color w:val="auto"/>
        </w:rPr>
      </w:pPr>
    </w:p>
    <w:p>
      <w:pPr>
        <w:ind w:left="9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Objective Advice with a Long-Term Perspective. </w:t>
      </w:r>
      <w:r>
        <w:rPr>
          <w:rFonts w:ascii="Arial" w:cs="Arial" w:eastAsia="Arial" w:hAnsi="Arial"/>
          <w:sz w:val="18"/>
          <w:szCs w:val="18"/>
          <w:color w:val="auto"/>
        </w:rPr>
        <w:t>We seek to recommend shareholder value enhancement strategies or other financial strategies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would pursue ourselves were we acting in management’s capacity. This approach often includes advising our clients against pursuing transactions that we believe do not meet that standard.</w:t>
      </w:r>
    </w:p>
    <w:p>
      <w:pPr>
        <w:spacing w:after="0" w:line="59" w:lineRule="exact"/>
        <w:rPr>
          <w:rFonts w:ascii="Arial" w:cs="Arial" w:eastAsia="Arial" w:hAnsi="Arial"/>
          <w:sz w:val="18"/>
          <w:szCs w:val="18"/>
          <w:color w:val="auto"/>
        </w:rPr>
      </w:pPr>
    </w:p>
    <w:p>
      <w:pPr>
        <w:ind w:left="900" w:right="6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Excellence. </w:t>
      </w:r>
      <w:r>
        <w:rPr>
          <w:rFonts w:ascii="Arial" w:cs="Arial" w:eastAsia="Arial" w:hAnsi="Arial"/>
          <w:sz w:val="18"/>
          <w:szCs w:val="18"/>
          <w:color w:val="auto"/>
        </w:rPr>
        <w:t>Since the beginning of 2003, we have advised on more than $450 billion of announced transactions, including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processes, mergers of equals, special committee advisory assignments, recapitalizations and restructurings. We have provided significant advisory services on multiple transactions for AT&amp;T (including its predecessor company, SBC), CVS, Dow Jones, EDS, E*TRADE Financial, General Mills and Swiss Re, among others.</w:t>
      </w:r>
    </w:p>
    <w:p>
      <w:pPr>
        <w:spacing w:after="0" w:line="62" w:lineRule="exact"/>
        <w:rPr>
          <w:rFonts w:ascii="Arial" w:cs="Arial" w:eastAsia="Arial" w:hAnsi="Arial"/>
          <w:sz w:val="18"/>
          <w:szCs w:val="18"/>
          <w:color w:val="auto"/>
        </w:rPr>
      </w:pPr>
    </w:p>
    <w:p>
      <w:pPr>
        <w:jc w:val="both"/>
        <w:ind w:left="900" w:right="1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Senior Level Attention and Experience. </w:t>
      </w:r>
      <w:r>
        <w:rPr>
          <w:rFonts w:ascii="Arial" w:cs="Arial" w:eastAsia="Arial" w:hAnsi="Arial"/>
          <w:sz w:val="18"/>
          <w:szCs w:val="18"/>
          <w:color w:val="auto"/>
        </w:rPr>
        <w:t>The Senior Managing Directors in our Advisory business participate in all facets of client interaction,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initial evaluation phase to the final stage of executing our recommendations. Our Advisory Senior Managing Directors have significant relevant experience.</w:t>
      </w:r>
    </w:p>
    <w:p>
      <w:pPr>
        <w:spacing w:after="0" w:line="59" w:lineRule="exact"/>
        <w:rPr>
          <w:rFonts w:ascii="Arial" w:cs="Arial" w:eastAsia="Arial" w:hAnsi="Arial"/>
          <w:sz w:val="18"/>
          <w:szCs w:val="18"/>
          <w:color w:val="auto"/>
        </w:rPr>
      </w:pPr>
    </w:p>
    <w:p>
      <w:pPr>
        <w:ind w:left="900" w:right="18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Independence and Confidentiality. </w:t>
      </w:r>
      <w:r>
        <w:rPr>
          <w:rFonts w:ascii="Arial" w:cs="Arial" w:eastAsia="Arial" w:hAnsi="Arial"/>
          <w:sz w:val="16"/>
          <w:szCs w:val="16"/>
          <w:color w:val="auto"/>
        </w:rPr>
        <w:t>We do not underwrite securities, publish securities research, or act as a lender. This enables us to avoid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potential conflicts that may arise from these activities at larger, more diversified competitors. In addition, we believe our commitment to discretion and the smaller size of our firm enhance our ability to provide our clients with strict confidentiality.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Advisory business generates revenue from fees for providing advice and investment banking services on mergers, acquisitions, restructurings and other strategic transactions. In 2007 our Advisory business generated $295.8 million, or 92%, of our net revenue and earned advisory fees from 145 clients.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advise clients in a number of different situations across many industries and geographies, each of which may require various services:</w:t>
      </w:r>
    </w:p>
    <w:p>
      <w:pPr>
        <w:spacing w:after="0" w:line="107" w:lineRule="exact"/>
        <w:rPr>
          <w:sz w:val="20"/>
          <w:szCs w:val="20"/>
          <w:color w:val="auto"/>
        </w:rPr>
      </w:pPr>
    </w:p>
    <w:p>
      <w:pPr>
        <w:ind w:left="900" w:right="180" w:hanging="325"/>
        <w:spacing w:after="0" w:line="25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Mergers and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we advise companies about the potential acquisition of another company or certain assets, our services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w:t>
      </w:r>
    </w:p>
    <w:p>
      <w:pPr>
        <w:spacing w:after="0" w:line="55" w:lineRule="exact"/>
        <w:rPr>
          <w:rFonts w:ascii="Arial" w:cs="Arial" w:eastAsia="Arial" w:hAnsi="Arial"/>
          <w:sz w:val="18"/>
          <w:szCs w:val="18"/>
          <w:color w:val="auto"/>
        </w:rPr>
      </w:pPr>
    </w:p>
    <w:p>
      <w:pPr>
        <w:ind w:left="900" w:right="60" w:hanging="325"/>
        <w:spacing w:after="0" w:line="30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Divestitures and Sale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we advise clients that are contemplating the sale of certain businesses, assets or their entire company,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include evaluating and recommending financial and strategic alternatives with respect to a sale, advising on the appropriate sales process for the situation and valuation issues, assisting in preparing an offering memorandum or other appropriate sales materials and rendering, if appropriate, fairness opinions. We also identify and contact selected qualified acquirers and assist in negotiating and closing the sale.</w:t>
      </w:r>
    </w:p>
    <w:p>
      <w:pPr>
        <w:spacing w:after="0" w:line="22" w:lineRule="exact"/>
        <w:rPr>
          <w:rFonts w:ascii="Arial" w:cs="Arial" w:eastAsia="Arial" w:hAnsi="Arial"/>
          <w:sz w:val="16"/>
          <w:szCs w:val="16"/>
          <w:color w:val="auto"/>
        </w:rPr>
      </w:pPr>
    </w:p>
    <w:p>
      <w:pPr>
        <w:ind w:left="900" w:hanging="325"/>
        <w:spacing w:after="0" w:line="30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Special Committee and Fairness Opinion Assignments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well known for our independence, quality and thoroughness and devoting senior-level attention throughout the project lifecycle. We believe our objectivity, integrity and discretion allow us to provide an unbiased perspective. Our firm does not underwrite securities, publish securities research or act as a lender. We are therefore not burdened by these potential conflicts of interest when advising special committees and boards of directors and rendering fairness opinions.</w:t>
      </w:r>
    </w:p>
    <w:p>
      <w:pPr>
        <w:spacing w:after="0" w:line="22" w:lineRule="exact"/>
        <w:rPr>
          <w:rFonts w:ascii="Arial" w:cs="Arial" w:eastAsia="Arial" w:hAnsi="Arial"/>
          <w:sz w:val="16"/>
          <w:szCs w:val="16"/>
          <w:color w:val="auto"/>
        </w:rPr>
      </w:pPr>
    </w:p>
    <w:p>
      <w:pPr>
        <w:ind w:left="900" w:right="20" w:hanging="325"/>
        <w:spacing w:after="0" w:line="30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Restructuring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financial advice and investment banking services to companies in financial transition, as well as to creditors,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potential acquirors. Our services may include reviewing and analyzing the business, financial condition and prospects of the company or providing advice on strategic transactions, capital raising or restructurings. We also may provide advisory services to companies that have sought or are planning to seek protection under Chapter 11 of the U.S. Bankruptcy Code or other similar processes in non-U.S. jurisdictions.</w:t>
      </w:r>
    </w:p>
    <w:p>
      <w:pPr>
        <w:spacing w:after="0" w:line="22" w:lineRule="exact"/>
        <w:rPr>
          <w:rFonts w:ascii="Arial" w:cs="Arial" w:eastAsia="Arial" w:hAnsi="Arial"/>
          <w:sz w:val="16"/>
          <w:szCs w:val="16"/>
          <w:color w:val="auto"/>
        </w:rPr>
      </w:pPr>
    </w:p>
    <w:p>
      <w:pPr>
        <w:jc w:val="both"/>
        <w:ind w:left="900" w:right="420" w:hanging="325"/>
        <w:spacing w:after="0" w:line="26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Corporate Finance Advisory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also serve as an independent and objective advisor in financing situations. We have developed an expertise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assisting clients with respect to the entire spectrum of capital structure decisions, from underwriter selection and management to negotiation of financing terms and transaction execution.</w:t>
      </w:r>
    </w:p>
    <w:p>
      <w:pPr>
        <w:spacing w:after="0" w:line="13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strive to earn repeat business from our clients. However, we operate in a highly-competitive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professionals who bring with them client relationships and through referrals from directors, attorneys and other third parties with whom we have relationships.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Investment Management business includes five private equity funds with aggregate capital commitments of over $1.4 billion as of December 31, 2007, as well as public securities in the U.S. and Mexico. Our team brings a diverse set of skills and experiences to the investment process and includes experienced investors, former senior executives from Fortune 100 companies, buy-side research analysts and strategic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consultants. Our Investment Management business principally manages and invests capital on behalf of third parties. A broad range of institutional and high net-worth investors, including corporate and public pension funds, endowments, foundations, insurance companies and family offices, have committed capital to the funds we manage. The investments made by our private equity funds are typically control or significant influence investments while the investments made by our Evercore Ventures fund are typically minority investments.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Evercore Capital Partners L.P. (“ECP”) and its affiliated entities (collectively, “ECP I”), Evercore Capital Partners II L.P. and its affiliated entities (collectively, “ECP II”) are value-oriented, middle-market private equity funds. We believe Evercore differentiates itself from other managers of middle-market private equity funds by the breadth, depth, quality and stability of its investment team, its ability to leverage the broader Evercore relationship network throughout the investment process, and its focus on generating attractive risk-adjusted returns with an emphasis on capital preservation.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seek to generate attractive risk-adjusted returns in all of our funds by adhering to the following investment approach:</w:t>
      </w:r>
    </w:p>
    <w:p>
      <w:pPr>
        <w:spacing w:after="0" w:line="90" w:lineRule="exact"/>
        <w:rPr>
          <w:sz w:val="20"/>
          <w:szCs w:val="20"/>
          <w:color w:val="auto"/>
        </w:rPr>
      </w:pPr>
    </w:p>
    <w:p>
      <w:pPr>
        <w:ind w:left="900" w:right="100" w:hanging="325"/>
        <w:spacing w:after="0" w:line="253"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Evercore Firm-wide Relationship Network. </w:t>
      </w:r>
      <w:r>
        <w:rPr>
          <w:rFonts w:ascii="Arial" w:cs="Arial" w:eastAsia="Arial" w:hAnsi="Arial"/>
          <w:sz w:val="18"/>
          <w:szCs w:val="18"/>
          <w:color w:val="auto"/>
        </w:rPr>
        <w:t>We employ the Evercore relationship network throughout the investment process to originate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unique investments outside of traditional auction processes, conduct efficient and insightful due diligence, and build value after an investment is made. In addition to the professionals dedicated to the private equity investing business, ECP leverages the 135 professionals in the Firm’s other businesses. We devote considerable time and resources to working closely with the funds’ portfolio companies to determine business strategy, allocate capital and other resources, evaluate expansion and acquisition opportunities and participate in implementing these plans. Our Investment Management team benefits from Fortune 100 CEO-level operating experience and is able to apply world class operating expertise to our middle market portfolio companies.</w:t>
      </w:r>
    </w:p>
    <w:p>
      <w:pPr>
        <w:spacing w:after="0" w:line="66" w:lineRule="exact"/>
        <w:rPr>
          <w:rFonts w:ascii="Arial" w:cs="Arial" w:eastAsia="Arial" w:hAnsi="Arial"/>
          <w:sz w:val="18"/>
          <w:szCs w:val="18"/>
          <w:color w:val="auto"/>
        </w:rPr>
      </w:pPr>
    </w:p>
    <w:p>
      <w:pPr>
        <w:ind w:left="900" w:right="260" w:hanging="325"/>
        <w:spacing w:after="0" w:line="305"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Focus on Risk Adjusted Returns and Operating Fundamentals. </w:t>
      </w:r>
      <w:r>
        <w:rPr>
          <w:rFonts w:ascii="Arial" w:cs="Arial" w:eastAsia="Arial" w:hAnsi="Arial"/>
          <w:sz w:val="15"/>
          <w:szCs w:val="15"/>
          <w:color w:val="auto"/>
        </w:rPr>
        <w:t>Evercore’s investment philosophy focuses on generating attractive risk-adjusted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returns and emphasizes downside protection and the preservation of capital. ECP strives to deliver consistent returns with low volatility by:</w:t>
      </w:r>
    </w:p>
    <w:p>
      <w:pPr>
        <w:ind w:left="900" w:right="420"/>
        <w:spacing w:after="0" w:line="255" w:lineRule="auto"/>
        <w:rPr>
          <w:rFonts w:ascii="Arial" w:cs="Arial" w:eastAsia="Arial" w:hAnsi="Arial"/>
          <w:sz w:val="15"/>
          <w:szCs w:val="15"/>
          <w:color w:val="auto"/>
        </w:rPr>
      </w:pPr>
      <w:r>
        <w:rPr>
          <w:rFonts w:ascii="Arial" w:cs="Arial" w:eastAsia="Arial" w:hAnsi="Arial"/>
          <w:sz w:val="18"/>
          <w:szCs w:val="18"/>
          <w:color w:val="auto"/>
        </w:rPr>
        <w:t>(i) conducting rigorous due diligence in a controlled process, (ii) utilizing relatively moderate financial leverage, (iii) and focusing on operating fundamentals. Therefore, rather than relying on financial engineering to generate portfolio investment returns, ECP focuses on improving the profitability of the underlying business.</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December 31, 2007, ECP I and ECP II have invested over $982.0 million in 20 companies. The funds typically hold investments for three to seven years and systematically evaluate exit opportunities throughout the holding period. Evercore Venture Partners L.P. and its affiliated entities (collectively, “EVP”) has invested $38.7 million in emerging technology companies in specific growth sectors including data storage, wireline and wireless communications, enterprise software and technology enabled services.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Investment Management business primarily generates revenue from (1) fees earned for our management of the funds, (2) portfolio company fees and</w:t>
      </w:r>
    </w:p>
    <w:p>
      <w:pPr>
        <w:spacing w:after="0" w:line="38" w:lineRule="exact"/>
        <w:rPr>
          <w:sz w:val="20"/>
          <w:szCs w:val="20"/>
          <w:color w:val="auto"/>
        </w:rPr>
      </w:pPr>
    </w:p>
    <w:p>
      <w:pPr>
        <w:ind w:right="180" w:firstLine="8"/>
        <w:spacing w:after="0" w:line="302"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gains (or losses) on investments of our own capital in the funds. See “Management’s Discussion and Analysis of Financial Condition and Results of Operations – Key Financial Measures – Revenue – Investment Management”. Our Investment Management business generated $20.2 million, or 6%, of our net revenue in 2007, which was comprised of $18.6 million of management and portfolio company fees and $1.6 million of net investment gains and losses.</w:t>
      </w:r>
    </w:p>
    <w:p>
      <w:pPr>
        <w:spacing w:after="0" w:line="10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historical Combined Statements of Operations for the period prior to the August 10, 2006 IPO included the results of the general partners of the private equity funds Evercore managed. Following the IPO, the Company does not consolidate the results of the general partners of those private equity funds as they were not contributed as part of the formation transaction. However, through its equity interest in the general partner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ECP II and the Discovery Americas I, L.P. (the “Discovery Fund”), Evercore recognizes as revenue 8% to 9% of any carried interest from these funds plus the pro rata share of realized and unrealized gains and losses associated with capital invested.</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Evercore currently intends to be entitled to 100% of any management fees and portfolio company fees earned in relation to any private equity fund formed after the IPO that it manages. The Company also currently intends to consolidate the general partners of any private equity fund formed after the IPO that it manages. Accordingly, it expects to record as revenue 100% of any carried interest and realized or unrealized gains (or losses) on investments earned by these entities. However, the Company expects to allocate to its Senior Managing Directors and other employees, through the direct interests these individuals will hold, a significant percentage of any such carried interest. In addition, these individuals will be entitled to any such gains (or losses) on investment based on the amount of capital they contribute in respect of any such fund. Unlike ECP I, where the Company made no direct investment or ECP II where the Company’s direct investment is less than 2% of total capital committed, the Company currently intends to make significant capital commitments to any future private equity fund it manages.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Management business also manages public securities in the U.S. and Mexico.</w:t>
      </w:r>
    </w:p>
    <w:p>
      <w:pPr>
        <w:spacing w:after="0" w:line="90" w:lineRule="exact"/>
        <w:rPr>
          <w:sz w:val="20"/>
          <w:szCs w:val="20"/>
          <w:color w:val="auto"/>
        </w:rPr>
      </w:pPr>
    </w:p>
    <w:p>
      <w:pPr>
        <w:ind w:left="900" w:right="4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October 2005, we formed EAM. EAM’s approach to investing is classic value and the firm seeks to make value investments in small- and mid-capitalization publicly-traded companies. EAM’s business development focuses on the institutional pension, endowment and foundation market. As of December 31, 2007 EAM had $491.4 million in assets under management. We do not consolidate the results of EAM, but rather recognize our pro rata share of income or losses based on our 41.7% ownership interest in the joint venture.</w:t>
      </w:r>
    </w:p>
    <w:p>
      <w:pPr>
        <w:spacing w:after="0" w:line="31"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2005, Protego formed PCB, an asset management business focused on peso-denominated money market and fixed income securities for institutional and high net-worth investors in Mexico. As of December 31, 2007, PCB had $648.7 million in assets under management. We own a 70% interest in PCB.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and Geographic Location</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See Note 20 to our combined/consolidated financial statements for additional information regarding our segment results and the geographic areas from which we derive our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2007, we employed a total of 290 people, including our Senior Managing Directors. We use the title Senior Managing Director to refer to our most senior investment banking and investment management professionals, as well as our executive officers. None of our employees is subject to any collective bargaining agreements and we believe we have good relations with our employees.</w:t>
      </w:r>
    </w:p>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an investment banking boutique, our core asset is our professional staff, their intellectual capital, and their dedication to providing the highest quality services to our clients. Prior to joining Evercore, many of our Senior Managing Directors held senior level positions with other leading corporations, financial services firms, law firms or investment firms.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financial services industry is intensely competitive, and we expect it to remain so. Our competitors are other investment banking, financial advisory and private equity firms. We compete both globally and on a regional, product or niche basis. We compete on the basis of a number of factors, including transaction execution skills, investment performance, our range of products and services, innovation, reputation and price.</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our primary competitors in securing advisory engagements are Citigroup, Credit Suisse, Goldman Sachs, JPMorgan Chase, Lazard, Lehman Brothers, Merrill Lynch, Morgan Stanley, UBS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Bank and other large investment banking firms as well as investment banking boutiques such as Centerview Partners, The Blackstone Group, Houlihan Lokey and Greenhill.</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our competition in the Investment Management business includes private equity funds of all sizes and we expect to face competition both in the pursuit of outside investors for our private equity funds and in acquiring investments in attractive portfolio companies. In addition, EAM and PCB, which seek to make investments for institutional and high net-worth investors, face substantial competition from a large number of asset management companies, many of which are larger, more established firms with greater brand name recognition and more extensive client bases.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Competition is also intense for the attraction and retention of qualified employees. Our ability to continue to compete effectively in our businesses will depend upon our ability to attract new employees and retain and motivate our existing employees.</w:t>
      </w:r>
    </w:p>
    <w:p>
      <w:pPr>
        <w:spacing w:after="0" w:line="132"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Many of these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banking, insurance and other financial services revenues in an effort to gain market share, which could result in pricing pressure in our businesses. This trend toward consolidation and convergence has significantly increased the capital base and geographic reach of our competitors.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business, as well as the financial services industry generally, is subject to extensive regulation in the United States and elsewhere. As a matter of public policy, regulatory bodies in the United States and the rest of the world are charged with safeguarding the integrity of the securities and other financial markets and with protecting the interests of customers participating in those markets, not with protecting the interests of our shareholders or creditors. In the United States, the SEC is the federal agency responsible for the administration of the federal securities laws. Evercore Group L.L.C. (“EGL”), a wholly-owned subsidiary of ours through which we conduct our financial advisory business, is registered as a broker-dealer with the SEC and the Financial Industry Regulatory Authority (“FINRA”), and is registered as a broker-dealer in all 50 states and the District of Columbia. EGL is subject to regulation and oversight by the SEC. In addition, the FINRA, a self-regulatory organization that is subject to oversight by the SEC, adopts and enforces rules governing the conduct, and examines the activities, of its member firms, including EGL. State securities regulators also have regulatory or oversight authority over EGL.</w:t>
      </w:r>
    </w:p>
    <w:p>
      <w:pPr>
        <w:spacing w:after="0" w:line="11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PCB, Protego’s asset management subsidiary, is authorized by the Mexican Ministry of Finance to act as a broker-dealer and financial advisor in accordance with the Mexican Securities Market Law. PCB is subject to regulation and oversight by the Mexican Ministry of Finance and the Mexican National Banking and Securities Commission, including the maintenance of minimum capital requirements. In addition, the Mexican Broker Dealer Association, a self-regulatory organization that is subject to oversight by the Mexican National Banking and Securities Commission, adopts and enforces rules governing the conduct, and examines the activities of, its member broker-dealers, including PCB.</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Broker-dealers are subject to regulations that cover all aspects of the securities business, including sales methods, trade practices among broker-dealers, use and safekeeping of customers’ funds and securities, capital structure, record-keeping, the financing of customers’ purchases and the conduct and qualifications of directors, officers and employees. In particular, as a registered broker-dealer and member of a self-regulatory organization, we are subject to the SEC’s uniform net capital rule, Rule 15c3-1. Rule 15c3-1 specifies the minimum level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Certain of our businesses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 Additional legislation, changes in rules promulgated by financial authorities (in the case of Mexican broker-dealers) and self-regulatory organizations or changes in the interpretation or enforcement of existing laws and rules, either in the United States or elsewhere, may directly affect our mode of operation and profitability.</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One of our affiliates is registered as an investment advisor with the SEC. Registered investment advisors are subject to the requirements and regulations of the Investment Advisers Act of 1940. Such requirements relate to, among other things, fiduciary duties to clients, maintaining an effective compliance program, solicitation agreements, conflicts of interest, recordkeeping and reporting requirements, disclosure requirements, limitations on agency cross and principal transactions between an advisor and advisory clients, as well as general anti-fraud prohibitions.</w:t>
      </w:r>
    </w:p>
    <w:p>
      <w:pPr>
        <w:spacing w:after="0" w:line="11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U.S. and non-U.S. government agencies and self-regulatory organizations, as well as state securities commissions in the United States and Mexican Financial Authorities, are empowered to conduct periodic examinations and initiate administrative proceedings that can result in censure, fine, the issuance of cease-and-desist orders or the suspension or expulsion of a broker-dealer or its directors, officers or employees.</w:t>
      </w:r>
    </w:p>
    <w:p>
      <w:pPr>
        <w:spacing w:after="0" w:line="10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Evercore Europe, formerly Braveheart, which provides corporate finance and private equity advisory services in Europe, is authorized by the Financial Services Authority (“FSA”) in the United Kingdom, and is required by the FSA to maintain specified minimum capital requirements.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Difficult market conditions can adversely affect our business in many ways, including reducing the volume of the transactions involving our Advisory business and reducing the value or performance of the investments made by our private equity funds or public securities business, which, in each case, could materially reduce our revenue or income.</w:t>
      </w:r>
    </w:p>
    <w:p>
      <w:pPr>
        <w:spacing w:after="0" w:line="5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We have benefited from the recent record levels of M&amp;A activity, and since the second half of 2007, overall M&amp;A activity has declined. The market and economic climate may further deteriorate because of many factors beyond our control, including inability to access credit markets, rising interest rates or inflation, terrorism or political uncertainty. Revenue generated by our Advisory business is directly related to the volume and value of the transactions in which we are involved. During periods of unfavorable market or economic conditions, the volume and value of M&amp;A transactions may decrease, thereby reducing the demand for our advisory services and increasing price competition among financial services companies seeking such engagements. Our operating results would be adversely affected by any such reduction in the volume or value of mergers and acquisitions transactions. In addition, in the event of a market or general economic downturn, the private equity funds that our Investment Management business manages also may be impacted by reduced valuations and opportunities to exit and realize value from their investments and our public securities business would be expected to generate lower revenue because investment advisory fees we receive typically are in part based on the market value of underlying publicly traded securities. Our profitability may also be adversely affected by our fixed costs and the possibility that we would be unable to scale back other costs within a time frame sufficient to match any decreases in revenue relating to changes in market and economic conditions.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our Senior Managing Directors, including our executive officers, and the loss of their services could have a material adverse effect on us.</w:t>
      </w:r>
    </w:p>
    <w:p>
      <w:pPr>
        <w:spacing w:after="0" w:line="125"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We depend on the efforts and reputations of our Senior Managing Directors, including our executive officers. Our senior leadership team’s reputations and relationships with clients and potential clients are critical elements in expanding our businesses. For example, Mr. Mestre and Mr. Altman make significant contributions to our Advisory business, our operations and performance in Mexico and Europe are particularly dependent on the efforts and reputations of</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Aspe and Mr. Taylor, respectively, and our Private Equity Funds are dependent on Mr. Beutner, who recently materially reduced his responsibilities in connection with his medical leave. The loss of the services of any of them could have a material adverse effect on our operations, including our ability to attract advisory clients and raise new private equity funds.</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future success depends to a substantial degree on our ability to retain and recruit qualified personnel. We anticipate that it will be necessary for us to add financial professionals as we pursue our growth strategy. However, we may not be successful in our efforts to recruit and retain the required personnel as the market for qualified financial professionals is extremely competitive. Our financial professionals possess substantial experience and expertise and have direct contact with our Advisory and Investment Management clients, which can lead to strong client relationships. As a result, the loss of these personnel could jeopardize our relationships with clients and result in the loss of client engagements. For example, if any of our Senior Managing Directors were to join or form a competing firm, some of our current clients could choose to use the services of that competitor rather than our services.</w:t>
      </w:r>
    </w:p>
    <w:p>
      <w:pPr>
        <w:spacing w:after="0" w:line="201"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b w:val="1"/>
          <w:bCs w:val="1"/>
          <w:i w:val="1"/>
          <w:iCs w:val="1"/>
          <w:color w:val="auto"/>
        </w:rPr>
        <w:t>We have experienced rapid growth over the past several years, which may be difficult to sustain and which may place significant demands on our administrative, operational and financial resources.</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expect our rapid growth to continue, which could place additional demands on our resources and increase our expenses. Our future growth will depend, among other things, on our ability to successfully identify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practice groups and individuals to join our firm. It may take more than one year for us to determine whether new professionals will be profitable or effective. Typically, we hire new Senior Managing Directors in the middle of a calendar year, but the new hires do not begin to generate significant revenue until the following calendar year. During that time, we may incur significant expenses and expend significant time and resources toward training, integration and business development. If we are unable to hire and retain profitable professionals, we will not be able to implement our growth strategy and our financial results may be materially adversely affected. Over the course of 2007, Evercore announced the hiring of eight new Senior Managing Directors (including one Evercore Europe Senior Managing Director who joined the firm on January 1, 2008) across the firm. Within its Advisory business, seven new Senior Managing Directors were added, expanding the firm’s capabilities in the Consumer/Retail, Energy, Health Care, Chemicals and Aerospace/Defense sectors and its presence in Europe.</w:t>
      </w:r>
    </w:p>
    <w:p>
      <w:pPr>
        <w:spacing w:after="0" w:line="10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Sustaining growth will also require us to commit additional management, operational and financial resources to this growth and to maintain appropriate operational, legal, regulatory and financial systems to adequately support expansion. There can be no assurance that we will be able to manage our expanding operations effectively or that we will be able to maintain or accelerate our growth and any failure to do so could adversely affect our ability to generate revenue and control our expenses.</w:t>
      </w:r>
    </w:p>
    <w:p>
      <w:pPr>
        <w:spacing w:after="0" w:line="22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we are unable to consummate or successfully integrate additional acquisitions or joint ventures, we may not be able to implement our growth strategy successfully.</w:t>
      </w:r>
    </w:p>
    <w:p>
      <w:pPr>
        <w:spacing w:after="0" w:line="5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growth strategy is based, in part, on the selective acquisition, development and investment in advisory businesses, asset management businesses or other business complementary to our business where we think we can add substantial value or generate substantial returns. The success of this strategy will depend on, among other things:</w:t>
      </w:r>
    </w:p>
    <w:p>
      <w:pPr>
        <w:spacing w:after="0" w:line="5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suitable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competition from other companies that may have greater financial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value acquisition and investment candidates accurately and negotiate acceptable terms for those acquisitions and investments;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and enter into mutually beneficial relationships with venture partners;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management resources to oversee the integration and operation of the new businesses.</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If we are not successful in implementing our growth strategy, our business and results and the market price for our Class A common stock may be adversely affected.</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inability to integrate acquired businesses successfully or to realize the anticipated cost savings and other benefits could have adverse consequences to our business.</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experienced significant growth through acquisitions and we expect to continue to grow through additional acquisitions. Acquisitions generally result in increased operating and administrative costs. We may not be able to manage or integrate the acquired companies or businesses successfully. The process of combining acquired businesses may be disruptive to our business and may cause an interruption or reduction of our business as a result of the following factors, among others:</w:t>
      </w:r>
    </w:p>
    <w:p>
      <w:pPr>
        <w:spacing w:after="0" w:line="6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key employees or customers;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inconsistencies in or conflicts between standards, controls, procedures and policies among the combined companies and the need to implement company-wide financial, accounting, information technology and other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maintain the quality of services that have historically been provided;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coordinate geographically diverse organizations; and</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diversion of management’s attention from our day-to-day business as a result of the need to manage any disruptions and difficulties and the need to add management resources to do so.</w:t>
      </w:r>
    </w:p>
    <w:p>
      <w:pPr>
        <w:spacing w:after="0" w:line="132"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These disruptions and difficulties, if they occur, may cause us to fail to realize the cost savings, revenue enhancements and other benefits that we expect to result from integrating acquired companies and may cause material adverse short- and long-term effects on our operating results, financial condition and liquidity.</w:t>
      </w:r>
    </w:p>
    <w:p>
      <w:pPr>
        <w:spacing w:after="0" w:line="6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Even if we are able to integrate the operations of acquired businesses into our operations, we may not realize the full benefits of the cost savings, revenue enhancements or other benefits that we may have expected at the time of acquisition. These analyses necessarily involve assumptions as to future events, including general business and industry conditions, the longevity of specific customer engagements and relationships, operating costs and competitive factors, many of which are beyond our control and may not materialize. While we believe these analyses and their underlying assumptions to be reasonable, they are estimates that are necessarily speculative in nature. In addition, even if we achieve the expected benefits, we may not be able to achieve them within the anticipated time frame. Also, the cost savings and other synergies from these acquisitions may be offset by costs incurred in integrating the companies, increases in other expenses or problems in the business unrelated to these acquisitions.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recent acquisitions have involved the purchase of the equity of existing companies. These acquisitions, as well as acquisitions of substantially all of the assets of a company may expose us to liability for actions taken by an acquired business and its management before the acquisition. The due diligence we conduct in connection with an acquisition and any contractual guarantees or indemnities that we receive from the sellers of acquired companies generally would not be sufficient to protect us from or compensate us for, actual liabilities. A material liability associated with an acquisition, especially where there is no right to indemnification, could adversely affect our operating results, financial condition and liquidity.</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revenue and profits are highly volatile, which may make it difficult for us to achieve steady earnings growth on a quarterly basis and may cause the price of our Class A common stock to decline.</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revenue and profits are highly volatile. We generally derive revenue from a limited number of engagements that generate significant fees at key transaction milestones, such as closing, the timing of which is outside of our control. As a result, our financial results will likely fluctuate from quarter to quarter based on the timing of when those fees are earned. It may be difficult for us to achieve steady earnings growth on a quarterly basis, which could, in turn, lead to large adverse movements in the price of our Class A common stock or increased volatility in our stock price generally.</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earn a majority of our revenue from advisory engagements, and, in many cases, we are not paid until the successful consummation of the underlying M&amp;A transaction or restructuring. As a result, our advisory revenue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or stockholder approvals,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due to a failure to reach agreement with its principal creditors. In these circumstances, we often do not receive any advisory fees other than the reimbursement of certain out-of-pocket expenses, despite the fact that we have devoted considerable resources to these transactions.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timing and receipt of carried interest generated by our private equity funds is uncertain and will contribute to the volatility of our Investment Management revenue. Carried interest depends on our funds’ investment performance and opportunities for realizing gains, which may be limited. In addition, it takes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substantial period of time to identify attractive private equity or venture capital opportunities, to raise the funds needed to make an investment and then to realize the cash value of an investment through resale, recapitalization or other exit. Even if an investment proves to be profitable, it may be several years or longer before any profits can be realized in cash or other proceeds. Moreover, if legislation were to be introduced in the U.S. Congress to tax carried interest as ordinary income rather than as capital gains, adoption of any such legislation could adversely affect our ability to recruit, retain and motivate our current and future Senior Managing Directors and other employees. We recognize revenue on investments in our funds based on our allocable share of realized and unrealized gains (or losses) reported by such funds. In addition, the Company also records carried interest, which could further increase the volatility of our quarterly results.</w:t>
      </w:r>
    </w:p>
    <w:p>
      <w:pPr>
        <w:spacing w:after="0" w:line="18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could harm us by impairing our ability to attract and retain clients and subjecting us to significant legal liability and reputational harm.</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have been a number of highly-publicized cases involving fraud or other misconduct by employees in the financial services industry, and there is a risk that our employees could engage in misconduct that adversely affects our business. For example, our Advisory business often requires that we deal with confidential matters of great significance to our clients. If our employees were to improperly use or disclose confidential information provided by our clients, we could be subject to regulatory sanctions and suffer serious harm to our reputation, financial position, current client relationships and ability to attract future clients. We are also subject to a number of obligations and standards arising from our Investment Management business and our authority over the assets managed by our Investment Management business. The violation of these obligations and standards by any of our employees would adversely affect our clients and us. It is not always possible to deter employee misconduct, and the precautions we take to detect and prevent this activity may not be effective in all cases. If our employees engage in misconduct, our business would be adversely affected.</w:t>
      </w:r>
    </w:p>
    <w:p>
      <w:pPr>
        <w:spacing w:after="0" w:line="1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financial services industry faces substantial litigation risks, and we may face damage to our professional reputation and legal liability if our services are not regarded as satisfactory or for other reasons.</w:t>
      </w:r>
    </w:p>
    <w:p>
      <w:pPr>
        <w:spacing w:after="0" w:line="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mergers and acquisitions or restructuring transactions involves complex analysis and the exercise of professional judgment, including, if appropriate, rendering “fairness opinions” in connection with mergers and other transactions.</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Our advisory activities may subject us to the risk of significant legal liabilities to our clients and third parties, including our clients’ stockholders, under securities or other laws for materially false or misleading statements made in connection with securities and other transactions and potential liability for the fairness opinions and other advice provided to participants in corporate transactions. In our Investment Management business, we make investment decisions on behalf of our clients that could result in substantial losses. This also may subject us to the risk of legal liabilities or actions alleging negligent misconduct, breach of fiduciary duty or breach of contract. These risks often may be difficult to assess or quantify and their existence and magnitude often remain unknown for substantial periods of time. Our engagements typically include broad indemnities from our clients and provisions designed to limit our exposure to legal claims relating to our services, but these provisions may not protect us or may not be adhered to in all cases. As a result, we may incur significant legal expenses in defending against litigation. Substantial legal liability could materially adversely affect our business, financial condition, operating results or liquidity or cause significant reputational harm to us, which could seriously harm our business.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failures and changes in regulation could adversely affect us.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Advisory and Investment Management businesses are subject to regulation in the United States, including by the SEC and FINRA. In Mexico, our business is regulated by the Mexican Ministry of Finance and the Mexican National Banking and Securities Commission and our European business is subject to regulation by the FSA in the United Kingdom. Our failure to comply or have complied with applicable laws or regulations could result in fines, suspensions of personnel or other sanctions, including revocation of the registration of us or any of our subsidiaries as an investment adviser or broker-dealer. Even if a sanction imposed against us or our personnel is small in monetary amount, the adverse publicity arising from the imposition of sanctions against us by regulators could harm our reputation and cause us to lose existing clients or fail to gain new Advisory or Investment Management clients. Our broker-dealer operations are subject to periodic examination by the SEC and FINRA. We cannot predict the outcome of any such examinations.</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a result of highly-publicized financial scandals, investors have exhibited concerns over the integrity of the U.S. financial markets, and the regulatory environment in which we operate is subject to further regulation in addition to those rules already promulgated. We may be adversely affected as a result of new or revised legislation or regulations imposed by the SEC, other United States or foreign governmental regulatory authorities or self-regulatory organizations that supervise the financial markets. We also may be adversely affected by changes in the interpretation or enforcement of existing laws and rules by these governmental authorities and self-regulatory organizations.</w:t>
      </w:r>
    </w:p>
    <w:p>
      <w:pPr>
        <w:spacing w:after="0" w:line="143"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In addition, one of our affiliates is registered as an investment advisor with the SEC. Registered investment advisors are subject to the requirements and regulations of the Investment Advisers Act of 1940. Such requirements relate to, among other things, recordkeeping and reporting requirements, disclosure requirements, limitations on agency cross and principal transactions between an advisor and advisory clients, as well as general anti-fraud prohibitions.</w:t>
      </w:r>
    </w:p>
    <w:p>
      <w:pPr>
        <w:spacing w:after="0" w:line="8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Further, financial services firms are subject to numerous conflicts of interest or perceived conflicts. While we have adopted various policies, controls and procedures to address or limit actual or perceived conflicts, these policies and procedures carry attendant costs and may not be adhered to by our employees. Failure to adhere to these policies and procedures may result in regulatory sanctions or client litigation.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Advisory Business</w:t>
      </w:r>
    </w:p>
    <w:p>
      <w:pPr>
        <w:spacing w:after="0" w:line="17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A majority of our revenue is derived from advisory fees, which are not long-term contracted sources of revenue and are subject to intense competition, and declines in our advisory engagements could have a material adverse effect on our financial condition and operating results.</w:t>
      </w:r>
    </w:p>
    <w:p>
      <w:pPr>
        <w:spacing w:after="0" w:line="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advisory clients. These fees are typically payable upon the successful completion of a particular transaction or restructuring. Advisory services accounted for 88%, 88% and 92% of the Predecessor Company and Successor Company net revenue in 2005, 2006 and 2007, respectively.</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Unlike diversified investment banks, we do not have multiple sources of revenue, such as underwriting or trading securities. We expect that we will continue to rely on advisory fees for a substantial portion of our revenue for the foreseeable future. A decline in our advisory engagements or the market for advisory services would adversely affect our business.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our Advisory business operates in a highly-competitive environment where typically there are no long-term contracted sources of revenue. Each revenue-generating engagement typically is separately solicited, awarded and negotiated. In addition, many businesses do not routinely engage in transactions requiring our services. As a consequence, our fee-paying engagements with many clients are not likely to be predictable and high levels of revenue in one quarter are not necessarily predictive of continued high levels of revenue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future periods. We also lose clients each year as a result of the sale or merger of a client, a change in a client’s senior management, competition from other financial advisors and financial institutions and other causes. As a result, our advisory fees could decline materially due to such changes in the volume, nature and scope of our engagements.</w:t>
      </w:r>
    </w:p>
    <w:p>
      <w:pPr>
        <w:spacing w:after="0" w:line="22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A high percentage of our net revenue is derived from a small number of clients and the termination of any one advisory engagement could reduce our revenue and harm our operating results.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year, we advise a limited number of advisory clients. Our top five advisory clients accounted for 50%, 40% and 32% of the Predecessor Company and Successor Company net revenue in 2005, 2006 and 2007, respectively. The composition of the group of clients comprising our largest advisory clients can vary each fiscal year. One client represented in excess of 10% of our net revenue for the year ended December 31, 2007. With the exception of 2005 and 2006 when our largest advisory client was the same, the composition of the group comprising our largest advisory clients varies significantly from year to year. We expect that our advisory engagements will continue to be limited to a relatively small number of clients and that an even smaller number of those clients will account for a high percentage of revenue in any particular year. As a result, our operating results, financial condition and liquidity may be significantly affected by even one lost mandate or the failure of one advisory assignment to be completed.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restrictions on our clients may reduce the demand for our services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New laws or regulations or changes in enforcement of existing laws or regulations applicable to our clients may also adversely affect our business. For example, changes in regulation could restrict the activities of our clients and their need for the types of advisory services that we provide to them and changes in antitrust enforcement could affect the level of mergers and acquisitions activity.</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If the number of debt defaults, bankruptcies or other factors affecting demand for our restructuring advisory services declines, or we lose business to new entrants into the restructuring advisory business that are no longer precluded from offering such services due to recent changes to the U.S. Bankruptcy Code, our restructuring advisory business revenue could suffer.</w:t>
      </w:r>
    </w:p>
    <w:p>
      <w:pPr>
        <w:spacing w:after="0" w:line="59"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provide various financial restructuring and related advice to companies in financial distress or to their creditors or other stakeholders. A number of factors affect demand for these advisory services, including general economic conditions, the availability and cost of debt and equity financing and changes to laws, rules and regulations, including deregulation or privatization of particular industries and those that protect creditors.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requirement of Section 327 of the U.S. Bankruptcy Code requiring that one be a “disinterested person” to be employed in a restructuring has been modified pursuant to the Bankruptcy Abuse Prevention and Consumer Protection Act of 2005. The “disinterested person” definition of the U.S. Bankruptcy Code has historically disqualified certain of our competitors, but has not often disqualified us from obtaining a role in a restructuring because we have not been an underwriter of securities or lender. However, a recent change to the “disinterested person” definition will allow underwriters of securities to compete for restructuring engagements as well as with respect to the recruitment and retention of professionals. If our competitors succeed in being retained in new restructuring engagements, our restructuring advisory business, and thereby our results of operations, could be adversely affected.</w:t>
      </w:r>
    </w:p>
    <w:p>
      <w:pPr>
        <w:spacing w:after="0" w:line="2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we can offer, which could cause us to fail to win advisory mandates and subject us to pricing pressures that could materially adversely affect our revenue and profitability.</w:t>
      </w:r>
    </w:p>
    <w:p>
      <w:pPr>
        <w:spacing w:after="0" w:line="5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financial advisory industry is intensely competitive, and we expect it to remain so. We compete on the basis of a number of factors, including the quality of our employees, transaction execution, our products and services, innovation and reputation, and price. We have experienced intense competition over obtaining advisory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mandates in recent years, and we may experience pricing pressures in our Advisory business in the future as some of our competitors seek to obtain increased market share by reducing fees.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also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Unlike us, many of these firms have the ability to offer a wide range of products, from loans, deposit-taking and insurance to brokerage, asset management and investment banking services, which may enhance their competitive position. They also have the ability to support investment banking, including financial advisory services, with commercial banking, insurance and other financial services revenue in an effort to gain market share, which could result in pricing pressure in our businesses.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Investment Management Business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If the investments we make on behalf of our funds perform poorly we will suffer a decline in our investment management revenue and earnings, we may be obligated to repay certain carried interest we have previously received to the third party investors in our funds, and our ability to raise capital for future funds may be adversely affected.</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revenue from our Investment Management business is derived from fees earned for our management of the funds calculated as a percentage of the capital committed to our funds, performance fees, or carried interest, earned when certain financial returns are achieved over the life of a fund, gains or losses on investments of our own capital in the funds and monitoring, director and transaction fees. In the event that our investments perform poorly on both realized and unrealized bases, our Investment Management revenues and earnings will suffer a corresponding decline. Such a decline may make it more difficult for us to raise Evercore Capital Partners III or any other new funds in the future, or result in such fundraising taking longer to complete than anticipated or may prevent us from raising such funds. To the extent that, over the life of the funds, we have received an amount of carried interest that exceeds a specified percentage of distributions made to the third party investors in our funds, we may be obligated to repay the amount of this excess to the third party investors.</w:t>
      </w:r>
    </w:p>
    <w:p>
      <w:pPr>
        <w:spacing w:after="0" w:line="199"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A portion of our Investment Management activities involves investments in relatively high-risk, illiquid assets, and we may lose some or all of the principal amount we invest in these activities or fail to realize any profits from these activities for a considerable period of time.</w:t>
      </w:r>
    </w:p>
    <w:p>
      <w:pPr>
        <w:spacing w:after="0" w:line="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made principal investments in ECP II and any new private equity funds we may establish in the future may require us to make some additional principal investments. These funds generally invest in relatively high-risk, illiquid assets. Contributing capital to these funds is risky, and we may lose some or all of the principal amount of our investments.</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addition, our private equity funds have sometimes invested in businesses with capital structures that have significant leverage. The leveraged capital structure of such businesses increases the exposure of the funds’ portfolio companies to adverse economic factors such as rising interest rates, downturns in the economy or deteriorations in the condition of such business or its industry. If these portfolio companies default on their indebtedness, the lender may foreclose and we could lose our entire investment.</w:t>
      </w:r>
    </w:p>
    <w:p>
      <w:pPr>
        <w:spacing w:after="0" w:line="22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Valuation methodologies for certain assets in our Private Equity funds can be subject to significant subjectivity and the values of assets established pursuant to such methodologies may never be realized, which could result in significant losses for our funds.</w:t>
      </w:r>
    </w:p>
    <w:p>
      <w:pPr>
        <w:spacing w:after="0" w:line="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There are no readily ascertainable market prices for a very large number of illiquid investments in our funds. The value of the investments of our funds is determined periodically by us based on applicable accounting principles generally accepted in the United States of America (“U.S. GAAP”) fair value methodologies described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the funds’ valuation policies. These policies are based on a number of factors, including the nature of the investment, the expected cash flows from the investment, bid or ask prices provided by third parties for the investment and the trading price of securities (in the case of publicly traded securities), restrictions on transfer and other recognized valuation methodologies. The methodologies we use in valuing individual investments are based on a variety of estimates and assumptions specific to the particular investments, and actual results related to the investment therefore often vary materially as a result of the inaccuracy of such assumptions or estimates. In addition, because some of the illiquid investments held by our funds are or may in the future be in industries or sectors which are unstable, in distress, or undergoing some uncertainty, such investments may be subject to rapid changes in value caused by sudden company-specific or industry-wide developments.</w:t>
      </w:r>
    </w:p>
    <w:p>
      <w:pPr>
        <w:spacing w:after="0" w:line="14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Because there is significant uncertainty in the valuation of, or in the stability of the value of illiquid investments, the fair values of such investments as reflected in a fund’s value do not necessarily reflect the prices that would actually be obtained by us on behalf of the fund when such investments are sold. Realizations at values significantly lower than the values at which investments have been reflected in fund values would result in losses for the applicable fund and the loss of potential incentive income.</w:t>
      </w:r>
    </w:p>
    <w:p>
      <w:pPr>
        <w:spacing w:after="0" w:line="2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Difficult market conditions can reduce the value or performance of the assets we manage in our Investment Management business, which, in each case, could materially reduce our revenue or income and adversely affect our financial position.</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public securities component of our Investment Management business would be expected to generate lower revenue in a market or general economic downturn. Under our public securities business arrangements, investment management fees we receive typically are based on the market value of assets under management. Accordingly, a decline in the prices of securities would be expected to cause our revenue and income to decline by causing the value of our assets under management to decrease. In addition, a lack of liquidity in markets would also have a material adverse effect on the value of our assets and our clients’ assets, in particular, a lack of liquidity in Mexican government bonds would have a material adverse effect on PCB’s business. These factors would result in lower investment management fees, causing negative absolute performance returns for some accounts which have performance-based fees, also referred to as carried interest, resulting in a reduction of revenue from such fees, and/or causing some of our clients to withdraw funds from our asset management business in favor of investments they perceive as offering greater opportunity or lower risk, which also would result in lower investment management fees.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Investment Management business is intensely competitive.</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Investment Management business is intensely competitive, with competition based on a variety of factors, including investment performance, the quality of service provided to clients, brand recognition and business reputation.</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Investment Management business competes with a number of private equity and venture capital firms, asset management firms, commercial banks, investment banks and other financial institutions. A number of factors serve to increase our competitive risks:</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number of our competitors have more relevant experience, greater financial and other resources and more personnel than we do;</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new private equity and venture capital firms, including a relatively low cost of entering these businesses, and the successful efforts of new entrants into our various lines of business, including major banks and other financial institutions, have resulted in increased competition;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investors may prefer to invest with private partnerships;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industry participants will from time to time seek to recruit our investment professionals and other employees away from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This competitive pressure could adversely affect our ability to make successful investments and prevent us from raising Evercore Capital Partners III or any other future funds, either of which would adversely impact our revenue and earnings.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partners of the private equity funds we manage may terminate their relationship with us at any time.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limited partnership agreements of the funds we manage provide that the limited partners of each fund may terminate their relationship with us without cause with a simple majority vote of each fund’s limited partners. If the limited partners of the funds we manage terminate their relationship with us, we would lose fees earned for our management of the funds and carried interest from those funds. In addition, such an event would negatively impact our ability to raise capital for future funds.</w:t>
      </w:r>
    </w:p>
    <w:p>
      <w:pPr>
        <w:spacing w:after="0" w:line="2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The time and attention that our Senior Managing Directors and other employees devote to monetizing the investments of ECP I and EVP will not financially benefit us and may reduce the time and attention these individuals devote to our business. The time and attention that these individuals devote to managing ECP II and the Discovery Fund may not be as profitable to us as other business activities and opportunities to which they might otherwise have devoted their time and attention.</w:t>
      </w:r>
    </w:p>
    <w:p>
      <w:pPr>
        <w:spacing w:after="0" w:line="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the exception of a non-managing equity interest in the general partner of the ECP II and the Discovery Fund, the general partners of our private equity funds at the time of the IPO were not contributed to us in connection with the Reorganization and are owned by our Senior Managing Directors and other third parties. Accordingly, we no longer receive any carried interest from ECP I or EVP or any gains (or losses) arising from investments in those funds. As a result, although ECP I and EVP are in their realization, or harvesting, periods, the time and attention that our Senior Managing Directors and employees devote to monetizing the investments of these funds will not financially benefit us and may reduce the time and attention these individuals devote to our business. In addition, while we will receive 8% to 9% (depending on the particular fund investment) of the carried interest realized from ECP II and 10% from the Discovery Fund, the time and attention that our Senior Managing Directors and employees devote to managing these funds may not be as profitable to us as other business activities and opportunities to which these individuals might otherwise have devoted their time and attention.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2007, we earned 22% of our revenues from our non-U.S. operations. We intend to significantly grow our non-U.S. business and this growth is critical to our overall success. In addition, many of our larger clients for our U.S. advisory business are non-U.S. entities seeking to enter into transactions involving U.S. businesses. Moreover, given the challenges the U.S. economy is facing, we expect a significant number of non-U.S. entities will play a greater role in the U.S. M&amp;A market. Our non-U.S. operations are relatively small and new, even compared to our U.S. business. As a result, our non-U.S. businesses face the same or even greater competitive pressures.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 of operations.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Because our financial statements are denominated in U.S. dollars and, as a result of recent acquisitions we will be receiving portions of our net revenue from continuing operations in other currencies, predominantly in Mexican pesos, euros and British pounds, we are exposed to fluctuations in foreign currencies. In addition, we pay certain of our expenses in such currencies. The exchange rates of these currencies versus the U.S. dollar could adversely affect our results of operations. We do not generally hedge such non-dollar foreign exchange rate exposure arising in our subsidiaries outside of the U.S., but periodically evaluate this strategy and may enter into foreign currency hedging transactions in the future. Fluctuations in foreign currencies may also make period-to-period comparisons of our results of operations difficult.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in Mexico, including interest rate volatility, may result in a decrease in Protego’s revenue.</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Protego is a Mexican company, with all of its assets located in Mexico and most of its revenue derived from operations in Mexico. As a financial services firm, Protego’s businesses are materially affected by Mexico’s financial markets and economic conditions. Historically, interest rates in Mexico have been volatile, particularly in times of economic unrest and uncertainty. Mexico has had, and may continue to have, high real and nominal interest rates.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Because revenue generated by Protego’s advisory business, which accounted for 83% of its revenue in 2007, is directly related to the volume and value of the transactions in which it is involved, during periods of unfavorable market or economic conditions in Mexico, the volume and value of mergers and acquisitions and other types of transactions may decrease, thereby reducing the demand for Protego’s advisory services and increasing price competition among financial services companies seeking such engagements. Protego’s results of operations would be adversely affected by any such reduction in the volume or value of these and similar advisory transactions.</w:t>
      </w:r>
    </w:p>
    <w:p>
      <w:pPr>
        <w:spacing w:after="0" w:line="22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Political events in Mexico, including a change in state and municipal political leadership, may result in disruptions to Protego’s business operations and adversely affect its revenue.</w:t>
      </w:r>
    </w:p>
    <w:p>
      <w:pPr>
        <w:spacing w:after="0" w:line="5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Mexican government exercises significant influence over many aspects of the Mexican economy and Mexico’s financial sector is heavily regulated. Protego also derives a significant portion of its revenue from advisory contracts with state and local governments in Mexico. Any action by the government, including changes in the regulation of Mexico’s financial sector or changes made by elected officials with respect to advisory contracts with state and local governments, could have an adverse effect on the operations of Protego, especially on its asset management business.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in the past several years, no political party has, or is expected to have in the next three years as a consequence of the recently held elections, a majority in the Mexican Congress. Multi-party rule is relatively new in Mexico and could result in economic or political conditions that could cause disruptions to Protego’s business. The lack of a majority party in the legislature and the lack of alignment between the legislature and the executive branch could prevent the timely implementation of economic reforms or other legislative actions, which in turn could have a material adverse effect on the Mexican economy and cause disruptions to Protego’s business and decrease its revenue.</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Protego derives a significant portion of its revenue from advisory contracts with state and local governments in Mexico. The re-election of individual officeholders is prohibited by Mexican law. State governors have six-year terms of office, and local administrations are limited to three or four years, depending on the law of their state. The term limit system may prevent Protego from maintaining relationships with the same clients in the same political positions beyond these periods. After an election takes place, there is no guarantee that Protego will be able to remain as advisors of the new government, even if the new administration is of the same political party as the previous one.</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cost of compliance with international employment, labor, benefits and tax regulations may adversely affect our revenue and hamper our ability to expand internationally.</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we operate our business both in the United States and internationally, we are subject to many distinct employment, labor, benefits and tax laws in each country in which we operate, including regulations affecting our employment practices and our relations with our employees and service providers.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that favor or require local ownership.</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b w:val="1"/>
          <w:bCs w:val="1"/>
          <w:i w:val="1"/>
          <w:iCs w:val="1"/>
          <w:color w:val="auto"/>
        </w:rPr>
        <w:t>We are required to pay our Senior Managing Directors for most of the benefits relating to any additional tax depreciation or amortization deductions we may claim as a result of the tax basis step-up we received in connection with exchanges of Evercore LP units for shares and related transactions.</w:t>
      </w:r>
    </w:p>
    <w:p>
      <w:pPr>
        <w:spacing w:after="0" w:line="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December 31, 2007, there were 15,213,506 vested and 4,853,165 unvested Evercore LP partnership units held by our Senior Managing Directors that may in the future be exchanged for shares of our Class A common stock. The exchanges may result in increases in the tax basis of the assets of Evercore LP that otherwise would not have been available. These increases in tax basis may reduce the amount of tax that we would otherwise be required to pay in the future, although the IRS may challenge all or part of that tax basis increase, and a court could sustain such a challenge.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entered into a tax receivable agreement with certain of our Senior Managing Directors that provides for the payment by us to these Senior Managing Directors of 85% of the amount of cash savings, if any, in U.S. federal, state and local income tax or franchise tax that we actually realize as a result of these increases in tax basis. While the actual increase in tax basis, as well as the amount and timing of any payments under this agreement, will vary depending upon a number of factors, including the timing of exchanges, the price of shares of our Class A common stock at the time of the exchange, the extent to which such exchanges are taxable, and the amount and timing of our income, we expect that, as a result of the size of the increases in the tax basis of the tangible and intangible assets of Evercore LP attributable to our interest in Evercore LP, during the expected term of the tax receivable agreement, the payments that we may make to our Senior Managing Directors could be substantial.</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Although we are not aware of any issue that would cause the IRS to challenge a tax basis increase, our Senior Managing Directors will not reimburse us for any payments that may previously have been made under the tax receivable agreement. As a result, in certain circumstances we could make payments to the Senior Managing Directors under the tax receivable agreement in excess of our cash tax savings. Our ability to achieve benefits from any tax basis increase, and the payments to be made under this agreement, will depend upon a number of factors, as discussed above, including the timing and amount of our future income.</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only material asset is our interest in Evercore LP, and we are accordingly dependent upon distributions from Evercore LP to pay dividends and taxes and other expenses.</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Evercore Partners Inc. is a holding company and has no material assets other than its ownership of partnership units in Evercore LP. Evercore Partners Inc. has no independent means of generating revenue. We intend to cause Evercore LP to make distributions to its partners in an amount sufficient to cover all applicable taxes payable and dividends, if any, declared by us. To the extent that Evercore Partners Inc. needs funds, and Evercore LP is restricted from making such distributions under applicable law or regulation, or is otherwise unable to provide such funds, it could materially adversely affect our operating results, financial condition and liquidity.</w:t>
      </w:r>
    </w:p>
    <w:p>
      <w:pPr>
        <w:spacing w:after="0" w:line="2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If Evercore Partners Inc. were deemed an “investment company” under the Investment Company Act of 1940 (the “1940 Act”) as a result of its ownership of Evercore LP, applicable restrictions could make it impractical for us to continue our business as contemplated and could have a material adverse effect on our business.</w:t>
      </w:r>
    </w:p>
    <w:p>
      <w:pPr>
        <w:spacing w:after="0" w:line="5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Evercore Partners Inc. were to cease participation in the management of Evercore LP, its interest in Evercore LP could be deemed an “investment security” for purposes of the 1940 Act. Generally, a person is deemed to be an “investment company” if it owns investment securities having a value exceeding 40% of the value of its total assets (exclusive of U.S. government securities and cash items), absent an applicable exemption. Evercore Partners Inc. will have no material assets other than its equity interest in Evercore LP. A determination that this interest was an investment security could result in Evercore Partners Inc. being an investment company under the 1940 Act and becoming subject to the registration and other requirements of the 1940 Act.</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options, and impose certain governance requirements. We intend to conduct our operations so that Evercore Partners Inc. will not be deemed to be an investment company under the 1940 Act. However, if anything were to happen which would cause Evercore Partners Inc.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Evercore Partners Inc., Evercore LP or our Senior Managing Directors, or any combination thereof and materially adversely affect our business, financial condition and results of operations.</w:t>
      </w:r>
    </w:p>
    <w:p>
      <w:pPr>
        <w:spacing w:after="0" w:line="276"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by our Senior Managing Directors of the voting power in Evercore Partners Inc. may give rise to conflicts of interests.</w:t>
      </w:r>
    </w:p>
    <w:p>
      <w:pPr>
        <w:spacing w:after="0" w:line="90"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Our Senior Managing Directors own shares of our Class A common stock and our Class B common stock. Our certificate of incorporation provides that the holders of the shares of our Class B common stock are entitled to a number of votes that is determined pursuant to a formula that relates to the number of Evercore LP partnership units held by such holders. Each holder of Class B common stock is entitled, without regard to the number of shares of Class B common stock held by such holder, to one vote for each partnership unit in Evercore LP held by such holder. Accordingly, our Senior Managing Directors, and certain trusts benefiting their families, collectively have 70% of the voting power in Evercore Partners Inc. As a result, because our Senior Managing Directors have a majority of the voting power in Evercore Partners Inc. and our certificate of incorporation does not provide for cumulative voting, they have the ability to elect all of the members of our board of directors and thereby to control our management and affairs, including determinations with respect to acquisitions, dispositions, borrowings, issuances of common stock or other securities, and the declaration and payment of dividends. In addition, they are able to determine the outcome of all matters requiring stockholder approval and are able to cause or prevent a change of control of our company or a change in the composition of our board of directors and can preclude any unsolicited acquisition of our company. This concentration of ownership could deprive our Class A stockholders of an opportunity to receive a premium for their common stock as part of a sale of our company and might ultimately affect the market price of our Class A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decline due to the large number of shares eligible for future sale and for exchange.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market price of our Class A common stock could decline as a result of sales of a large number of shares of Class A common stock in the market or the perception that such sales could occur. These sales, or the possibility that these sales may occur, also might make it more difficult for us to sell equity securities in the future at a time and at a price that we deem appropriate.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December 31, 2007, we had a total of 11,229,197 shares of our Class A common stock outstanding and our Senior Managing Directors own an aggregate of 20,066,671 partnership units in Evercore LP , of which 15,213,506 partnership units were fully vested and 4,853,165 partnership units were unvested. Our amended and restated certificate of incorporation allows the exchange of partnership units in Evercore LP (other than those held by us) for shares of our Class A common stock on a one-for-one basis, subject to customary conversion rate adjustments for stock splits, stock dividends and reclassifications. The shares of Class A common stock issuable upon exchange of the partnership units that are held by our Senior Managing Directors are eligible for resale from time to time, subject to certain contractual and Securities Act restrictions. In addition, in 2007 we granted to certain of our employees and directors 4,005,391 restricted stock units (“RSUs”) and 475,810 shares of restricted stock pursuant to the Evercore Partners Inc. 2006 Stock Incentive Plan. Of these RSUs and shares of restricted stock, 1,244,340 are fully vested and 3,236,861 are unvested.</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2008 we granted to certain of our employees and directors 1,241,980 RSUs pursuant to the Evercore Partners Inc. 2006 Stock Incentive Plan. Of these RSUs 204,630 are fully vested and 1,037,350 are unvested.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Senior Managing Directors are parties to a registration rights agreement with us. Under that agreement, these persons have the ability to cause us to register the shares of our Class A common stock they could acquire upon exchange of their partnership units in Evercore LP.</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Class A common stock may be volatile, which could cause the value of our Class A common stock to decline.</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In addition, our operating results could be below the expectations of public market analysts and investors, and in response, the market price of our Class A common stock could decrease significantly.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delay or prevent a change in control.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certificate of incorporation and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we are subject to provisions of the Delaware General Corporation Law that restrict certain business combinations with interested stockholders. These provisions may also discourage acquisition proposals or delay or prevent a change in control, which could harm our stock price.</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the end of 2007 relating to our periodic or current reports under the Exchange Act.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principal executive offices are located in leased office space at 55 East 52nd Street, New York, New York. We also lease the space for our offices at 100 Wilshire Boulevard, Santa Monica, California; 3 Embarcadero Center, San Francisco, California; at Av. Lázaro Cárdenas 2400 Torre D-33, Col. San Agustin in Monterrey, Mexico; at Blvd. Manuel A. Camacho 36-22, Col. Lomas de Chapultepec in Mexico City, Mexico; and at 10 Hill Street in London. We do not own any real property. We consider these arrangements to be adequate for our present needs.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the normal course of business, from time to time the Company and its affiliates may be involved in judicial, regulatory and arbitration proceedings concerning matters arising in connection with the conduct of its businesses. In addition, Mexican, United Kingdom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or its directors, officers or employees.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contests liability and/or the amount of damages as appropriate in each pending matter. In view of the inherent difficulty of predicting the outcome of such matters, particularly in cases where claimants seek substantial or indeterminate damages or where investigations and proceedings are in the early stages, the Company cannot predict with certainty the loss or range of loss, if any, related to such matters, how or if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matters will be resolved, when they will ultimately be resolved, or what the eventual settlement, fine, penalty or other relief, if any, might be. Subject to the foregoing, and except for the pending matter described in the paragraphs below, the Company believes, based on current knowledge and after consultation with counsel, that the outcome of the pending matters will not have a material adverse effect on the consolidated financial condition of the Company, although the outcome of such matters could be material to the Company’s operating results and cash flows for a particular future period, depending on, among other things, the level of the Company’s revenues or income for such period. Legal reserves are established in accordance with Statement of Financial Accounting Standards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(“SFAS 5”). Once established, reserves are adjusted when there is more information available or when an event occurs requiring a change.</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Additionally, in the past, the Company or its present personnel have been named as a defendant in civil litigation matters involving present or former clients.</w:t>
      </w:r>
    </w:p>
    <w:p>
      <w:pPr>
        <w:spacing w:after="0" w:line="132"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i w:val="1"/>
          <w:iCs w:val="1"/>
          <w:color w:val="auto"/>
        </w:rPr>
        <w:t>In re High Voltage Engineering Corp. (“High Voltage”) in the U.S. Bankruptcy Court for the District of Massachusetts and Stephen S. Gray, Trustee (“Trustee”) of The High Voltage Engineering Liquidating Trust. v. Evercore Restructuring L.P. Evercore Restructuring L.L.C (collectively, “Evercore Restructuring”) et al., in the United States District Court of Massachusetts.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2003, High Voltage engaged Evercore Restructuring to assist in its restructuring efforts. During the engagement, Evercore Restructuring assisted High Voltage in negotiating a restructuring plan and related financing. During the period of engagement, which ended in August 2004, High Voltage filed for Chapter 11 bankruptcy protection and later emerged from bankruptcy with new financing. However, in February 2005, High Voltage again filed for Chapter 11 bankruptcy protection. In July 2006, as part of the second bankruptcy proceeding, High Voltage’s businesses were sold and its creditors were repaid in full out of the proceeds of the sale. In addition, the Trustee conducted an informal investigation into the causes of the second bankruptcy and the knowledge of professionals who assisted High Voltage in its first bankruptcy.</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August 15, 2006, Stephen S. Gray, as trustee of the High Voltage Engineering Liquidating Trust (the “Plaintiff”), filed a motion in the bankruptcy court seeking to undo an order entered in November 2004 approving $2.34 million in fees and expenses for Evercore Restructuring’s services, alleging, among other matters, that Evercore Restructuring should have known that the projections prepared by High Voltage in connection with the first bankruptcy proceedings were inaccurate. On September 8, 2006, Evercore Restructuring responded in the bankruptcy court denying the factual allegations and asserting a variety of legal bases to deny the request. In January 2007, the bankruptcy court decided in favor of Evercore Restructuring and denied the Plaintiff’s motion. In September 2007, the United States District Court affirmed the decision. Plaintiff filed a notice of appeal to the Court of Appeals for the First Circuit. The parties are in the process of briefing the appeal. No decision has been issued.</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on August 15, 2006, the same Plaintiff filed a complaint against Evercore Restructuring and Jefferies &amp; Company, Inc. in the United States District Court of Massachusetts. The Plaintiff’s complaint asserts claims against Evercore Restructuring for gross negligence and breach of fiduciary duty in connection with the High Voltage engagement. In September 2007, the District Court granted Evercore Restructuring judgment on the pleadings. Plaintiff filed a notice of appeal to the Court of Appeals for the First Circuit. The parties are in the process of briefing the appeal. No decision has been issued.</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our security holders during the fourth quarter of the year ended December 31,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in the section captioned “Executive Officers” in the Proxy statement is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204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Evercore Class A Common Stock</w:t>
      </w:r>
    </w:p>
    <w:p>
      <w:pPr>
        <w:spacing w:after="0" w:line="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Class A common stock is listed on the NYSE and is traded under the symbol “EVR.” At the close of business on March 11, 2008, there were 6 Class A common stockholders of record.</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reported sale prices per share for the Class A common stock since August 11, 2006, the date that our Class A common stock began trading on the NYSE, as reported on the NYSE: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High</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2006 (since August 11, 2006)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$40.05</w:t>
            </w:r>
          </w:p>
        </w:tc>
        <w:tc>
          <w:tcPr>
            <w:tcW w:w="9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0"/>
              </w:rPr>
              <w:t>$21.00</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Quarter ended March 31, 2007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$38.30</w:t>
            </w:r>
          </w:p>
        </w:tc>
        <w:tc>
          <w:tcPr>
            <w:tcW w:w="980" w:type="dxa"/>
            <w:vAlign w:val="bottom"/>
            <w:gridSpan w:val="2"/>
          </w:tcPr>
          <w:p>
            <w:pPr>
              <w:jc w:val="center"/>
              <w:ind w:left="392"/>
              <w:spacing w:after="0"/>
              <w:rPr>
                <w:sz w:val="20"/>
                <w:szCs w:val="20"/>
                <w:color w:val="auto"/>
              </w:rPr>
            </w:pPr>
            <w:r>
              <w:rPr>
                <w:rFonts w:ascii="Arial" w:cs="Arial" w:eastAsia="Arial" w:hAnsi="Arial"/>
                <w:sz w:val="18"/>
                <w:szCs w:val="18"/>
                <w:color w:val="auto"/>
                <w:w w:val="90"/>
              </w:rPr>
              <w:t>$29.80</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Quarter ended June 30, 2007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$33.72</w:t>
            </w:r>
          </w:p>
        </w:tc>
        <w:tc>
          <w:tcPr>
            <w:tcW w:w="9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0"/>
              </w:rPr>
              <w:t>$27.61</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Quarter ended September 30, 2007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$30.76</w:t>
            </w:r>
          </w:p>
        </w:tc>
        <w:tc>
          <w:tcPr>
            <w:tcW w:w="980" w:type="dxa"/>
            <w:vAlign w:val="bottom"/>
            <w:gridSpan w:val="2"/>
          </w:tcPr>
          <w:p>
            <w:pPr>
              <w:jc w:val="center"/>
              <w:ind w:left="392"/>
              <w:spacing w:after="0"/>
              <w:rPr>
                <w:sz w:val="20"/>
                <w:szCs w:val="20"/>
                <w:color w:val="auto"/>
              </w:rPr>
            </w:pPr>
            <w:r>
              <w:rPr>
                <w:rFonts w:ascii="Arial" w:cs="Arial" w:eastAsia="Arial" w:hAnsi="Arial"/>
                <w:sz w:val="18"/>
                <w:szCs w:val="18"/>
                <w:color w:val="auto"/>
                <w:w w:val="90"/>
              </w:rPr>
              <w:t>$18.65</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Quarter ended December 31, 2007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$27.89</w:t>
            </w:r>
          </w:p>
        </w:tc>
        <w:tc>
          <w:tcPr>
            <w:tcW w:w="9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0"/>
              </w:rPr>
              <w:t>$18.51</w:t>
            </w:r>
          </w:p>
        </w:tc>
      </w:tr>
    </w:tbl>
    <w:p>
      <w:pPr>
        <w:spacing w:after="0" w:line="15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There is no trading market for the Evercore Partners Inc. Class B common stock. As of March 11, 2008, there were 51 holders of record of the Class B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paid quarterly cash dividends of $0.07, $0.10, $0.12 and $0.12 per share of Class A common stock for the quarters ended March 31,</w:t>
      </w:r>
    </w:p>
    <w:p>
      <w:pPr>
        <w:spacing w:after="0" w:line="38"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2007, June 30, 2007, September 30, 2007 and December 31, 2007, respectively. 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w:t>
      </w:r>
    </w:p>
    <w:p>
      <w:pPr>
        <w:spacing w:after="0" w:line="10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are a holding company and have no material assets other than our ownership of partnership units in Evercore LP. We intend to cause Evercore LP to make distributions to us in an amount sufficient to cover dividends, if any, declared by us. If Evercore LP makes such distributions, our Senior Managing Directors will be entitled to receive equivalent distributions from Evercore LP on their vested partnership units.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 at December 31,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Number of Shares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Shares to be</w:t>
            </w:r>
          </w:p>
        </w:tc>
        <w:tc>
          <w:tcPr>
            <w:tcW w:w="9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00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for Future Issuance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9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00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(Excluding Securities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9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00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Reflected in First</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9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Warrants and Rights(1)</w:t>
            </w:r>
          </w:p>
        </w:tc>
        <w:tc>
          <w:tcPr>
            <w:tcW w:w="10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Column)</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4,481,201</w:t>
            </w:r>
          </w:p>
        </w:tc>
        <w:tc>
          <w:tcPr>
            <w:tcW w:w="980" w:type="dxa"/>
            <w:vAlign w:val="bottom"/>
            <w:shd w:val="clear" w:color="auto" w:fill="CCEEFF"/>
          </w:tcPr>
          <w:p>
            <w:pPr>
              <w:spacing w:after="0"/>
              <w:rPr>
                <w:sz w:val="18"/>
                <w:szCs w:val="18"/>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15,428,193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3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4,481,201</w:t>
            </w:r>
          </w:p>
        </w:tc>
        <w:tc>
          <w:tcPr>
            <w:tcW w:w="980" w:type="dxa"/>
            <w:vAlign w:val="bottom"/>
            <w:shd w:val="clear" w:color="auto" w:fill="CCEEFF"/>
          </w:tcPr>
          <w:p>
            <w:pPr>
              <w:spacing w:after="0"/>
              <w:rPr>
                <w:sz w:val="18"/>
                <w:szCs w:val="18"/>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15,428,193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date, we have issued RSUs and Restricted Stock which by their nature have no exercise price.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for the period October 1, 2007 through December 31,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sets forth the historical selected financial data for the Company for all periods presented. For more information on our historical financial information, see Item 7 “Management’s Discussion and Analysis of Financial Condition and Results of Operations” and Item 8 “Financial Statements and Supplementary Data.” During 2007, certain balances for prior periods have been reclassified to conform to their current presentation in order to improve consistency with Management’s understanding of the business. See Note 2 to our combined/consolidated financial statements for additional information regarding these reclassifications.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Combined</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83"/>
              </w:rPr>
              <w:t>Consolidated</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For the</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center"/>
              <w:ind w:right="97"/>
              <w:spacing w:after="0" w:line="129" w:lineRule="exact"/>
              <w:rPr>
                <w:sz w:val="20"/>
                <w:szCs w:val="20"/>
                <w:color w:val="auto"/>
              </w:rPr>
            </w:pPr>
            <w:r>
              <w:rPr>
                <w:rFonts w:ascii="Arial" w:cs="Arial" w:eastAsia="Arial" w:hAnsi="Arial"/>
                <w:sz w:val="14"/>
                <w:szCs w:val="14"/>
                <w:b w:val="1"/>
                <w:bCs w:val="1"/>
                <w:color w:val="auto"/>
                <w:w w:val="92"/>
              </w:rPr>
              <w:t>For the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Twelve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For the Period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August 10,</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January 1, 2006</w:t>
            </w:r>
          </w:p>
        </w:tc>
        <w:tc>
          <w:tcPr>
            <w:tcW w:w="2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2006 through</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through</w:t>
            </w:r>
          </w:p>
        </w:tc>
        <w:tc>
          <w:tcPr>
            <w:tcW w:w="2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4"/>
              </w:rPr>
              <w:t>August 9, 2006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PREDECESSOR</w:t>
            </w:r>
          </w:p>
        </w:tc>
        <w:tc>
          <w:tcPr>
            <w:tcW w:w="50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PREDECESSOR</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PREDECESSOR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SUCCESSOR</w:t>
            </w:r>
          </w:p>
        </w:tc>
        <w:tc>
          <w:tcPr>
            <w:tcW w:w="42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SUCCESSOR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(dollars in thousands,</w:t>
            </w:r>
          </w:p>
        </w:tc>
        <w:tc>
          <w:tcPr>
            <w:tcW w:w="4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except</w:t>
            </w: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per share data)</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STATEMENT OF OPERATIONS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DATA</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Advisory Revenue</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69,205</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110,842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87,659</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295,751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Investment Management Revenue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33,568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16,967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52"/>
              <w:spacing w:after="0"/>
              <w:rPr>
                <w:sz w:val="20"/>
                <w:szCs w:val="20"/>
                <w:color w:val="auto"/>
              </w:rPr>
            </w:pPr>
            <w:r>
              <w:rPr>
                <w:rFonts w:ascii="Arial" w:cs="Arial" w:eastAsia="Arial" w:hAnsi="Arial"/>
                <w:sz w:val="18"/>
                <w:szCs w:val="18"/>
                <w:color w:val="auto"/>
              </w:rPr>
              <w:t>14,584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6,591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Revenue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vMerge w:val="restart"/>
          </w:tcPr>
          <w:p>
            <w:pPr>
              <w:ind w:left="42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60,120</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86,317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52"/>
              <w:spacing w:after="0"/>
              <w:rPr>
                <w:sz w:val="20"/>
                <w:szCs w:val="20"/>
                <w:color w:val="auto"/>
              </w:rPr>
            </w:pPr>
            <w:r>
              <w:rPr>
                <w:rFonts w:ascii="Arial" w:cs="Arial" w:eastAsia="Arial" w:hAnsi="Arial"/>
                <w:sz w:val="18"/>
                <w:szCs w:val="18"/>
                <w:color w:val="auto"/>
              </w:rPr>
              <w:t>125,635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113,625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102,872</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340,050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393"/>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NET REVENUES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60,120</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86,317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52"/>
              <w:spacing w:after="0"/>
              <w:rPr>
                <w:sz w:val="20"/>
                <w:szCs w:val="20"/>
                <w:color w:val="auto"/>
              </w:rPr>
            </w:pPr>
            <w:r>
              <w:rPr>
                <w:rFonts w:ascii="Arial" w:cs="Arial" w:eastAsia="Arial" w:hAnsi="Arial"/>
                <w:sz w:val="18"/>
                <w:szCs w:val="18"/>
                <w:color w:val="auto"/>
              </w:rPr>
              <w:t>125,635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113,625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96,089</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321,599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Operating Expenses(a)</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24,880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34,473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52"/>
              <w:spacing w:after="0"/>
              <w:rPr>
                <w:sz w:val="20"/>
                <w:szCs w:val="20"/>
                <w:color w:val="auto"/>
              </w:rPr>
            </w:pPr>
            <w:r>
              <w:rPr>
                <w:rFonts w:ascii="Arial" w:cs="Arial" w:eastAsia="Arial" w:hAnsi="Arial"/>
                <w:sz w:val="18"/>
                <w:szCs w:val="18"/>
                <w:color w:val="auto"/>
              </w:rPr>
              <w:t>59,103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63,279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235,503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393"/>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141,031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24,880</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52"/>
              <w:spacing w:after="0"/>
              <w:rPr>
                <w:sz w:val="20"/>
                <w:szCs w:val="20"/>
                <w:color w:val="auto"/>
              </w:rPr>
            </w:pPr>
            <w:r>
              <w:rPr>
                <w:rFonts w:ascii="Arial" w:cs="Arial" w:eastAsia="Arial" w:hAnsi="Arial"/>
                <w:sz w:val="18"/>
                <w:szCs w:val="18"/>
                <w:color w:val="auto"/>
              </w:rPr>
              <w:t>59,103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70,282</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376,534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ind w:left="393"/>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INCOME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TAXES AND MINORITY</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INTEREST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35,240</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51,920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52"/>
              <w:spacing w:after="0"/>
              <w:rPr>
                <w:sz w:val="20"/>
                <w:szCs w:val="20"/>
                <w:color w:val="auto"/>
              </w:rPr>
            </w:pPr>
            <w:r>
              <w:rPr>
                <w:rFonts w:ascii="Arial" w:cs="Arial" w:eastAsia="Arial" w:hAnsi="Arial"/>
                <w:sz w:val="18"/>
                <w:szCs w:val="18"/>
                <w:color w:val="auto"/>
              </w:rPr>
              <w:t>66,532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68,325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25,807</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(54,935)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Taxes(b)</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3,372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Minority Interest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52"/>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15,991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(32,841)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34,344</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49,777</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63,152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(34,495)</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Share</w:t>
            </w: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left="153"/>
              <w:spacing w:after="0"/>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left="213"/>
              <w:spacing w:after="0"/>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N/A</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53"/>
              <w:spacing w:after="0"/>
              <w:rPr>
                <w:sz w:val="20"/>
                <w:szCs w:val="20"/>
                <w:color w:val="auto"/>
              </w:rPr>
            </w:pPr>
            <w:r>
              <w:rPr>
                <w:rFonts w:ascii="Arial" w:cs="Arial" w:eastAsia="Arial" w:hAnsi="Arial"/>
                <w:sz w:val="18"/>
                <w:szCs w:val="18"/>
                <w:color w:val="auto"/>
                <w:w w:val="99"/>
              </w:rPr>
              <w:t>N/A</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9"/>
              </w:rPr>
              <w:t>N/A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i w:val="1"/>
                <w:iCs w:val="1"/>
                <w:color w:val="auto"/>
                <w:w w:val="84"/>
              </w:rPr>
              <w:t>Combined</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i w:val="1"/>
                <w:iCs w:val="1"/>
                <w:color w:val="auto"/>
                <w:w w:val="85"/>
              </w:rPr>
              <w:t>Consolidated</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As of December 31,</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tcPr>
          <w:p>
            <w:pPr>
              <w:jc w:val="right"/>
              <w:ind w:right="376"/>
              <w:spacing w:after="0" w:line="142" w:lineRule="exact"/>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83"/>
              </w:rPr>
              <w:t>2004</w:t>
            </w:r>
          </w:p>
        </w:tc>
        <w:tc>
          <w:tcPr>
            <w:tcW w:w="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2005</w:t>
            </w:r>
          </w:p>
        </w:tc>
        <w:tc>
          <w:tcPr>
            <w:tcW w:w="8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PREDECESSOR</w:t>
            </w:r>
          </w:p>
        </w:tc>
        <w:tc>
          <w:tcPr>
            <w:tcW w:w="42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PREDECESSOR</w:t>
            </w:r>
          </w:p>
        </w:tc>
        <w:tc>
          <w:tcPr>
            <w:tcW w:w="40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PREDECESSOR</w:t>
            </w:r>
          </w:p>
        </w:tc>
        <w:tc>
          <w:tcPr>
            <w:tcW w:w="840" w:type="dxa"/>
            <w:vAlign w:val="bottom"/>
          </w:tcPr>
          <w:p>
            <w:pPr>
              <w:spacing w:after="0"/>
              <w:rPr>
                <w:sz w:val="12"/>
                <w:szCs w:val="12"/>
                <w:color w:val="auto"/>
              </w:rPr>
            </w:pPr>
          </w:p>
        </w:tc>
        <w:tc>
          <w:tcPr>
            <w:tcW w:w="8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SUCCESSOR</w:t>
            </w:r>
          </w:p>
        </w:tc>
        <w:tc>
          <w:tcPr>
            <w:tcW w:w="400" w:type="dxa"/>
            <w:vAlign w:val="bottom"/>
          </w:tcPr>
          <w:p>
            <w:pPr>
              <w:spacing w:after="0"/>
              <w:rPr>
                <w:sz w:val="12"/>
                <w:szCs w:val="12"/>
                <w:color w:val="auto"/>
              </w:rPr>
            </w:pPr>
          </w:p>
        </w:tc>
        <w:tc>
          <w:tcPr>
            <w:tcW w:w="8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2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76"/>
              </w:rPr>
              <w:t>(dollars in thousands)</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220" w:type="dxa"/>
            <w:vAlign w:val="bottom"/>
            <w:gridSpan w:val="3"/>
          </w:tcPr>
          <w:p>
            <w:pPr>
              <w:jc w:val="right"/>
              <w:ind w:right="31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CONDITION DATA</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Total Assets</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42,343</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71,681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81,456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32"/>
              <w:spacing w:after="0"/>
              <w:rPr>
                <w:sz w:val="20"/>
                <w:szCs w:val="20"/>
                <w:color w:val="auto"/>
              </w:rPr>
            </w:pPr>
            <w:r>
              <w:rPr>
                <w:rFonts w:ascii="Arial" w:cs="Arial" w:eastAsia="Arial" w:hAnsi="Arial"/>
                <w:sz w:val="18"/>
                <w:szCs w:val="18"/>
                <w:color w:val="auto"/>
                <w:w w:val="98"/>
              </w:rPr>
              <w:t>301,503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689,096</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20,137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29,677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8"/>
              </w:rPr>
              <w:t>152,108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469,781</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Minority Interest</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155</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32"/>
              <w:spacing w:after="0"/>
              <w:rPr>
                <w:sz w:val="20"/>
                <w:szCs w:val="20"/>
                <w:color w:val="auto"/>
              </w:rPr>
            </w:pPr>
            <w:r>
              <w:rPr>
                <w:rFonts w:ascii="Arial" w:cs="Arial" w:eastAsia="Arial" w:hAnsi="Arial"/>
                <w:sz w:val="18"/>
                <w:szCs w:val="18"/>
                <w:color w:val="auto"/>
              </w:rPr>
              <w:t>36,918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46,339</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and Members’ Equity</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27,053</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51,279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51,505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8"/>
              </w:rPr>
              <w:t>112,477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172,976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our August 2006 IPO, payments for services rendered by our Senior Managing Directors were accounted for as distributions of members’ capital rather than as compensation expense. See “Management’s Discussion and Analysis of Financial Condition and Results of Operations – Key Financial Measures – Operating Expenses – Employee Compensation and Benefits Expense”.</w:t>
      </w:r>
    </w:p>
    <w:p>
      <w:pPr>
        <w:spacing w:after="0" w:line="45"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our August 2006 IPO, our income was not subject to U.S. federal and state income taxes. See “Management’s Discussion and Analysis of Financial Condition and Results of Operations – Key Financial Measures – Provision for Income Taxes”.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The following discussion should be read in conjunction with Evercore Partners Inc.’s combined/consolidated financial statements and the related notes included elsewhere in this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Evercore is an investment banking boutique. Our operations consist of two business segments: Advisory and Investment Management.</w:t>
      </w:r>
    </w:p>
    <w:p>
      <w:pPr>
        <w:spacing w:after="0" w:line="90" w:lineRule="exact"/>
        <w:rPr>
          <w:sz w:val="20"/>
          <w:szCs w:val="20"/>
          <w:color w:val="auto"/>
        </w:rPr>
      </w:pPr>
    </w:p>
    <w:p>
      <w:pPr>
        <w:ind w:left="900" w:right="180" w:hanging="325"/>
        <w:spacing w:after="0" w:line="335"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Advisory generates revenue from fees for providing advice on matters of strategic importance to our clients, including mergers, acquisitions, restructurings, divestitures, leveraged buy-outs, recapitalizations and other corporate transactions. Our Advisory segment generated $110.8 million, 88%, of our Net Revenue in 2005; $183.8 million, or 88%, of our Net Revenue in 2006; and $295.8 million, or 92%, of our Net Revenue in 2007.</w:t>
      </w:r>
    </w:p>
    <w:p>
      <w:pPr>
        <w:spacing w:after="0" w:line="7" w:lineRule="exact"/>
        <w:rPr>
          <w:rFonts w:ascii="Arial" w:cs="Arial" w:eastAsia="Arial" w:hAnsi="Arial"/>
          <w:sz w:val="15"/>
          <w:szCs w:val="15"/>
          <w:color w:val="auto"/>
        </w:rPr>
      </w:pPr>
    </w:p>
    <w:p>
      <w:pPr>
        <w:ind w:left="900" w:right="100" w:hanging="325"/>
        <w:spacing w:after="0" w:line="294"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Investment Management generates revenue from fees earned for managing the Private Equity Funds and the portfolio companies of the Private Equity Funds. We earn revenue from profit overrides, referred to as carried interest, earned when certain financial returns are achieved over the life of a fund, through net gains and losses on investments of our own capital in the funds and from other sources. Investment Management also generates revenue from managing funds invested in the publicly traded securities. Our Investment Management segment generated $14.6 million, or 12%, of our Net Revenue in 2005; $23.5 million, or 11%, of our Net Revenue in 2006; and $20.2 million, or 6%, of our Net Revenue in 2007.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Transaction</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Prior to the IPO, our business, or Predecessor Company, had historically been owned by our Senior Managing Directors. On August 10, 2006, and pursuant to a contribution and sale agreement dated as of May 12, 2006, our Senior Managing Directors contributed to Evercore LP each of the various entities included in our historical combined financial statements that were under common control of the Members, with the exception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general partners of ECP I, ECP II and EVP and certain other entities through which Messrs. Altman and Beutner fund their capital commitments to ECP I, forming the Successor Company. The Successor Company has continued to conduct the same business as the Predecessor Company.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 specifically, our Senior Managing Directors contributed to Evercore LP all of the equity interests in:</w:t>
      </w:r>
    </w:p>
    <w:p>
      <w:pPr>
        <w:spacing w:after="0" w:line="90" w:lineRule="exact"/>
        <w:rPr>
          <w:sz w:val="20"/>
          <w:szCs w:val="20"/>
          <w:color w:val="auto"/>
        </w:rPr>
      </w:pPr>
    </w:p>
    <w:p>
      <w:pPr>
        <w:ind w:left="900" w:right="60" w:hanging="325"/>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Evercore Group Holdings L.P., a Delaware limited partnership (“EGH”) and its general partner, Evercore Group Holdings L.L.C. EGH wholly owns Evercore Partners Services East L.L.C. (“East”), the operating company that in turn wholly owns the advisors to the ECP II and EVP funds and certain other entities. As part of the Formation Transaction, Evercore Advisors L.L.C., the advisor to ECP I; EGL, Evercore’s registered broker-dealer and Evercore Properties L.L.C., Evercore’s leaseholding entity were sold to East.</w:t>
      </w:r>
    </w:p>
    <w:p>
      <w:pPr>
        <w:spacing w:after="0" w:line="62" w:lineRule="exact"/>
        <w:rPr>
          <w:rFonts w:ascii="Arial" w:cs="Arial" w:eastAsia="Arial" w:hAnsi="Arial"/>
          <w:sz w:val="18"/>
          <w:szCs w:val="18"/>
          <w:color w:val="auto"/>
        </w:rPr>
      </w:pPr>
    </w:p>
    <w:p>
      <w:pPr>
        <w:ind w:left="900" w:right="60" w:hanging="325"/>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Evercore GP Holdings L.L.C., a Delaware limited liability company (“GP Holdings”) which became a non-managing member of the general partner of ECP II and is entitled to 8% to 9% (depending on the particular fund investment) of any carried interest realized from that fund following the reorganization, which represented 10% of the carried interest then allocable to our Senior Managing Directors.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exchange for these contributions to Evercore LP, our Senior Managing Directors and certain trusts benefiting certain of their families received 11,787,610 vested and 9,237,670 unvested Evercore LP partnership units. The vesting arrangements applicable to these Evercore LP partnership units are described under “– Operating Expenses – Employee Compensation and Benefits Expense.” In addition, we distributed cash to the Members so as to distribute to them all earnings for the period from January 1, 2006 to the date of the closing of the contribution and sale agreement.</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accounted for this transaction, which we refer to as the “Formation Transaction,” substantially by using the Members’ historical cost of the assets acquired and liabilities assumed and recorded minority interest to reflect the Members’ ongoing ownership in Evercore LP. We account for the unvested Evercore LP partnership units issued in the Formation Transaction as future compensation expense. See “Follow-On Offering of Evercore Partners Inc. Class A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Combination with Protego</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Protego’s business historically was owned by its directors and other stockholders and conducted by Protego and its subsidiaries and Protego SI. Concurrently with the Formation Transaction, we and Protego undertook the following steps pursuant to the contribution and sale agreement, which we refer to collectively as the “Protego Combination”:</w:t>
      </w:r>
    </w:p>
    <w:p>
      <w:pPr>
        <w:spacing w:after="0" w:line="59" w:lineRule="exact"/>
        <w:rPr>
          <w:sz w:val="20"/>
          <w:szCs w:val="20"/>
          <w:color w:val="auto"/>
        </w:rPr>
      </w:pPr>
    </w:p>
    <w:p>
      <w:pPr>
        <w:ind w:left="900" w:right="20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Evercore LP acquired Protego and its subsidiaries (including a 70% interest in PCB, Protego’s asset management subsidiary and a 0.5% interest in the Discovery Fund), and Protego SI in exchange for $7.0 million aggregate principal amount of non-interest bearing notes; and</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Aspe and the other Protego directors became Senior Managing Directors of Evercore Partners Inc. and subscribed, collectively with certain companies they control, certain trusts benefiting their families and a trust benefiting certain directors and employees of Protego, for 1,760,187 vested and 351,362 unvested Evercore LP partnership units.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Of the $7.0 million in notes issued in consideration for the Protego Combination, $6.05 million was payable in cash and $0.95 million was payable in shares of our Class A common stock valued at the IPO price of $21.00 per share. We issued 45,238 shares of Class A common stock upon repayment of such notes. In addition, Protego distributed to its directors cash and to the extent cash was not available, interest in certain accounts receivable, so as to distribute to its directors all earnings for the period from January 1, 2005, to the date of the closing of the contribution and sale agreement.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August 16, 2006, Evercore Partners Inc. completed the IPO of its Class A common stock by issuing 4,542,500 shares of its Class A common stock, including shares issued to the underwriters pursuant to their election to exercise in full their overallotment option, for cash consideration of $19.53 per share (net of underwriting discounts) to a syndicate of underwriters. Evercore Partners Inc. contributed all of the net proceeds from the IPO to Evercore LP, and Evercore LP issued to Evercore Partners Inc. a number of Evercore LP partnership units equal to the number of shares of Class A common stock that Evercore Partners Inc. issued in connection with the Protego Combination and in the IPO. Evercore Partners Inc. also became the sole general partner of Evercore LP.</w:t>
      </w:r>
    </w:p>
    <w:p>
      <w:pPr>
        <w:spacing w:after="0" w:line="1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a result of the Formation Transaction, the Protego Combination and the other transactions described above, which we collectively refer to as the “Reorganization,” immediately following the IPO:</w:t>
      </w:r>
    </w:p>
    <w:p>
      <w:pPr>
        <w:spacing w:after="0" w:line="51" w:lineRule="exact"/>
        <w:rPr>
          <w:sz w:val="20"/>
          <w:szCs w:val="20"/>
          <w:color w:val="auto"/>
        </w:rPr>
      </w:pPr>
    </w:p>
    <w:p>
      <w:pPr>
        <w:ind w:left="900" w:right="7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Evercore Partners Inc. became the sole general partner of Evercore LP and, through Evercore LP and its subsidiaries, operates our business, including the business of Protego;</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Senior Managing Directors, including the former directors of Protego, and certain companies they control, certain trusts benefiting certain of their families and a trust benefiting certain directors and employees of Protego held 51 shares of our Class B common stock and 23,136,829 Evercore LP partnership units; and</w:t>
      </w:r>
    </w:p>
    <w:p>
      <w:pPr>
        <w:spacing w:after="0" w:line="59"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public stockholders (including certain former stockholders of Protego who received $0.95 million payable in shares of our Class A common stock as described above) collectively owned 4,587,738 shares of Class A common stock.</w:t>
      </w:r>
    </w:p>
    <w:p>
      <w:pPr>
        <w:spacing w:after="0" w:line="132"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The Class B common stock provides its holder with no economic rights but entitles the holder to a number of votes that is equal to the number of Evercore LP partnership units held by such holder. Subject to the vesting and transfer restriction provisions of the Evercore LP partnership agreement, the limited partners of Evercore LP are entitled to exchange their Evercore LP partnership units for shares of Class A common stock on a one-for-one basis, subject to customary rate adjustment for stock splits, stock amendments and reclassifications.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Braveheart</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December 19, 2006, we completed the acquisition of Braveheart. Braveheart was organized to provide corporate finance and private equity advisory services, subject to its receipt of applicable regulatory approvals. In exchange for 100% of the outstanding share capital of Braveheart, we paid initial consideration, deferred consideration and earn-out consideration. The initial consideration was comprised of 1,771,820 shares of Evercore Partners Inc. Class A common stock. The deferred consideration is comprised of 590,607 additional shares of Class A common stock. Of this deferred consideration, 159,000 shares were issued to Braveheart shareholders on April 4, 2007. The Braveheart shareholders also received earn-out consideration based on gross revenues generated by Braveheart’s financial advisory business carried on in Europe. The amount of earn-out consideration was earned at the point of acquisition and accordingly, we issued to the Braveheart shareholders, collectively, $3.0 million of loan notes due 2010 which bear interest at LIBOR plus 100 basis points and which are redeemable by the holder at any time after October 31, 2007. Additionally, we paid $0.4 million in cash as part of the acquisition. An additional 431,607 shares were authorized to be issued to Braveheart shareholders on March 11, 2008.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Offering of Evercore Partners Inc. Class A Common Stock</w:t>
      </w:r>
    </w:p>
    <w:p>
      <w:pPr>
        <w:spacing w:after="0" w:line="96"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On May 23, 2007, we completed a follow-on offering of 1,581,778 shares of Class A common stock for cash consideration of $27.95 per share (net of underwriting discounts). Net proceeds in conjunction with this issuance after deducting underwriting discounts and commissions and offering expenses were $42.1 million. We contributed all of the net proceeds from this follow-on offering to Evercore LP, and Evercore LP issued to us 1,581,778 Evercore LP partnership units. We intend to use these proceeds to expand and diversify our Advisory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and Investment Management businesses and for general corporate purposes in our operating subsidiary, Evercore LP. In conjunction with the follow-on offering, Members exchanged 2,942,932 Evercore LP partnership units for shares of our Class A common stock on a one-for-one basis.</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follow-on offering related transactions resulted in Messrs. Altman, Beutner and Aspe, and trusts benefiting their families and permitted transferees, collectively, ceasing to beneficially own at least 90% of the aggregate Evercore LP partnership units owned by them on the date of the Reorganization, which in turn resulted in the vesting of 4,735,867, or approximately 50%, of the unvested Evercore LP partnership units, 1,007,064 unvested RSUs and 90,606 unvested shares of restricted stock. The vesting of Evercore LP partnership units resulted in a non-cash charge to compensation expense and an offsetting increase in Minority Interest of $99.5 million on our Consolidated Statement of Financial Condition as of December 31, 2007, and the vesting of RSUs and restricted stock resulted in a non-cash charge to compensation expense of $23.8 million and an offsetting increase in Stockholders’ Equity of $23.8 million on our Consolidated Statement of Financial Condition as of December 31, 2007. We refer to the above transactions collectively as the “Follow-On Offering.” Prior to the Follow-On Offering, each holder of Class B common stock had effectively ceded their voting rights with respect to their ownership of Class B common stock and Evercore LP partnership units to Messrs Altman, Beutner and Aspe. Subsequent to the Follow-On Offering, each holder of Class B common stock is entitled to one vote for each Evercore LP partnership unit held by such holder.</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the completion of the Follow-On Offering, 976,904, or 50%, of the non-forfeited, unvested RSUs issued in conjunction with the IPO vested. As with the unvested Evercore LP partnership units, the RSUs that vested were charged to expense at the completion of the Follow-On Offering based on the grant date fair value of the Class A common stock deliverable pursuant to such RSUs, which is the IPO price of the Class A common stock of $21.00 per share. Accordingly, at the completion of the Follow-On Offering we recorded a non-cash equity- based compensation charge associated with the vesting of these previously unvested RSUs of $20.5 million. Following the completion of the Follow-On Offering, if all of the remaining unvested and unforfeited RSUs as of December 31, 2007 were to vest at some point in the future, based on the grant date fair value of the Class A common stock deliverable pursuant to such RSUs of $21.00 per share, the total amount of compensation expense that we will record in connection with the vesting of these unvested RSUs would be approximately $17.9 million. To the extent unvested RSUs vest, they are included in weighted average shares outstanding for purposes of calculating basic and diluted net income per share, which has a dilutive effect on these measures.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first six months of 2007 and prior to the Follow-On Offering, and in connection with new hiring activity, we granted (1) 90,479 RSUs with a grant date fair value of $33.27 per unit, 30,160 of which were fully vested and 60,319 of which were unvested and vest upon the same conditions as the unvested Evercore LP partnership units issued in connection with the Reorganization and (2) 90,606 shares of restricted stock with a grant date fair value of $33.64 per share, all of which were unvested and vest upon the earlier of one year following the date of grant or when Messrs. Altman, Beutner and Aspe, and trusts benefiting their families and permitted transferees, collectively, cease to beneficially own at least 90% of the aggregate Evercore LP partnership units owned by them on the date the Reorganization was effected. At the completion of the Follow-On Offering, 30,160 of these RSUs and all of these 90,606 shares of restricted stock vested and we accordingly recorded a non-cash equity-based compensation charge of $3.3 million in connection therewith.</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the Follow-On Offering, Members exchanged 2,942,932 Evercore LP partnership units that they held on a one-for-one basis for shares of our Class A common stock. In addition, Evercore LP partnership units held by Members may be exchanged in the future for shares of our Class A common stock on a one-for-one basis, subject to customary conversion rate adjustments for stock splits, stock dividends and reclassifications. This exchange and any such future exchanges are expected to result in an increase in the tax basis of the tangible and intangible assets of Evercore LP. These increases in tax basis increase (for tax purposes) amortization and, therefore, reduce the amount of tax that we would otherwise be required to pay.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a tax receivable agreement with Members that provides for the payment by us to an exchanging Member of 85% of the amount of cash savings, if any, in U.S. federal, state and local income tax that we actually realize as a result of these increases in tax basis. We expect to benefit from the remaining 15% of cash savings, if any, in income tax that we realize.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Members could be substantial.</w:t>
      </w:r>
    </w:p>
    <w:p>
      <w:pPr>
        <w:spacing w:after="0" w:line="12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Assuming no material changes in the relevant tax law, and that we earn sufficient taxable income to realize the full tax benefit of the increased amortization, we expect that future payments to our Members in respect of the exchange of Evercore LP partnership units that occurred prior to the Follow-On Offering to aggregate approximately $38.8 million, resulting in payments of approximately, on average, $1.6 million per year, based on a value of the Class A common stock of $29.50 per share. Future payments to our Members in respect of subsequent exchanges pursuant to the tax receivable agreement would be in addition to these amounts and are expected to be substantial.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the tax receivable agreement on our Condensed Consolidated Statement of Financial Condition as a result of the exchange of 2,942,932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Evercore LP partnership units by Members prior to the Follow-On Offering were as follows:</w:t>
      </w:r>
    </w:p>
    <w:p>
      <w:pPr>
        <w:spacing w:after="0" w:line="84" w:lineRule="exact"/>
        <w:rPr>
          <w:sz w:val="20"/>
          <w:szCs w:val="20"/>
          <w:color w:val="auto"/>
        </w:rPr>
      </w:pPr>
    </w:p>
    <w:p>
      <w:pPr>
        <w:ind w:left="90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recorded an increase of $45.6 million in deferred tax assets for the estimated income tax effects of the increase in the tax basis of the assets owned by Evercore LP, based on enacted federal and state tax rates at the date of the transaction. To the extent we estimate that we will not realize the full benefit represented by the deferred tax asset, based on an analysis of expected future earnings, we will reduce the deferred tax asset with a valuation allowance; and</w:t>
      </w:r>
    </w:p>
    <w:p>
      <w:pPr>
        <w:spacing w:after="0" w:line="62"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recorded 85% of the estimated realizable tax benefit (which is the recorded deferred tax asset less any recorded valuation allowance) as an increase of $38.8 million to payable to related parties and the remaining 15% of the estimated realizable tax benefit, or $6.8 million, as an increase to paid-in-capital.</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Therefore, as of the date of the exchange of the Evercore LP partnership units, on a cumulative basis the net effect of accounting for income taxes and the tax receivable agreement on our unaudited condensed consolidated financial statements was a net increase in stockholders’ equity of 15% of the estimated realizable tax benefit. The amounts that were recorded for both the deferred tax asset and the liability for our obligations under the tax receivable agreement have been estimated. Any additional payments under the tax receivable agreement that will further increase the tax benefits and the estimated payments under the tax receivable agreement have not been included in this estimate. All of the effects of changes in any of our estimates after the date of the exchange will be included in net income. Similarly, the effect of subsequent changes in the enacted tax rates will be included in net income. Future exchanges of Evercore LP partnership units for our shares of Class A common stock will be accounted for in a similar manner.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Comparability of Results for Various Periods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Successor Company results represent the consolidated results of Evercore Partners Inc. and its subsidiaries subsequent to our IPO on August 10, 2006. The Predecessor Company results represent the results of the combined entities known as Evercore Holdings prior to the Reorganization. Both the Predecessor and Successor Company results have been prepared in accordance with U.S. GAAP.</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discussed above, during 2006 we entered into several material transactions that make it more difficult to compare the results of 2007 with 2006. In particular:</w:t>
      </w:r>
    </w:p>
    <w:p>
      <w:pPr>
        <w:spacing w:after="0" w:line="51" w:lineRule="exact"/>
        <w:rPr>
          <w:sz w:val="20"/>
          <w:szCs w:val="20"/>
          <w:color w:val="auto"/>
        </w:rPr>
      </w:pPr>
    </w:p>
    <w:p>
      <w:pPr>
        <w:ind w:left="900" w:right="3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Formation Transaction, which includes the elimination of the financial results of the general partners of the ECP I, ECP II and EVP funds and certain other entities through which Co-Chief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Executive Officers have invested capital in the ECP I fund, which was not contributed to Evercore LP; and</w:t>
      </w:r>
    </w:p>
    <w:p>
      <w:pPr>
        <w:spacing w:after="0" w:line="104" w:lineRule="exact"/>
        <w:rPr>
          <w:sz w:val="20"/>
          <w:szCs w:val="20"/>
          <w:color w:val="auto"/>
        </w:rPr>
      </w:pPr>
    </w:p>
    <w:p>
      <w:pPr>
        <w:ind w:left="900" w:right="1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Protego and Braveheart acquisitions which resulted in the inclusion of each of the acquired entity’s financial results, as well as certain purchase accounting adjustments, such as the recording of intangible assets and their periodic amortization.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to the inclusion and exclusion of the results of certain entities, the transactions mentioned above had additional effects on our results that also limit the ability to compare 2007 with 2006 principally:</w:t>
      </w:r>
    </w:p>
    <w:p>
      <w:pPr>
        <w:spacing w:after="0" w:line="51" w:lineRule="exact"/>
        <w:rPr>
          <w:sz w:val="20"/>
          <w:szCs w:val="20"/>
          <w:color w:val="auto"/>
        </w:rPr>
      </w:pPr>
    </w:p>
    <w:p>
      <w:pPr>
        <w:ind w:left="900" w:right="2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the IPO, Evercore was not subject to federal income taxes, but was subject to New York City UBT and New York City general corporation taxes. As a result of the IPO, the operating business entities of Evercore were restructured and a portion of Evercore’s income is subject to U.S. federal income taxes, as well as foreign, state and local taxes; and</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payments for services rendered by Evercore’s Senior Managing Directors were historically accounted for as distributions of Members’ capital rather than as compensation expense. Following the IPO, management has included all payments for services rendered by the Senior Managing Directors in Employee Compensation and Benefits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Total revenues reflect revenues from Advisory and Investment Management that includes transaction-related client reimbursements plus interest income and other revenue. Net revenues reflect total revenues less interest expense related to repurchase agreements and other borrowings.</w:t>
      </w:r>
    </w:p>
    <w:p>
      <w:pPr>
        <w:spacing w:after="0" w:line="85"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i w:val="1"/>
          <w:iCs w:val="1"/>
          <w:color w:val="auto"/>
        </w:rPr>
        <w:t xml:space="preserve">Advisory. </w:t>
      </w:r>
      <w:r>
        <w:rPr>
          <w:rFonts w:ascii="Arial" w:cs="Arial" w:eastAsia="Arial" w:hAnsi="Arial"/>
          <w:sz w:val="15"/>
          <w:szCs w:val="15"/>
          <w:color w:val="auto"/>
        </w:rPr>
        <w:t>Our Advisory business earns fees from our clients for providing advice on mergers, acquisitions, restructurings, leveraged buy-outs,</w:t>
      </w:r>
      <w:r>
        <w:rPr>
          <w:rFonts w:ascii="Arial" w:cs="Arial" w:eastAsia="Arial" w:hAnsi="Arial"/>
          <w:sz w:val="15"/>
          <w:szCs w:val="15"/>
          <w:i w:val="1"/>
          <w:iCs w:val="1"/>
          <w:color w:val="auto"/>
        </w:rPr>
        <w:t xml:space="preserve"> </w:t>
      </w:r>
      <w:r>
        <w:rPr>
          <w:rFonts w:ascii="Arial" w:cs="Arial" w:eastAsia="Arial" w:hAnsi="Arial"/>
          <w:sz w:val="15"/>
          <w:szCs w:val="15"/>
          <w:color w:val="auto"/>
        </w:rPr>
        <w:t>recapitalizations and other corporate transactions. The amount and timing of the fees paid vary by the type of engagement. In general, fees are paid at the time we sign an engagement letter, during the course of the engagement or when an engagement is completed. The majority of our advisory revenue comes from fees that are dependent on the successful completion of a transaction. A transaction can fail to be completed for many reasons, including failure to agree upon final terms with the counterparty, to secure necessary board or shareholder approvals, to secure necessary financing or to achieve necessary regulatory approvals.</w:t>
      </w:r>
    </w:p>
    <w:p>
      <w:pPr>
        <w:spacing w:after="0" w:line="10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Revenue trends in our Advisory business generally are correlated to the volume of M&amp;A activity and restructurings. However, deviations from this trend can occur in any given year for a number of reasons. For example, changes in our market share or the ability of our clients to close certain large transactions can cause our revenue results to diverge from the level of overall M&amp;A or restructuring activity.</w:t>
      </w:r>
    </w:p>
    <w:p>
      <w:pPr>
        <w:spacing w:after="0" w:line="14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We operate in a highly-competitive environment where there are no long-term contracted sources of revenue and each revenue-generating engagement is separately awarded and negotiated. Our list of clients, including our list of clients with whom there is a currently active revenue-generating engagement, changes continually. We gain new clients through our business development initiatives, through recruiting additional senior investment banking professionals who bring with them client relationships and through referrals from executives, directors, attorneys and other parties with whom we have relationships. We may also lose clients as a result of the sale or merger of a client, a change in a client’s senior management, competition from other investment banks and other causes.</w:t>
      </w:r>
    </w:p>
    <w:p>
      <w:pPr>
        <w:spacing w:after="0" w:line="10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Investment Management. </w:t>
      </w:r>
      <w:r>
        <w:rPr>
          <w:rFonts w:ascii="Arial" w:cs="Arial" w:eastAsia="Arial" w:hAnsi="Arial"/>
          <w:sz w:val="18"/>
          <w:szCs w:val="18"/>
          <w:color w:val="auto"/>
        </w:rPr>
        <w:t>Our Investment Management business includes operations related to the management of the Private Equity Funds and funds</w:t>
      </w:r>
      <w:r>
        <w:rPr>
          <w:rFonts w:ascii="Arial" w:cs="Arial" w:eastAsia="Arial" w:hAnsi="Arial"/>
          <w:sz w:val="18"/>
          <w:szCs w:val="18"/>
          <w:i w:val="1"/>
          <w:iCs w:val="1"/>
          <w:color w:val="auto"/>
        </w:rPr>
        <w:t xml:space="preserve"> </w:t>
      </w:r>
      <w:r>
        <w:rPr>
          <w:rFonts w:ascii="Arial" w:cs="Arial" w:eastAsia="Arial" w:hAnsi="Arial"/>
          <w:sz w:val="18"/>
          <w:szCs w:val="18"/>
          <w:color w:val="auto"/>
        </w:rPr>
        <w:t>invested in publicly-traded securities (“Public Securities”).</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Private equity revenue sources include the following: (1) management and performance fees (2) portfolio company fees and (3) gains (or losses) on investments in the Private Equity Funds we manage.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305"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 xml:space="preserve">Management and Performance Fees. </w:t>
      </w:r>
      <w:r>
        <w:rPr>
          <w:rFonts w:ascii="Arial" w:cs="Arial" w:eastAsia="Arial" w:hAnsi="Arial"/>
          <w:sz w:val="15"/>
          <w:szCs w:val="15"/>
          <w:color w:val="auto"/>
        </w:rPr>
        <w:t>Management fees are generally a percentage of committed capital (the total dollar amount of capital pledged to</w:t>
      </w:r>
      <w:r>
        <w:rPr>
          <w:rFonts w:ascii="Arial" w:cs="Arial" w:eastAsia="Arial" w:hAnsi="Arial"/>
          <w:sz w:val="15"/>
          <w:szCs w:val="15"/>
          <w:i w:val="1"/>
          <w:iCs w:val="1"/>
          <w:color w:val="auto"/>
        </w:rPr>
        <w:t xml:space="preserve"> </w:t>
      </w:r>
      <w:r>
        <w:rPr>
          <w:rFonts w:ascii="Arial" w:cs="Arial" w:eastAsia="Arial" w:hAnsi="Arial"/>
          <w:sz w:val="15"/>
          <w:szCs w:val="15"/>
          <w:color w:val="auto"/>
        </w:rPr>
        <w:t>a fund) from certain outside investors in each of the Private Equity Funds we manage. During the commitment period, or until full investment, these fees are typically 2% per annum of committed capital. Thereafter, for the remainder of the fund’s life, these fees are 1% per annum of invested capital, and in December of 2007, the commitment period for ECP II, our most recent U.S. fund, expired. The entities which are entitled to the management fees from the Private Equity Funds we manage were contributed to Evercore LP. Accordingly, we reflect the management fees from all of these funds in our consolidated financial statements following the IPO. Carried interest is a profit override earned by the general partners of the Private Equity Funds we manage when certain financial return targets and hurdles are met. Generally, the carried interest is calculated as 20% of the profits, provided that certain outside investors in the funds have earned an 8% return on investments from the Private Equity Funds and a 10% return on investments from EVP. Accordingly, the amount of carried interest earned depends on the profits, if any, ultimately generated within the funds. Our historical Combined Statements of Operations for the period prior to August 10, 2006, include the results of the general partners of the Private Equity Funds, including the carried interest earned by these general partners. Participation in such carried interest historically has been allocated principally to our Senior Managing Directors and other employees and any carried interest ultimately realized was paid directly to such individuals. Following the IPO, we no longer consolidate the results of the general partners of the Private Equity Funds. Accordingly, we no longer recognize as revenue any carried interest earned by the general partners of ECP I or EVP. However, through our equity interest in the general partner of ECP II and the Discovery Fund, we recognize as revenue 8% to 9% (depending on the particular fund investment) of any carried interest from these funds.</w:t>
      </w:r>
    </w:p>
    <w:p>
      <w:pPr>
        <w:spacing w:after="0" w:line="34" w:lineRule="exact"/>
        <w:rPr>
          <w:rFonts w:ascii="Arial" w:cs="Arial" w:eastAsia="Arial" w:hAnsi="Arial"/>
          <w:sz w:val="15"/>
          <w:szCs w:val="15"/>
          <w:color w:val="auto"/>
        </w:rPr>
      </w:pPr>
    </w:p>
    <w:p>
      <w:pPr>
        <w:ind w:left="900" w:right="20" w:hanging="325"/>
        <w:spacing w:after="0" w:line="291"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Portfolio Company Fees. </w:t>
      </w:r>
      <w:r>
        <w:rPr>
          <w:rFonts w:ascii="Arial" w:cs="Arial" w:eastAsia="Arial" w:hAnsi="Arial"/>
          <w:sz w:val="16"/>
          <w:szCs w:val="16"/>
          <w:color w:val="auto"/>
        </w:rPr>
        <w:t>Portfolio company fees include monitoring, director and transaction fees associated with services provided to the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of the Private Equity Funds we manage. We earn monitoring fees for services we provide with respect to the development and implementation of strategies for improving operating, marketing and financial performance. Monitoring fee revenue is recognized ratably over the period for which services are provided. We earn director fees for the services provided by our Senior Managing Directors who serve on the boards of directors of portfolio companies. We earn transaction fees for providing advice on the acquisition of portfolio companies held by the Private Equity Funds. These fees are earned and recognized under the same revenue recognition policies as advisory fees.</w:t>
      </w:r>
    </w:p>
    <w:p>
      <w:pPr>
        <w:spacing w:after="0" w:line="39" w:lineRule="exact"/>
        <w:rPr>
          <w:rFonts w:ascii="Arial" w:cs="Arial" w:eastAsia="Arial" w:hAnsi="Arial"/>
          <w:sz w:val="16"/>
          <w:szCs w:val="16"/>
          <w:color w:val="auto"/>
        </w:rPr>
      </w:pPr>
    </w:p>
    <w:p>
      <w:pPr>
        <w:ind w:left="900" w:hanging="325"/>
        <w:spacing w:after="0" w:line="28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Gains (or Losses) on Investments. </w:t>
      </w:r>
      <w:r>
        <w:rPr>
          <w:rFonts w:ascii="Arial" w:cs="Arial" w:eastAsia="Arial" w:hAnsi="Arial"/>
          <w:sz w:val="16"/>
          <w:szCs w:val="16"/>
          <w:color w:val="auto"/>
        </w:rPr>
        <w:t>Gains and losses include both realized gains and losses upon the sale of all or a portion of a portfolio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unrealized gains and losses on investments arising from changes in the fair value of the portfolio companies. Because our historical Combined Statements of Operations include the results of the general partners of the Private Equity Funds we currently manage and certain other entities through which two of our founding Senior Managing Directors have invested capital in ECP I, our historical results include such realized or unrealized gains or losses. Following the IPO, because we no longer consolidate the results of these entities, we no longer recognize as revenue any of the gains or losses arising from these entities’ investments in ECP I or EVP. However, through our equity interest in the general partner of ECP II and the Discovery Fund, we continue to recognize revenue based on our share of those funds’ realized or unrealized gains or losses. As of December 31, 2007, we had an aggregate carrying value of $14.8 million of investments in and an aggregate of $9.1 million of unfunded commitments to ECP II, the Discovery Fund and Evercore Mexico Capital Partners II, L.P. (“EMCP II”).</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Evercore currently intends to be entitled to 100% of any management fees and portfolio company fees earned in relation to any private equity fund formed after the IPO that it manages. The Company also currently intends to consolidate the general partners of any private equity fund formed after the IPO that it manages. Accordingly, it expects to record as revenue 100% of any carried interest and realized or unrealized gains (or losses) on investments earned by these entities. However, the Company expects to allocate to its Senior Managing Directors and other employees, through the direct interests these individuals will hold, a significant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percentage of any such carried interest. In addition, these individuals will be entitled to any such gains (or losses) on investment based on the amount of the general partners’ capital they contribute in respect of any such fund. Unlike ECP I, where the Company made no direct investment or ECP II where the Company’s direct investment is less than 2% of total capital committed, the Company currently intends to make significant capital commitments to any future private equity fund it manages.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Public Securities business is comprised of PCB and EAM.</w:t>
      </w:r>
    </w:p>
    <w:p>
      <w:pPr>
        <w:spacing w:after="0" w:line="90" w:lineRule="exact"/>
        <w:rPr>
          <w:sz w:val="20"/>
          <w:szCs w:val="20"/>
          <w:color w:val="auto"/>
        </w:rPr>
      </w:pPr>
    </w:p>
    <w:p>
      <w:pPr>
        <w:ind w:left="900" w:right="1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PCB’s revenue sources include: (1) management and performance fees; (2) dealer spreads on client transactions; and (3) net interest revenue earned by PCB in collateralized financing transactions.</w:t>
      </w:r>
    </w:p>
    <w:p>
      <w:pPr>
        <w:spacing w:after="0" w:line="5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own a 41.7% equity interest in EAM, with the balance of EAM’s equity held by its senior management team. We account for our investment in EAM under the equity method of accounting whereby we recognize our share of earnings and losses in Investment Management revenues.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Additionally, we earn revenue associated with gains and losses on our direct investments in EAM managed products.</w:t>
      </w:r>
    </w:p>
    <w:p>
      <w:pPr>
        <w:spacing w:after="0" w:line="17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 xml:space="preserve">Net Interest Revenue. </w:t>
      </w:r>
      <w:r>
        <w:rPr>
          <w:rFonts w:ascii="Arial" w:cs="Arial" w:eastAsia="Arial" w:hAnsi="Arial"/>
          <w:sz w:val="18"/>
          <w:szCs w:val="18"/>
          <w:color w:val="auto"/>
        </w:rPr>
        <w:t>Net interest revenue is derived from investing customer funds in financing transactions by PCB. These transactions are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repurchases and resales of Mexican government securities. Revenue and expenses associated with these transactions are recognized over the term of the repurchase or resale transaction.</w:t>
      </w:r>
    </w:p>
    <w:p>
      <w:pPr>
        <w:spacing w:after="0" w:line="14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i w:val="1"/>
          <w:iCs w:val="1"/>
          <w:color w:val="auto"/>
        </w:rPr>
        <w:t>Transaction-Related Client Reimbursements</w:t>
      </w:r>
      <w:r>
        <w:rPr>
          <w:rFonts w:ascii="Arial" w:cs="Arial" w:eastAsia="Arial" w:hAnsi="Arial"/>
          <w:sz w:val="16"/>
          <w:szCs w:val="16"/>
          <w:color w:val="auto"/>
        </w:rPr>
        <w:t>. In both our Advisory and Investment Management segments we make various transaction-related</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such as travel and professional fees, on behalf of our clients. Pursuant to the engagement letters with our clients or the contracts with the limited partners in the Private Equity Funds we manage, these expenditures may be reimbursable. We define these expenses as transaction-related expenses and record such expenditures as incurred and record revenue when it is determined that clients have an obligation to reimburse us for such transaction-related expenses. Specifically, client expense reimbursements are recorded as revenue on the Combined / Consolidated Statements of Operations on the later of the date an engagement letter is executed or the date we pay or accrue the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Employee Compensation and Benefits Expense. </w:t>
      </w:r>
      <w:r>
        <w:rPr>
          <w:rFonts w:ascii="Arial" w:cs="Arial" w:eastAsia="Arial" w:hAnsi="Arial"/>
          <w:sz w:val="16"/>
          <w:szCs w:val="16"/>
          <w:color w:val="auto"/>
        </w:rPr>
        <w:t>Prior to the IPO, our employee compensation and benefits expense reflected compensation solely to non-Senior Managing Directors. Historically, payments for services rendered by our Senior Managing Directors, including all salaries and bonuses, had been accounted for as distributions from members’ capital rather than as employee compensation and benefits expense. As a result, our employee compensation and benefits expense and net income had not reflected payments for services rendered by our Senior Managing Directors. Following the IPO, we include all payments for services rendered by our Senior Managing Directors in employee compensation and benefits expense.</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has targeted total employee compensation and benefits awarded to employees at a level approximating 50% of net revenue. During 2007, the Company exceeded that level as a direct result of the new Senior Managing Director hires, who have positioned Evercore for continued growth. We announced the hiring or promotion of eight new Senior Managing Directors in 2007 (including one Evercore Europe Senior Managing Director who joined the firm on January 1, 2008). The Company retains the ability to exceed its compensation and benefits award target, change the target or change how the target is calculated at any time and will manage compensation expenses to an appropriate percentage of revenue given relevant market conditions.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Increasing the number of high-caliber Senior Managing Directors is critical to our growth efforts. Typically we hire new Senior Managing Directors in the middle of a calendar year, but the new hires do not begin to generate significant revenue in the year they are hired.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changed our annual compensation program during 2007 to include stock-based compensation awards as a component of the annual bonus awards for certain U.S. Senior Managing Directors. These equity awards will be subject to annual vesting requirements over a four-year period beginning at the date of grant which occurred in early 2008; accordingly, the expense will be amortized over the vesting period.</w:t>
      </w:r>
    </w:p>
    <w:p>
      <w:pPr>
        <w:spacing w:after="0" w:line="14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Approximately two-thirds of the Evercore LP partnership units received by our Senior Managing Directors, other than Mr. Altman and Mr. Beutner, in the Formation Transaction and two-thirds of the Evercore LP partnership units received by the directors of Protego (who became our Senior Managing Directors), other than Mr. Aspe, and certain companies they control and a trust benefiting directors and employees of Protego in the Protego Combination are, with specified exceptions, subject to forfeiture and re-allocation to other Senior Managing Directors (or, in the event that there are no eligible Senior Managing Directors, forfeiture and cancellation) if the Senior Managing Director ceases to be employed by us prior to the occurrence of specified vesting events. 4,735,867, or approximately 50%, of these unvested Evercore LP partnership units vested in conjunction with the Follow-On Offering. In addition, the Company entered into a severance agreement with an employee which modified the award terms that resulted in the Company expensing the value of the employee’s unvested Evercore LP partnership units. The remaining unvested Evercore LP partnership units issued will vest upon the earliest to occur of the following events:</w:t>
      </w:r>
    </w:p>
    <w:p>
      <w:pPr>
        <w:spacing w:after="0" w:line="27" w:lineRule="exact"/>
        <w:rPr>
          <w:sz w:val="20"/>
          <w:szCs w:val="20"/>
          <w:color w:val="auto"/>
        </w:rPr>
      </w:pPr>
    </w:p>
    <w:p>
      <w:pPr>
        <w:ind w:left="900" w:right="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when Messrs. Altman, Beutner and Aspe, and trusts benefiting their families and permitted transferees, collectively, cease to beneficially own at least 50% of the aggregate Evercore LP partnership units owned by them at the time of the Reorganization;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change of control of Evercore;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or one of its affiliates within a 10-year period following the IPO.</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100% of the remaining unvested Evercore LP partnership units held by a Senior Managing Director will vest if such Senior Managing Director dies or becomes disabled while in our employ. Our Equity Committee, which is comprised of Messrs. Altman, Beutner and Aspe, may also accelerate vesting of unvested Evercore LP partnership units at any time.</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Post Reorganization, on August 10, 2006, we account for the unvested Evercore LP partnership units as compensation paid to employees in accordance with SFAS 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 (“SFAS 123(R)”), which we adopted effective January 1, 2006. The unvested Evercore LP partnership units vest based on the achievement of one of the performance and service vesting conditions as described above. In accordance with SFAS 123(R), accruals of compensation costs for awards with a performance or service condition are based on the probable outcome of that service or performance condition. Compensation cost is accrued if it is probable that the performance condition will be achieved and is not accrued if it is not probable that the performance condition will be achieved.</w:t>
      </w:r>
    </w:p>
    <w:p>
      <w:pPr>
        <w:spacing w:after="0" w:line="144" w:lineRule="exact"/>
        <w:rPr>
          <w:sz w:val="20"/>
          <w:szCs w:val="20"/>
          <w:color w:val="auto"/>
        </w:rPr>
      </w:pPr>
    </w:p>
    <w:p>
      <w:pPr>
        <w:jc w:val="both"/>
        <w:ind w:right="280" w:firstLine="456"/>
        <w:spacing w:after="0" w:line="303" w:lineRule="auto"/>
        <w:rPr>
          <w:sz w:val="20"/>
          <w:szCs w:val="20"/>
          <w:color w:val="auto"/>
        </w:rPr>
      </w:pPr>
      <w:r>
        <w:rPr>
          <w:rFonts w:ascii="Arial" w:cs="Arial" w:eastAsia="Arial" w:hAnsi="Arial"/>
          <w:sz w:val="15"/>
          <w:szCs w:val="15"/>
          <w:color w:val="auto"/>
        </w:rPr>
        <w:t>We had heretofore concluded that it was not probable that the conditions relating to a decline in the collective beneficial ownership of Messrs. Altman, Beutner and Aspe (and trusts benefiting their families and permitted transferees), a change of control of Evercore or a lack of continued association of Messrs. Altman, Beutner and Aspe with Evercore would be achieved, or that the death or disability condition during the employment period would be satisfied.</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Accordingly, prior to the Follow-On Offering, we had not been accruing compensation expense relating to any unvested Evercore LP partnership units. We recorded compensation expense in conjunction with the vesting that occurred due to the Follow-On Offering as described below, and we continue to believe that it is not probable that the remaining conditions relating to vesting of Evercore LP partnership units will be achieved, or that the death or disability condition during the employment period will be satisfied. Accordingly, we do not intend to accrue compensation expense in the future relating to the remaining unvested Evercore LP partnership units unless such conditions become probable.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Non-Compensation Expense. </w:t>
      </w:r>
      <w:r>
        <w:rPr>
          <w:rFonts w:ascii="Arial" w:cs="Arial" w:eastAsia="Arial" w:hAnsi="Arial"/>
          <w:sz w:val="18"/>
          <w:szCs w:val="18"/>
          <w:color w:val="auto"/>
        </w:rPr>
        <w:t>The balance of our operating expenses includes costs for occupancy and equipment rental, professional fees,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expenses, communications and information services, depreciation and amortization and other operating expenses. We refer to all of these expenses as non-compensation expense.</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a result of the IPO we are no longer a private company and our costs for such items as insurance, accounting and legal advice have increased. We have also incurred costs which we have not previously incurred for director fees, investor relations expenses, expenses for compliance with the Sarbanes-Oxley Act of 2002 and rules implemented by the SEC and the New York Stock Exchange, and various other costs of a public company. We incurred significant additional expenses in 2007 associated with compliance with Section 404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this Annual Report on Form 10-K, Other Expenses include equity-based compensation costs associated with the vesting of event-based awards plus amortization of intangibles associated with the acquisition of Protego and Braveheart. These expenses for prior periods have been reclassified to conform to the current period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Prior to August 10, 2006, we had not been subject to U.S. federal income tax, but had been subject to the New York City UBT and New York City general corporate tax on our U.S. earnings, including certain non-income tax fees in other jurisdictions where we had registered offices and conduct business. Our operations were historically organized as a series of partnerships, limited liability companies and Subchapter S corporations. Taxes related to income earned by these entities represent obligations of the individual members, partners or shareholders and have not historically been reflected in the accompanying combined/consolidated financial statements. Commencing August 10, 2006, Evercore Partners Inc. became subject to U.S. corporate federal income tax on its allocable share of income. We account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requires the recognition of tax benefits or expenses on temporary differences between the financial reporting and tax bases of its assets and liabilities.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 historical basis, our minority interest consisted of unaffiliated third party interests in the general partner of EVP. Following the IPO, we no longer consolidate the general partner of that fund and, accordingly, minority interest related to EVP is no longer reflected in our financial results. We do, however, record significant minority interest relating to the ownership interest of our Senior Managing Directors and their estate planning vehicles in Evercore LP as well as the portion of PCB not owned by Evercore. As described in Note 1 to our combined/consolidated financial statements herein, Evercore Partners Inc. is the sole general partner of Evercore LP. Accordingly, although Evercore Partners Inc. has a minority economic interest in Evercore LP, it has a majority voting interest and controls the management of Evercore LP. As a result, Evercore Partners Inc. consolidates Evercore LP and records a minority interest for the economic interest in Evercore LP held by the limited partners.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2007, the vesting of additional Evercore LP partnership units described above under “– Operating Expenses – Impact of the Follow-On Offering” resulted in an increase in the minority interest relating to the ownership interest of our Senior Managing Directors and their estate planning vehicles in Evercore LP. This was partially offset by the exchange of our Class A common stock for Evercore LP partnership units and the purchase of additional Evercore LP partnership units by us in conjunction with the Follow-On Offering.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Following is a discussion of our results of operations for the years ended December 31, 2005, 2006 and 2007. For a more detailed discussion of the factors that affected the revenue and operating expenses of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Advisory and Investment Management business segments in these periods, see the discussion in “Business Segments” below.</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Historical results for periods prior to the IPO and subsequent thereto are not comparable. For example, in results of operations for periods prior to our IPO on August 10, 2006, payments for services rendered by our Senior Managing Directors were reflected as distributions to members, while such payments are reflected as compensation expense in subsequent periods.</w:t>
      </w:r>
    </w:p>
    <w:p>
      <w:pPr>
        <w:spacing w:after="0" w:line="14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Operating Expenses include: a) employee compensation and benefits expenses that are incurred directly in support of the segments and b) non-compensation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 Other Expenses include equity-based compensation costs associated with event-based awards plus amortization of intangibles associated with the acquisition of Protego and Braveheart.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72"/>
              <w:spacing w:after="0"/>
              <w:rPr>
                <w:sz w:val="20"/>
                <w:szCs w:val="20"/>
                <w:color w:val="auto"/>
              </w:rPr>
            </w:pPr>
            <w:r>
              <w:rPr>
                <w:rFonts w:ascii="Arial" w:cs="Arial" w:eastAsia="Arial" w:hAnsi="Arial"/>
                <w:sz w:val="14"/>
                <w:szCs w:val="14"/>
                <w:b w:val="1"/>
                <w:bCs w:val="1"/>
                <w:color w:val="auto"/>
                <w:w w:val="89"/>
              </w:rPr>
              <w:t>U.S. GAAP</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U.S. GAAP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400"/>
              <w:spacing w:after="0" w:line="142" w:lineRule="exact"/>
              <w:rPr>
                <w:sz w:val="20"/>
                <w:szCs w:val="20"/>
                <w:color w:val="auto"/>
              </w:rPr>
            </w:pPr>
            <w:r>
              <w:rPr>
                <w:rFonts w:ascii="Arial" w:cs="Arial" w:eastAsia="Arial" w:hAnsi="Arial"/>
                <w:sz w:val="14"/>
                <w:szCs w:val="14"/>
                <w:b w:val="1"/>
                <w:bCs w:val="1"/>
                <w:i w:val="1"/>
                <w:iCs w:val="1"/>
                <w:color w:val="auto"/>
                <w:w w:val="84"/>
              </w:rPr>
              <w:t>Combined</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ind w:right="372"/>
              <w:spacing w:after="0" w:line="142" w:lineRule="exact"/>
              <w:rPr>
                <w:sz w:val="20"/>
                <w:szCs w:val="20"/>
                <w:color w:val="auto"/>
              </w:rPr>
            </w:pPr>
            <w:r>
              <w:rPr>
                <w:rFonts w:ascii="Arial" w:cs="Arial" w:eastAsia="Arial" w:hAnsi="Arial"/>
                <w:sz w:val="14"/>
                <w:szCs w:val="14"/>
                <w:b w:val="1"/>
                <w:bCs w:val="1"/>
                <w:i w:val="1"/>
                <w:iCs w:val="1"/>
                <w:color w:val="auto"/>
                <w:w w:val="81"/>
              </w:rPr>
              <w:t>Combined</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83"/>
              </w:rPr>
              <w:t>Consolidated</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38"/>
              <w:spacing w:after="0" w:line="142" w:lineRule="exact"/>
              <w:rPr>
                <w:sz w:val="20"/>
                <w:szCs w:val="20"/>
                <w:color w:val="auto"/>
              </w:rPr>
            </w:pPr>
            <w:r>
              <w:rPr>
                <w:rFonts w:ascii="Arial" w:cs="Arial" w:eastAsia="Arial" w:hAnsi="Arial"/>
                <w:sz w:val="14"/>
                <w:szCs w:val="14"/>
                <w:b w:val="1"/>
                <w:bCs w:val="1"/>
                <w:i w:val="1"/>
                <w:iCs w:val="1"/>
                <w:color w:val="auto"/>
                <w:w w:val="81"/>
              </w:rPr>
              <w:t>Consolidated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For the Period</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8"/>
              <w:spacing w:after="0" w:line="129" w:lineRule="exact"/>
              <w:rPr>
                <w:sz w:val="20"/>
                <w:szCs w:val="20"/>
                <w:color w:val="auto"/>
              </w:rPr>
            </w:pPr>
            <w:r>
              <w:rPr>
                <w:rFonts w:ascii="Arial" w:cs="Arial" w:eastAsia="Arial" w:hAnsi="Arial"/>
                <w:sz w:val="14"/>
                <w:szCs w:val="14"/>
                <w:b w:val="1"/>
                <w:bCs w:val="1"/>
                <w:color w:val="auto"/>
                <w:w w:val="88"/>
              </w:rPr>
              <w:t>For the Period</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For the Twelve</w:t>
            </w:r>
          </w:p>
        </w:tc>
        <w:tc>
          <w:tcPr>
            <w:tcW w:w="320" w:type="dxa"/>
            <w:vAlign w:val="bottom"/>
          </w:tcPr>
          <w:p>
            <w:pPr>
              <w:spacing w:after="0"/>
              <w:rPr>
                <w:sz w:val="12"/>
                <w:szCs w:val="12"/>
                <w:color w:val="auto"/>
              </w:rPr>
            </w:pPr>
          </w:p>
        </w:tc>
        <w:tc>
          <w:tcPr>
            <w:tcW w:w="1320" w:type="dxa"/>
            <w:vAlign w:val="bottom"/>
            <w:gridSpan w:val="3"/>
          </w:tcPr>
          <w:p>
            <w:pPr>
              <w:jc w:val="center"/>
              <w:ind w:right="252"/>
              <w:spacing w:after="0" w:line="149" w:lineRule="exact"/>
              <w:rPr>
                <w:sz w:val="20"/>
                <w:szCs w:val="20"/>
                <w:color w:val="auto"/>
              </w:rPr>
            </w:pPr>
            <w:r>
              <w:rPr>
                <w:rFonts w:ascii="Arial" w:cs="Arial" w:eastAsia="Arial" w:hAnsi="Arial"/>
                <w:sz w:val="14"/>
                <w:szCs w:val="14"/>
                <w:b w:val="1"/>
                <w:bCs w:val="1"/>
                <w:color w:val="auto"/>
                <w:w w:val="88"/>
              </w:rPr>
              <w:t>January 1, 2006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August 10, 2006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 the Twelve</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the Twelve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90"/>
              </w:rPr>
              <w:t>through</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through</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Months Ended</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December 31, 2005</w:t>
            </w:r>
          </w:p>
        </w:tc>
        <w:tc>
          <w:tcPr>
            <w:tcW w:w="320" w:type="dxa"/>
            <w:vAlign w:val="bottom"/>
          </w:tcPr>
          <w:p>
            <w:pPr>
              <w:spacing w:after="0"/>
              <w:rPr>
                <w:sz w:val="14"/>
                <w:szCs w:val="14"/>
                <w:color w:val="auto"/>
              </w:rPr>
            </w:pPr>
          </w:p>
        </w:tc>
        <w:tc>
          <w:tcPr>
            <w:tcW w:w="132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w w:val="84"/>
              </w:rPr>
              <w:t>August 9, 2006</w:t>
            </w:r>
          </w:p>
        </w:tc>
        <w:tc>
          <w:tcPr>
            <w:tcW w:w="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 2006</w:t>
            </w:r>
          </w:p>
        </w:tc>
        <w:tc>
          <w:tcPr>
            <w:tcW w:w="32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December 31, 2006*</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SUCCESSOR</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92"/>
              </w:rPr>
              <w:t>SUCCESSOR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(dollars in</w:t>
            </w:r>
          </w:p>
        </w:tc>
        <w:tc>
          <w:tcPr>
            <w:tcW w:w="350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rPr>
              <w:t>thousands, except per share data)</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Advisory Revenue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110,842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96,122</w:t>
            </w:r>
          </w:p>
        </w:tc>
        <w:tc>
          <w:tcPr>
            <w:tcW w:w="320" w:type="dxa"/>
            <w:vAlign w:val="bottom"/>
          </w:tcPr>
          <w:p>
            <w:pPr>
              <w:spacing w:after="0"/>
              <w:rPr>
                <w:sz w:val="18"/>
                <w:szCs w:val="18"/>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87,659</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183,781</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295,751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14,584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Interest Income and Other Revenue</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125,635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102,872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216,497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125,635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96,089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209,714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59,103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63,279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Other Expenses</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59,103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70,282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115,582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b w:val="1"/>
                <w:bCs w:val="1"/>
                <w:color w:val="auto"/>
              </w:rPr>
              <w:t>INCOME TAXES AND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b w:val="1"/>
                <w:bCs w:val="1"/>
                <w:color w:val="auto"/>
              </w:rPr>
              <w:t>MINORITY INTEREST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66,532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68,325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25,807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94,132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(54,935)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Minority Interest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15,991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15,997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(32,841)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(34,495)</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0.76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20" w:hanging="212"/>
        <w:spacing w:after="0" w:line="259" w:lineRule="auto"/>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aggregate successor and predecessor results for the period presented. The aggregated results are non-U.S. GAAP financial measures and should not be used in isolation or substitution of predecessor and successor results. The aggregated results help to provide a full-year presentation of our results for comparability purposes.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2007, Evercore’s total headcount was 290 employees compared with 247 as of December 31, 2006. Evercore’s increase in headcount is illustrated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As of December 31,</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6"/>
              </w:rPr>
              <w:t>Evercore</w:t>
            </w:r>
          </w:p>
        </w:tc>
        <w:tc>
          <w:tcPr>
            <w:tcW w:w="64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w w:val="86"/>
              </w:rPr>
              <w:t>Evercore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14"/>
                <w:szCs w:val="14"/>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U.S.</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Mexico</w:t>
            </w:r>
          </w:p>
        </w:tc>
        <w:tc>
          <w:tcPr>
            <w:tcW w:w="640" w:type="dxa"/>
            <w:vAlign w:val="bottom"/>
          </w:tcPr>
          <w:p>
            <w:pPr>
              <w:jc w:val="right"/>
              <w:ind w:right="58"/>
              <w:spacing w:after="0"/>
              <w:rPr>
                <w:sz w:val="20"/>
                <w:szCs w:val="20"/>
                <w:color w:val="auto"/>
              </w:rPr>
            </w:pPr>
            <w:r>
              <w:rPr>
                <w:rFonts w:ascii="Arial" w:cs="Arial" w:eastAsia="Arial" w:hAnsi="Arial"/>
                <w:sz w:val="14"/>
                <w:szCs w:val="14"/>
                <w:b w:val="1"/>
                <w:bCs w:val="1"/>
                <w:color w:val="auto"/>
                <w:w w:val="99"/>
              </w:rPr>
              <w:t>Europe</w:t>
            </w: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Senior Managing Directors:</w:t>
            </w: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Advisory</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Management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Professionals and Support Staff</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vMerge w:val="continue"/>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versus 2006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revenue was $321.6 million in 2007, an increase of $111.9 million, or 53%, versus net revenue of $209.7 million in 2006. During 2007 Advisory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revenue was $295.8 million, an increase of $112.0 million or 61% versus revenue of $183.8 million in 2006. Investment Management revenue was $20.2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decrease of $3.3 million, or 14%, versus revenue of $23.5 million in 2006. Interest Income and Other Revenue, net of Interest Expense, was $5.7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an increase of $3.2 million versus the same period in 2006. The increase is predominantly due to interest income earned reduced by Interest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$18.5 million from collateralized financing transactions entered into by PCB. Additionally, interest income increased year over year due to the investment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average cash balance which has increased in 2007 as compared to the same period in 2006.</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Total Operating Expenses were $235.5 million in 2007 as compared to $108.6 million in the same period in 2006, a 117% increase. Employee Compensation and Benefits Expense, as a component of Operating Expenses, was $173.3 million in 2007, an increase of $104.8 million, or 153%, versus expense of $68.6 million in the same period in 2006. The 153% increase includes $23.3 million of compensation awarded to new Senior Managing Directors in 2007. Employee Compensation and Benefits Expense for 2006 is not comparable to 2007 because Employee Compensation and Benefits Expense prior to the IPO excluded payments to Senior Managing Directors for services rendered, as these payments were reflected as distributions to Members and not reflected as an expense. During 2007, we revised our annual compensation program to include stock-based compensation awards as a component of the annual bonus awards for certain U.S. Senior Managing Directors. Non-compensation expenses as a component of Operating Expenses were $62.2 million in 2007, an increase of $22.2 million, or 55% over non-compensation operating expenses of $40.0 million in 2006. Non-compensation operating expenses increased in 2007 as compared to the same period in 2006 as a result of additional facility expenses associated with the Company’s expanded space in New York and transition costs related to the move into that space, incremental costs associated with Sarbanes-Oxley compliance, costs incurred relating to new business initiatives, regulatory reporting and other costs incurred as a public company and recruitment fees associated with the hiring of additional Senior Managing Directors. Additionally, the inclusion of non-compensation expenses for Protego and Evercore Europe further increased non-compensation expenses for 2007 as compared to the same period in 2006.</w:t>
      </w:r>
    </w:p>
    <w:p>
      <w:pPr>
        <w:spacing w:after="0" w:line="1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Total Other Expenses of $141.0 million in 2007 relate to the costs incurred for the vesting of Evercore LP partnership units and stock-based awards associated with the completion of the Follow-On Offering in May 2007 of $123.6 million, a stock-based compensation component of a severance agreement of $2.3 million and the amortization of intangible assets associated with the acquisition of Protego and Braveheart of $15.0 million. Amortization of intangible assets in the same period in 2006 was $2.7 million.</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2007 provision for income taxes was $12.4 million, an increase of $4.0 million versus $8.4 million in 2006. The increased tax expense was due to the fact that a portion of our taxable net income was taxed as a 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corporation and subject to federal, state and local income taxes for all of 2007, which resulted in an increased tax expense, and the impact associated with the one-time event from the Follow-On Offering which resulted in a book loss for U.S. GAAP reporting, but taxable income from an income tax perspective. Additionally, the results were also affected by the addition of Protego and Braveheart, after their respective acquisitions, which were taxed at their respective applicable foreign country tax rates. Prior to the IPO, we operated in the U.S. as a series of limited liability companies and Subchapter S corporations and therefore were not subject to federal and state income taxes.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Minority interest was ($32.8) million in 2007 compared to $16.0 million in 2006 due to the impact of the Follow-On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versus 2005</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Net revenue was $209.7 million in 2006, an increase of $84.1 million, or 67%, versus net revenue of $125.6 million in 2005. During 2006, advisory revenue was $183.8 million, an increase of $72.9 million or 66% versus revenue of $110.8 million in 2005. Investment Management revenue was $23.5 million, an increase of approximately $8.9 million, or 61%, versus revenue of approximately $14.6 million in 2005. Interest and Other Income, net of Interest Expense, was $2.5 million in 2006, an increase of $2.3 million versus 2005. The increase is predominantly due to interest revenue earned reduced by Interest Expense of $6.8 million from collateralized financing transactions entered into by PCB. Additionally, interest income increased year over year due to the investment of IPO proceeds.</w:t>
      </w:r>
    </w:p>
    <w:p>
      <w:pPr>
        <w:spacing w:after="0" w:line="144"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Total Operating Expenses were $108.6 million in 2006, an increase of $49.5 million, or 84%, versus expense of $59.1 million in 2005. Employee compensation and benefits expense was $68.6 million in 2006, an increase of $44.4 million, or 184%, versus expense of $24.1 million in 2005. The increase was primarily due to the inclusion of compensation for employees of Protego and Braveheart during the period since the acquisitions and the inclusion of Senior Managing Directors’ compensatory payments in compensation for the period after the IPO, which totaled $32.0 million, plus the impact of increased headcount, higher base salaries for existing employees, and higher performance-based bonus awards. Non-compensation expenses as a component of Operating Expenses were $40.0 million in 2006, an increase of $5.0 million, or 14%, over non-compensation operating expenses of $35.0 million in 2005. Professional fees declined on a net basis for 2006 compared to 2005 by $3.6 million. The decrease was due to lower costs associated with temporary resources hired to support our accounting and finance staff in preparation for the IPO which were not needed to the same extent after the IPO. This decrease was partially offset by a net increase in spending associated with business development initiatives, increases in legal fees, incremental professional fees associated with being a public company and Protego professional fees incurred post acquisition. Travel and related expenses increased by $2.8 million in 2006 compared to 2005. A large portion of this increase is due to transaction-and deal-related expenses that are generally billable to clients. Non-compensation expenses additionally increased due to financing fees associated with our line of credit of $1.7 million. Other increases of approximately $4.1 million are primarily due to an increase in costs commensurate with our expanded headcount, principally leased office space and technology related expenses and other costs associated with being a public company in addition to other expenses incurred by Protego post acquisition.</w:t>
      </w:r>
    </w:p>
    <w:p>
      <w:pPr>
        <w:spacing w:after="0" w:line="128"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Total Other Expenses of 7.0 million in 2006 included $2.7 million in amortization of intangible assets associated with the acquisitions of Protego and Braveheart. Additionally, we recorded $4.3 million in compensation expense recognized post-IPO associated with the estimated fair market value of RSUs granted in connection with the IPO.</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2006, the provision for income taxes was $8.4 million, an increase of $5.0 million versus $3.4 million in 2005 due to higher pretax operating income and the effect of Evercore Partners Inc. being taxed as a C Corporation. For the period of January 1, 2006 through August 9, 2006 and twelve months ended December 31, 2005, the Company operated as a series of limited liability companies and Subchapter S corporations,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therefore was not subject to federal and state income taxes. The income tax expense for these periods was $2.4 million and $3.4 million, respectively, resulting in an effective tax rate of 3.5% and 5.1%, respectively. The decline in the effective tax rate is the result of the reorganization of EGL to a limited liability company from an S corporation and the increase in revenues generated from carried interest and unrealized/realized gains and losses not subject to tax at the entity level.</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period August 10, 2006 to December 31, 2006, a portion of the Company’s taxable net income was taxed as a C Corporation and subject to federal, state and local income taxes, which resulted in an increased tax expense. Additionally, the results were also affected by the addition of Protego and Braveheart, included post-acquisition, which were taxed at their respective applicable foreign country tax rates. The income taxes for this period were $6.0 million, resulting in an effective tax rate of 23.4%.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Minority interest was $16.0 million in 2006 compared to $0 million in 2005 due to the impact of the Reorganization and IPO discussed earlier in this Item.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following data presents revenue, expenses and contributions by business segment. Each segment’s Operating Expenses include: (1) compensation and benefits expense incurred directly in support of the businesses of the segment (2) non-compensation expenses, which include directly incurred expenses for premises and occupancy, professional fees, travel and entertainment, communications and information services and equipment and (3) an allocation of indirect support costs (including compensation and other operating expenses related thereto) for administrative services. These administrative services include certain accounting, tax, legal, facilities management and senior management activities. Such support costs are allocated to the relevant segments based on various statistics such as headcount, square footage, transactional volume and revenue. Other Expenses include equity-based compensation costs associated with event-based awards plus amortization of intangibles associated with the acquisition of Protego and Braveheart. Corporate expenses includes costs related to audit fees and other costs related to being a public company which are not allocated to the business segments and are reflected in a Corporate segment in the notes to our combined/consolidated financial statements.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Advisory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i w:val="1"/>
                <w:iCs w:val="1"/>
                <w:color w:val="auto"/>
                <w:w w:val="81"/>
              </w:rPr>
              <w:t>Combined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i w:val="1"/>
                <w:iCs w:val="1"/>
                <w:color w:val="auto"/>
                <w:w w:val="81"/>
              </w:rPr>
              <w:t>Combined</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1"/>
              </w:rPr>
              <w:t>Consolidated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i w:val="1"/>
                <w:iCs w:val="1"/>
                <w:color w:val="auto"/>
                <w:w w:val="83"/>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7"/>
              </w:rPr>
              <w:t>For the Twelve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gridSpan w:val="5"/>
          </w:tcPr>
          <w:p>
            <w:pPr>
              <w:ind w:left="780"/>
              <w:spacing w:after="0" w:line="142" w:lineRule="exact"/>
              <w:rPr>
                <w:sz w:val="20"/>
                <w:szCs w:val="20"/>
                <w:color w:val="auto"/>
              </w:rPr>
            </w:pPr>
            <w:r>
              <w:rPr>
                <w:rFonts w:ascii="Arial" w:cs="Arial" w:eastAsia="Arial" w:hAnsi="Arial"/>
                <w:sz w:val="14"/>
                <w:szCs w:val="14"/>
                <w:b w:val="1"/>
                <w:bCs w:val="1"/>
                <w:color w:val="auto"/>
              </w:rPr>
              <w:t>For the Period</w:t>
            </w:r>
          </w:p>
        </w:tc>
        <w:tc>
          <w:tcPr>
            <w:tcW w:w="12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Twelve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For the Twelve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through</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through</w:t>
            </w:r>
          </w:p>
        </w:tc>
        <w:tc>
          <w:tcPr>
            <w:tcW w:w="120" w:type="dxa"/>
            <w:vAlign w:val="bottom"/>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Months 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December 31, 2005</w:t>
            </w:r>
          </w:p>
        </w:tc>
        <w:tc>
          <w:tcPr>
            <w:tcW w:w="3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August 9, 2006</w:t>
            </w:r>
          </w:p>
        </w:tc>
        <w:tc>
          <w:tcPr>
            <w:tcW w:w="64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 31, 2006</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 2006*</w:t>
            </w:r>
          </w:p>
        </w:tc>
        <w:tc>
          <w:tcPr>
            <w:tcW w:w="32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SUCCESSOR</w:t>
            </w:r>
          </w:p>
        </w:tc>
        <w:tc>
          <w:tcPr>
            <w:tcW w:w="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2"/>
              </w:rPr>
              <w:t>SUCCESSOR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ADVISORY REVENUES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Advisory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110,842</w:t>
            </w: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96,122</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87,659</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183,781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295,751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and Other Revenue</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gridSpan w:val="3"/>
          </w:tcPr>
          <w:p>
            <w:pPr>
              <w:spacing w:after="0"/>
              <w:rPr>
                <w:sz w:val="20"/>
                <w:szCs w:val="20"/>
                <w:color w:val="auto"/>
              </w:rPr>
            </w:pPr>
            <w:r>
              <w:rPr>
                <w:rFonts w:ascii="Arial" w:cs="Arial" w:eastAsia="Arial" w:hAnsi="Arial"/>
                <w:sz w:val="18"/>
                <w:szCs w:val="18"/>
                <w:color w:val="auto"/>
              </w:rPr>
              <w:t>TOTAL ADVISORY REVENUES</w:t>
            </w:r>
          </w:p>
        </w:tc>
        <w:tc>
          <w:tcPr>
            <w:tcW w:w="1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111,012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96,582</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88,703</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185,285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299,710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111,012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185,285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ADVISORY EXPENSES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82,179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ADVISORY EXPENSES</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29,812</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58,629</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88,441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ADVISORY CONTRIBUTION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74,407</w:t>
            </w:r>
          </w:p>
        </w:tc>
        <w:tc>
          <w:tcPr>
            <w:tcW w:w="320" w:type="dxa"/>
            <w:vAlign w:val="bottom"/>
          </w:tcPr>
          <w:p>
            <w:pPr>
              <w:spacing w:after="0"/>
              <w:rPr>
                <w:sz w:val="19"/>
                <w:szCs w:val="19"/>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66,770</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30,074</w:t>
            </w:r>
          </w:p>
        </w:tc>
        <w:tc>
          <w:tcPr>
            <w:tcW w:w="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96,844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aggregate successor and predecessor results for the period presented. The aggregated results are non-U.S. GAAP financial measures and should not be used in isolation or substitution of predecessor and successor results. The aggregated results help to provide a full-year presentation of our results for comparability purposes.</w:t>
      </w:r>
    </w:p>
    <w:p>
      <w:pPr>
        <w:spacing w:after="0" w:line="14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For the twelve months ended December 31, 2007, the level of M&amp;A activity was higher than for the twelve months ended December 31, 2006, as evidenced by the following industry statistics regarding the volume of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8"/>
              </w:rPr>
              <w:t>Twelve Months Ended</w:t>
            </w:r>
          </w:p>
        </w:tc>
      </w:tr>
      <w:tr>
        <w:trPr>
          <w:trHeight w:val="161"/>
        </w:trPr>
        <w:tc>
          <w:tcPr>
            <w:tcW w:w="6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2"/>
                <w:szCs w:val="12"/>
                <w:color w:val="auto"/>
              </w:rPr>
            </w:pPr>
          </w:p>
        </w:tc>
        <w:tc>
          <w:tcPr>
            <w:tcW w:w="740" w:type="dxa"/>
            <w:vAlign w:val="bottom"/>
            <w:gridSpan w:val="2"/>
          </w:tcPr>
          <w:p>
            <w:pPr>
              <w:jc w:val="center"/>
              <w:ind w:left="157"/>
              <w:spacing w:after="0" w:line="142" w:lineRule="exact"/>
              <w:rPr>
                <w:sz w:val="20"/>
                <w:szCs w:val="20"/>
                <w:color w:val="auto"/>
              </w:rPr>
            </w:pPr>
            <w:r>
              <w:rPr>
                <w:rFonts w:ascii="Arial" w:cs="Arial" w:eastAsia="Arial" w:hAnsi="Arial"/>
                <w:sz w:val="14"/>
                <w:szCs w:val="14"/>
                <w:b w:val="1"/>
                <w:bCs w:val="1"/>
                <w:color w:val="auto"/>
                <w:w w:val="83"/>
              </w:rPr>
              <w:t>2006</w:t>
            </w:r>
          </w:p>
        </w:tc>
        <w:tc>
          <w:tcPr>
            <w:tcW w:w="240" w:type="dxa"/>
            <w:vAlign w:val="bottom"/>
          </w:tcPr>
          <w:p>
            <w:pPr>
              <w:spacing w:after="0"/>
              <w:rPr>
                <w:sz w:val="12"/>
                <w:szCs w:val="12"/>
                <w:color w:val="auto"/>
              </w:rPr>
            </w:pPr>
          </w:p>
        </w:tc>
        <w:tc>
          <w:tcPr>
            <w:tcW w:w="6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Industry Statistics ($ in billions)</w:t>
            </w:r>
            <w:r>
              <w:rPr>
                <w:rFonts w:ascii="Arial" w:cs="Arial" w:eastAsia="Arial" w:hAnsi="Arial"/>
                <w:sz w:val="18"/>
                <w:szCs w:val="18"/>
                <w:color w:val="auto"/>
              </w:rPr>
              <w:t>**</w:t>
            </w:r>
          </w:p>
        </w:tc>
        <w:tc>
          <w:tcPr>
            <w:tcW w:w="2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Value of North American M&amp;A Deals Announced</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1,203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$1,652</w:t>
            </w: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$1,849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Value of North American M&amp;A Deals Completed</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Value of Global M&amp;A Deals Announced</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2,619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$3,518</w:t>
            </w: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$4,415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Value of Global M&amp;A Deals Completed</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2,283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$3,845</w:t>
            </w:r>
          </w:p>
        </w:tc>
      </w:tr>
      <w:tr>
        <w:trPr>
          <w:trHeight w:val="322"/>
        </w:trPr>
        <w:tc>
          <w:tcPr>
            <w:tcW w:w="6400" w:type="dxa"/>
            <w:vAlign w:val="bottom"/>
          </w:tcPr>
          <w:p>
            <w:pPr>
              <w:spacing w:after="0"/>
              <w:rPr>
                <w:sz w:val="20"/>
                <w:szCs w:val="20"/>
                <w:color w:val="auto"/>
              </w:rPr>
            </w:pPr>
            <w:r>
              <w:rPr>
                <w:rFonts w:ascii="Arial" w:cs="Arial" w:eastAsia="Arial" w:hAnsi="Arial"/>
                <w:sz w:val="18"/>
                <w:szCs w:val="18"/>
                <w:i w:val="1"/>
                <w:iCs w:val="1"/>
                <w:color w:val="auto"/>
              </w:rPr>
              <w:t>Evercore Statistics</w:t>
            </w:r>
            <w:r>
              <w:rPr>
                <w:rFonts w:ascii="Arial" w:cs="Arial" w:eastAsia="Arial" w:hAnsi="Arial"/>
                <w:sz w:val="18"/>
                <w:szCs w:val="18"/>
                <w:color w:val="auto"/>
              </w:rPr>
              <w:t>***</w:t>
            </w: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8"/>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Advisory Clients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Advisory Clients With Fees of at Least $1 million</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Thomson Financial March 10,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revenue generating clients only; 2005 and 2006 include full year statistics for Protego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2007, Evercore’s total headcount in its Advisory segment was 173 employees, compared with 133 as of December 31, 2006.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Evercore’s Advisory headcount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86"/>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7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Evercore</w:t>
            </w:r>
          </w:p>
        </w:tc>
        <w:tc>
          <w:tcPr>
            <w:tcW w:w="22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Evercore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78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U.S.</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Mexico</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Europe</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Senior Managing Directors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Advisory Professionals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Direct Support Staff</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133</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r>
      <w:tr>
        <w:trPr>
          <w:trHeight w:val="20"/>
        </w:trPr>
        <w:tc>
          <w:tcPr>
            <w:tcW w:w="7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versus 2006</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Advisory Revenue, including Interest Income and Other Revenue allocated to this segment, was $299.7 million in 2007 compared to $185.3 million in 2006, which represents an increase of 62%. This increase reflects a higher number of transactions closed in 2007 than in 2006, notwithstanding a challenging M&amp;A market in the second half of 2007. Our U.S. and European Advisory business earned Advisory Revenue from 76 different clients during 2007, compared to 64 different clients in 2006. We earned in excess of $1.0 million from 50 of those clients in 2007 compared to 31 in 2006. Our Mexican Advisory business earned Advisory Revenue from 69 different clients during 2007, compared to 62 different clients in 2006.</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Advisory expenses were $297.5 million in 2007, an increase of $209.1 million, versus expenses of $88.4 million in 2006. Advisory expenses for 2007 include charges related to costs incurred for the vesting of Evercore LP partnership units and stock-based awards associated with the completion of the Follow-On Offering in May of 2007.</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2007, Operating Expenses were $183.5 million as compared to $82.2 million in the same period for 2006, an increase of $101.4 million, or 123%. Employee Compensation and Benefits Expense, as a component of Operating Expenses, was $147.1 million as compared to $58.9 million in the same period for 2006. Employee Compensation and Benefits Expense for 2006 is not comparable to 2007 because Employee Compensation and Benefits Expense prior to the IPO excluded payments to Senior Managing Directors for services rendered, as these payments were reflected as distributions to Members and not reflected as an expense. The 2007 increase is partially due to the costs of new Senior Managing Director hires. Advisory non-compensation expenses, as a component of Operating Expenses, were $36.5 million in 2007, an increase of $13.2 million versus non-compensation operating expenses of $23.3 million in 2006. Non-compensation expenses have increased due to the impact of incremental costs associated with Sarbanes-Oxley compliance and expanded headcount and increased deal activity in the Advisory business, resulting in higher occupancy, travel and technology related expenses, the increase in deal- and transaction-related expenses potentially billable to clients and the expansion of space in New York. Additional increases in non-compensation expenses are associated with the Advisory businesses of the entities acquired in the second half of 2006 that are not included for the entire year ended December 31, 2006.</w:t>
      </w:r>
    </w:p>
    <w:p>
      <w:pPr>
        <w:spacing w:after="0" w:line="12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Other Expenses of $114.0 million in 2007 relate to the costs incurred for the vesting of Evercore LP partnership units and stock-based awards associated with the completion of the Follow-On Offering in May 2007 of $97.7 million, a stock-based component of a severance agreement of $1.1 million and the amortization of intangible assets associated with the acquisition of Protego and Braveheart of $15.0 million. Amortization of intangible assets in the same period in 2006 was $2.7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versus 2005</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Advisory revenue, including interest and other revenue allocated to this segment, was $185.3 million in 2006 compared to $111.0 million in 2005, which represents an increase of 67%. The increase reflects the continued strength of the M&amp;A market environment and the impact of the Protego and Braveheart acquisitions. Included in total advisory revenue in 2006 was Protego advisory revenue of $5.8 million and Braveheart advisory revenue of $20.8 million. Our U.S. and European Advisory business earned Advisory Revenue from 64 different clients during 2006, compared to 58 different clients in 2005. We earned in excess of $1.0 million from 31 of those clients in 2006 compared to 28 in 2005. Our Mexican Advisory business earned Advisory Revenue from 62 different clients during 2006, compared to 54 different clients in 2005.</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Advisory expenses were $88.4 million in 2006, an increase of $51.8 million, versus expenses of $36.6 million in 2005.</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2006, Operating Expenses were $82.2 million compared to $36.6 million in the same period for 2006, an increase of $45.6 million, or 125%. Employee compensation and benefits expense as a component of Operating Expenses increased by $39.8 million compared to 2005, reflecting inclusion of Senior Managing Directors’ compensation from the date of our IPO, increased compensation associated with new hires, increased base salaries for existing employees, higher performance-based bonus awards, inclusion of Protego and Braveheart in the consolidated results. Advisory non-compensation expenses were $23.3 million in 2006, an increase of $5.7 million versus non-compensation expenses of $17.6 million in 2005. The increase in non-compensation expenses for the Advisory segment is due to the impact of expanded headcount in the Advisory business, resulting in higher occupancy, travel and technology related expenses, increase in deal- and transaction-related expenses potentially billable to clients and the inclusion of non-compensation expenses associated with Protego’s advisory business post acquisition.</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Other Expenses of $6.3 million in 2006 related to the issuance of stock based awards at the date of the IPO and the amortization of intangibles associated with the Braveheart acquisitions.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Investment Management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i w:val="1"/>
                <w:iCs w:val="1"/>
                <w:color w:val="auto"/>
                <w:w w:val="81"/>
              </w:rPr>
              <w:t>Combined</w:t>
            </w:r>
          </w:p>
        </w:tc>
        <w:tc>
          <w:tcPr>
            <w:tcW w:w="60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i w:val="1"/>
                <w:iCs w:val="1"/>
                <w:color w:val="auto"/>
                <w:w w:val="84"/>
              </w:rPr>
              <w:t>Combined</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81"/>
              </w:rPr>
              <w:t>Consolidated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81"/>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0" w:type="dxa"/>
            <w:vAlign w:val="bottom"/>
            <w:gridSpan w:val="4"/>
            <w:vMerge w:val="restart"/>
          </w:tcPr>
          <w:p>
            <w:pPr>
              <w:jc w:val="center"/>
              <w:ind w:right="580"/>
              <w:spacing w:after="0"/>
              <w:rPr>
                <w:sz w:val="20"/>
                <w:szCs w:val="20"/>
                <w:color w:val="auto"/>
              </w:rPr>
            </w:pPr>
            <w:r>
              <w:rPr>
                <w:rFonts w:ascii="Arial" w:cs="Arial" w:eastAsia="Arial" w:hAnsi="Arial"/>
                <w:sz w:val="14"/>
                <w:szCs w:val="14"/>
                <w:b w:val="1"/>
                <w:bCs w:val="1"/>
                <w:color w:val="auto"/>
                <w:w w:val="87"/>
              </w:rPr>
              <w:t>For the Twelve</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For</w:t>
            </w:r>
          </w:p>
        </w:tc>
        <w:tc>
          <w:tcPr>
            <w:tcW w:w="5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78"/>
              </w:rPr>
              <w:t>the Period</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5"/>
              </w:rPr>
              <w:t>For the Twelve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60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83"/>
              </w:rPr>
              <w:t>August 10,</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1200" w:type="dxa"/>
            <w:vAlign w:val="bottom"/>
            <w:gridSpan w:val="3"/>
          </w:tcPr>
          <w:p>
            <w:pPr>
              <w:jc w:val="center"/>
              <w:ind w:right="132"/>
              <w:spacing w:after="0" w:line="149" w:lineRule="exact"/>
              <w:rPr>
                <w:sz w:val="20"/>
                <w:szCs w:val="20"/>
                <w:color w:val="auto"/>
              </w:rPr>
            </w:pPr>
            <w:r>
              <w:rPr>
                <w:rFonts w:ascii="Arial" w:cs="Arial" w:eastAsia="Arial" w:hAnsi="Arial"/>
                <w:sz w:val="14"/>
                <w:szCs w:val="14"/>
                <w:b w:val="1"/>
                <w:bCs w:val="1"/>
                <w:color w:val="auto"/>
                <w:w w:val="88"/>
              </w:rPr>
              <w:t>January 1, 2006</w:t>
            </w:r>
          </w:p>
        </w:tc>
        <w:tc>
          <w:tcPr>
            <w:tcW w:w="380" w:type="dxa"/>
            <w:vAlign w:val="bottom"/>
          </w:tcPr>
          <w:p>
            <w:pPr>
              <w:spacing w:after="0"/>
              <w:rPr>
                <w:sz w:val="12"/>
                <w:szCs w:val="12"/>
                <w:color w:val="auto"/>
              </w:rPr>
            </w:pPr>
          </w:p>
        </w:tc>
        <w:tc>
          <w:tcPr>
            <w:tcW w:w="12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2006 through</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89"/>
              </w:rPr>
              <w:t>For the Twelve</w:t>
            </w:r>
          </w:p>
        </w:tc>
        <w:tc>
          <w:tcPr>
            <w:tcW w:w="54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2"/>
                <w:szCs w:val="12"/>
                <w:color w:val="auto"/>
              </w:rPr>
            </w:pPr>
          </w:p>
        </w:tc>
        <w:tc>
          <w:tcPr>
            <w:tcW w:w="106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86"/>
              </w:rPr>
              <w:t>through</w:t>
            </w:r>
          </w:p>
        </w:tc>
        <w:tc>
          <w:tcPr>
            <w:tcW w:w="380" w:type="dxa"/>
            <w:vAlign w:val="bottom"/>
          </w:tcPr>
          <w:p>
            <w:pPr>
              <w:spacing w:after="0"/>
              <w:rPr>
                <w:sz w:val="12"/>
                <w:szCs w:val="12"/>
                <w:color w:val="auto"/>
              </w:rPr>
            </w:pPr>
          </w:p>
        </w:tc>
        <w:tc>
          <w:tcPr>
            <w:tcW w:w="12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91"/>
              </w:rPr>
              <w:t>Months Ended</w:t>
            </w:r>
          </w:p>
        </w:tc>
        <w:tc>
          <w:tcPr>
            <w:tcW w:w="54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3"/>
          </w:tcPr>
          <w:p>
            <w:pPr>
              <w:jc w:val="center"/>
              <w:ind w:right="152"/>
              <w:spacing w:after="0"/>
              <w:rPr>
                <w:sz w:val="20"/>
                <w:szCs w:val="20"/>
                <w:color w:val="auto"/>
              </w:rPr>
            </w:pPr>
            <w:r>
              <w:rPr>
                <w:rFonts w:ascii="Arial" w:cs="Arial" w:eastAsia="Arial" w:hAnsi="Arial"/>
                <w:sz w:val="14"/>
                <w:szCs w:val="14"/>
                <w:b w:val="1"/>
                <w:bCs w:val="1"/>
                <w:color w:val="auto"/>
                <w:w w:val="86"/>
              </w:rPr>
              <w:t>August 9, 2006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2006</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6"/>
              </w:rPr>
              <w:t>December 31, 2006*</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SUCCESSOR</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SUCCESSOR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Management Fees Including Portfolio Company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15,560</w:t>
            </w:r>
          </w:p>
        </w:tc>
        <w:tc>
          <w:tcPr>
            <w:tcW w:w="5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32"/>
              <w:spacing w:after="0"/>
              <w:rPr>
                <w:sz w:val="20"/>
                <w:szCs w:val="20"/>
                <w:color w:val="auto"/>
              </w:rPr>
            </w:pPr>
            <w:r>
              <w:rPr>
                <w:rFonts w:ascii="Arial" w:cs="Arial" w:eastAsia="Arial" w:hAnsi="Arial"/>
                <w:sz w:val="18"/>
                <w:szCs w:val="18"/>
                <w:color w:val="auto"/>
              </w:rPr>
              <w:t>12,286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4,441</w:t>
            </w:r>
          </w:p>
        </w:tc>
        <w:tc>
          <w:tcPr>
            <w:tcW w:w="38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16,727</w:t>
            </w: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and Unrealized Gains (Losses) Including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Carried Interest</w:t>
            </w: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(976)</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4,943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14,584</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17,229</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5,359</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22,588</w:t>
            </w:r>
          </w:p>
        </w:tc>
        <w:tc>
          <w:tcPr>
            <w:tcW w:w="5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PUBLIC SECURITIES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and Unrealized Gains (Losses) Including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Performance Fees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(369)</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72"/>
              <w:spacing w:after="0"/>
              <w:rPr>
                <w:sz w:val="20"/>
                <w:szCs w:val="20"/>
                <w:color w:val="auto"/>
              </w:rPr>
            </w:pPr>
            <w:r>
              <w:rPr>
                <w:rFonts w:ascii="Arial" w:cs="Arial" w:eastAsia="Arial" w:hAnsi="Arial"/>
                <w:sz w:val="18"/>
                <w:szCs w:val="18"/>
                <w:color w:val="auto"/>
              </w:rPr>
              <w:t>(369)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1,232</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863</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MANAGEMENT REVENUES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23,451</w:t>
            </w: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Interest Income and Other Revenue</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32"/>
              <w:spacing w:after="0"/>
              <w:rPr>
                <w:sz w:val="20"/>
                <w:szCs w:val="20"/>
                <w:color w:val="auto"/>
              </w:rPr>
            </w:pPr>
            <w:r>
              <w:rPr>
                <w:rFonts w:ascii="Arial" w:cs="Arial" w:eastAsia="Arial" w:hAnsi="Arial"/>
                <w:sz w:val="18"/>
                <w:szCs w:val="18"/>
                <w:color w:val="auto"/>
              </w:rPr>
              <w:t>183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7,578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7,761</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MANAGEMENT</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14,623</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17,043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31,212</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6,783</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6,783</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MANAGEMENT</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14,623</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17,043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24,429</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INVESTMENT MANAGEMENT EXPENSES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12,165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10,810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18,999</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9"/>
                <w:szCs w:val="19"/>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MANAGEMENT</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12,165</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10,810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INVESTMENT MANAGEMENT</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b w:val="1"/>
                <w:bCs w:val="1"/>
                <w:color w:val="auto"/>
              </w:rPr>
              <w:t>CONTRIBUTION/(LOSS)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2,458</w:t>
            </w:r>
          </w:p>
        </w:tc>
        <w:tc>
          <w:tcPr>
            <w:tcW w:w="5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32"/>
              <w:spacing w:after="0"/>
              <w:rPr>
                <w:sz w:val="20"/>
                <w:szCs w:val="20"/>
                <w:color w:val="auto"/>
              </w:rPr>
            </w:pPr>
            <w:r>
              <w:rPr>
                <w:rFonts w:ascii="Arial" w:cs="Arial" w:eastAsia="Arial" w:hAnsi="Arial"/>
                <w:sz w:val="18"/>
                <w:szCs w:val="18"/>
                <w:color w:val="auto"/>
              </w:rPr>
              <w:t>6,233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(1,544)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4,689</w:t>
            </w: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20" w:hanging="212"/>
        <w:spacing w:after="0" w:line="259"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aggregate successor and predecessor results for the period presented. The aggregated results are non-U.S. GAAP financial measures and should not be used in isolation or substitution of predecessor and successor results. The aggregated results help to provide a full-year presentation of our results for comparability purposes.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Management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versus 2006</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Investment Management Revenue was $21.9 million in 2007, a decrease of $2.5 million, or 10%, as compared to $24.4 million in the same period of 2006. Private Equity revenue, as a component of Investment Management Revenue, was $20.2 million in 2007, a decrease of $2.4 million, or 11%, compared to Private Equity revenue of $22.6 million in 2006. The overall decline is due to portfolio company transaction fees earned for the 2006 period that did not recur during 2007. In addition, predecessor results include the results of entities that were not contributed to the Successor Company pursuant to the IPO. Public Securities revenue generated minimal revenue in 2007, a decrease of $0.9 million compared to 2006. The decrease is attributable to losses in EAM’s business and losses on our direct investment in some of EAM’s funds partially offset by increases in fees related to the strong growth of assets under management in the U.S. and Mexico. Net Interest Income and Other Revenue was $1.7 million for 2007, an increase of $0.8 million versus 2006. The increase is due to Interest Income earned, reduced by Interest Expense of $18.3 million from collateralized financing transactions entered into by PCB.</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Investment Management expenses were $66.1 million in 2007, an increase of $46.4 million, versus expenses of $19.7 million in 2006. Investment Management expenses for 2007 include charges related to the costs incurred for the vesting of Evercore LP partnership units and stock-based awards associated with the completion of the Follow-On Offering in May of 2007.</w:t>
      </w:r>
    </w:p>
    <w:p>
      <w:pPr>
        <w:spacing w:after="0" w:line="14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Investment Management Operating Expenses were $39.1 million in 2007 as compared to $19.0 million in 2006, a 106% increase. Employee Compensation and Benefits Expense, as a component of Operating Expenses, was $26.3 million in 2007, a $16.6 million, or 171% increase compared to 2006. Employee Compensation and Benefits Expense for 2006 is not comparable to 2007 because Employee Compensation and Benefits Expense prior to the IPO excluded payments to Senior Managing Directors for services rendered, as these payments were reflected as distributions to Members and not reflected as an expense. The 2007 increase is partially due to the costs of new Senior Managing Director hires. Non-compensation expenses as a component of Operating Expenses in 2007 increased by $3.5 million, or 38%, compared to 2006 as a result of incremental costs associated with Sarbanes-Oxley compliance, costs incurred relating to new business initiatives, the increased occupancy expense relating to the new office space and non-compensation costs associated with the inclusion of Protego’s asset management business for all of 2007, partially offset by the decrease in spending for professional fees and a decrease in travel and related expenses.</w:t>
      </w:r>
    </w:p>
    <w:p>
      <w:pPr>
        <w:spacing w:after="0" w:line="108"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Other Expenses of $27.0 million in 2007 relate to the costs incurred for the vesting of Evercore LP partnership units and stock-based awards associated with the completion of the Follow-On Offering in May 2007 of $25.9 million and a stock-based component of a severance agreement of $1.1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versus 2005</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Net Investment Management Revenue was $24.4 million in 2006, an increase of $9.8 million, or 67%, compared to Net Investment Management Revenue of $14.6 million in 2005. The increase in Net Investment Management Revenue was driven primarily by an increase of $7.5 million in carried interest and net investment gains, a $1.0 million increase in net interest and other income (net of interest expense), a $0.8 million increase in portfolio company fees and a $0.3 million increase in net management fees. The increase in carried interest and net investment gains was a result of several realizations of ECP II investments, partly offset by unrealized losses resulting from a reduction in the carrying value of certain ECP II investments. The increase in portfolio company fees was a result of increased investment activity in the first half of 2006. The increase in net management fees in 2006 was primarily the result of the non-recurrence of placement fees payable to a third party partly offset by higher portfolio company fees and a reduction in gross management fees resulting from investment realizations that decreased the amount of invested capital. Placement fees and portfolio company fees are netted against gross management fees. Interest and Other Income was $7.8 million in 2006, an increase of $7.7 million versus 2005.</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increase is due to interest revenue earned, reduced by Interest Expense of $6.8 million from collateralized financing transactions entered into by PCB.</w:t>
      </w:r>
    </w:p>
    <w:p>
      <w:pPr>
        <w:spacing w:after="0" w:line="19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2006, Operating Expenses were $19.0 million compared to $12.2 million in the same period for 2005, an increase of $6.8 million, or 56%. Employee compensation and benefits as a component of Operating Expenses increased by $4.6 million, or 91%, compared to 2005, reflecting inclusion of Senior Managing Directors’ compensatory payments in compensation, an increase in base salaries and higher performance-based bonus awards attributable to allocated new hires and the inclusion of compensation for Protego’s asset management business post acquisition. Non-compensation expenses increased by $2.2 million, or 31%, compared to 2005 as a result of increased spending for new business initiatives, an increase in transaction-related expenses billable to Private Equity Funds and portfolio companies and non-compensation costs associated with Protego’s asset management business post acquisition.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of $0.7 million were related to the vesting of Event-based awards.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Our cash flows are primarily related to the timing of receipt of advisory and investment management fees and the timing of tax and dividend related distributions and payment of bonuses to our Senior Managing Directors and employees. In general, we collect our Accounts Receivable within 90 days.</w:t>
      </w:r>
    </w:p>
    <w:p>
      <w:pPr>
        <w:spacing w:after="0" w:line="8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2007</w:t>
      </w:r>
      <w:r>
        <w:rPr>
          <w:rFonts w:ascii="Arial" w:cs="Arial" w:eastAsia="Arial" w:hAnsi="Arial"/>
          <w:sz w:val="16"/>
          <w:szCs w:val="16"/>
          <w:color w:val="auto"/>
        </w:rPr>
        <w:t>. Cash and Cash Equivalents were $193.5 million at December 31, 2007, an increase of $128.1 million versus Cash and Cash Equivalents of $65.4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at December 31, 2006. During 2007, cash of $146.2 million was provided by operating activities. Cash of $7.6 million was used in investing activities primarily for the Purchase of Furniture, Equipment and Leasehold Improvements, and Investments. Financing activities during the period used cash of $10.5 million, primarily due to $42.1 million of cash provided by the Follow-On Offering, which was offset by $4.7 million of dividends paid and $47.2 million used for distributions to Evercore LP partners, excluding Evercore Partners Inc.</w:t>
      </w:r>
    </w:p>
    <w:p>
      <w:pPr>
        <w:spacing w:after="0" w:line="1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2006</w:t>
      </w:r>
      <w:r>
        <w:rPr>
          <w:rFonts w:ascii="Arial" w:cs="Arial" w:eastAsia="Arial" w:hAnsi="Arial"/>
          <w:sz w:val="18"/>
          <w:szCs w:val="18"/>
          <w:color w:val="auto"/>
        </w:rPr>
        <w:t>. Cash and Cash Equivalents increased $49.1 million from August 9, 2006, the last day prior to the Reorganization. During the 144 day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2006, cash of $5.4 million was used by operating activities, comprised mainly of net income of $3.8 million offset by net changes in operating assets and liabilities of $9.2 million. Cash of $2.0 million was provided by investing activities, principally from proceeds from the sale of investments and cash acquired in the acquisition of Braveheart, offset by purchases of furniture, equipment and leasehold improvements and investments. Financing activities during the period provided cash of $52.5 million, primarily from the net proceeds from the IPO, offset by payments for short-term borrowings and notes payable associated with the purchase of Protego.</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Cash and Cash Equivalents at August 9, 2006 decreased $21.5 million from December 31, 2005. During the 221 day period ended August 9, 2006, cash of $59.1 million was provided by operating activities, comprised mainly of net income of $66.0 million, offset by changes in operating assets and liabilities of $6.8 million. Cash of $2.1 million was used in investing activities, principally for the purchase of Investments and Furniture, Equipment and Leasehold Improvements, offset by cash provided by Proceeds from Investments, and cash received in the acquisition of Protego. Financing activities during the period used cash of $78.6 million, primarily for distributions to Senior Managing Directors, offset by increases in short-term borrowings.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2005. </w:t>
      </w:r>
      <w:r>
        <w:rPr>
          <w:rFonts w:ascii="Arial" w:cs="Arial" w:eastAsia="Arial" w:hAnsi="Arial"/>
          <w:sz w:val="18"/>
          <w:szCs w:val="18"/>
          <w:color w:val="auto"/>
        </w:rPr>
        <w:t>Cash increased $0.5 million in 2005. Cash of $66.7 million was provided by operating activities, including $63.2 million from net income. Cash of</w:t>
      </w:r>
      <w:r>
        <w:rPr>
          <w:rFonts w:ascii="Arial" w:cs="Arial" w:eastAsia="Arial" w:hAnsi="Arial"/>
          <w:sz w:val="18"/>
          <w:szCs w:val="18"/>
          <w:i w:val="1"/>
          <w:iCs w:val="1"/>
          <w:color w:val="auto"/>
        </w:rPr>
        <w:t xml:space="preserve"> </w:t>
      </w:r>
      <w:r>
        <w:rPr>
          <w:rFonts w:ascii="Arial" w:cs="Arial" w:eastAsia="Arial" w:hAnsi="Arial"/>
          <w:sz w:val="18"/>
          <w:szCs w:val="18"/>
          <w:color w:val="auto"/>
        </w:rPr>
        <w:t>$2.5 million was used for investing activities, including $1.0 million for the Purchase of Furniture, Equipment and Leasehold Improvements. Financing activities used $63.7 million of cash primarily due to distributions to our Senior Managing Directors of $65.3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current assets typically have consisted primarily of Cash and Cash Equivalents and Accounts Receivable in relation to earned advisory fees. Cash distributions related to partnership tax allocations are generally made shortly after the end of each calendar quarter to the partners of Evercore LP. We traditionally have made payments for employee bonuses and year-end distributions to partners primarily in the first quarter of the year with respect to the prior year’s results. Our liabilities have typically consisted of accrued compensation and accounts payable.</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December 30, 2005, we entered into a $30.0 million credit agreement with affiliates of Lehman Brothers, JPMorgan Chase and Goldman Sachs that matured on the earlier of the consummation of the IPO or December 31, 2006 (the “Line of Credit”). The agreement was a 364-day revolving line of credit. Borrowings under the Line of Credit bore interest at a rate of LIBOR plus 200 basis points for any amount drawn and a commitment fee of 50 basis points for any unused portion. On January 12, 2006, we borrowed $25.0 million on the Line of Credit at an interest rate of 6.60%. On June 22, 2006, we drew down an additional $5.0 million at an effective interest rate of 7.48%. We recognized $0.6 million of debt issuance cost expense and $1.1 million of interest expense for the twelve months ended December 31, 2006. The proceeds of the Line of Credit were used for working capital purposes including funding of our ongoing investment management activities. We used a portion of the proceeds from the IPO to repay all outstanding borrowings under the Line of Credit, which has been terminated.</w:t>
      </w:r>
    </w:p>
    <w:p>
      <w:pPr>
        <w:spacing w:after="0" w:line="145"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PCB maintains a line of credit with BBVA Bancomer to fund its trading activities on an intra-day and overnight basis. The intra-day facility is approximately $20.0 million, secured with trading securities and interest is charged at the Inter-Bank Balance Interest Rate plus 10 basis points, while the overnight facility is approximately $1.0 million, unsecured and interest is charged at two times the Inter-Bank Balance Interest Rate. There have been no draw downs on PCB’s line of credit since August 10, 2006.</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regularly monitor our liquidity position, including cash, other significant working capital assets and liabilities, debt, principal investment commitments and other matters relating to liquidity and compliance with regulatory net capital requirements.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Under the Evercore LP limited partnership agreement, we intend to cause Evercore LP to make distributions to its partners in an amount sufficient to cover all applicable taxes and dividends, if any, declared by us.</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had total commitments (not reflected on our Consolidated Statements of Financial Condition) relating to future principal investments of $1.9 million and $9.1 million as of December 31, 2006 and 2007, respectively. We expect to fund these commitments with cash flows from operations. We may be required to fund these commitments at any time through December 2017, depending on the timing and level of investments by ECP II and EMCP II.</w:t>
      </w:r>
    </w:p>
    <w:p>
      <w:pPr>
        <w:spacing w:after="0" w:line="107"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color w:val="auto"/>
        </w:rPr>
        <w:t>PCB, the Mexican asset management subsidiary of Protego, which we acquired in August 2006, enters into repurchase agreements with clients whereby PCB transfers to the clients securities (typically, Mexican government securities) in exchange for cash and concurrently agrees to repurchase the securities at a future date for an amount equal to the cash exchanged plus a stipulated premium or interest factor. PCB deploys the cash received from, and acquires the securities deliverable to, clients under these repurchase arrangements by purchasing securities in the open market or by entering into reverse repurchase agreements with unrelated third parties. We account for these repurchase and reverse repurchase agreements as collateralized financing transactions. We record a liability on our Consolidated Statements of Financial Condition in relation to repurchase transactions executed with clients as Securities Sold Under Agreements to Repurchase. We record as assets on our Consolidated Statements of Financial Condition, Financial Instruments Owned and Pledged as Collateral at Fair Value (where we have acquired the securities deliverable to clients under these repurchase arrangements by purchasing securities in the open market) and Securities Purchased Under Agreements to Resell (where we have acquired the securities deliverable to clients under these resell agreements by entering into</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reverse repurchase agreements with unrelated third parties). As of December 31, 2006 and 2007, PCB had approximately $84.1 million and $285.7 million, respectively, of repurchase transactions executed with clients, of which approximately $73.8 million and $226.9 million, respectively, related to securities PCB purchased in the open market and approximately $10.3 million and $58.8 million, respectively, of reverse repurchase transactions with third parties. The increase is related to the growth in assets under management at PCB as a result of new funds from both existing and new clients. Net income includes interest income earned and interest expense incurred under these agreements.</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December 31, 2007, our share of PCB’s equity was recorded as $2.0 million. In the first quarter of 2008, the Company capitalized $1.5 million of PCB’s equity.</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Certain of the Company’s subsidiaries are registered entities and are subject to capital requirements. For further information see Note 17 – Regulatory Authorities.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our contractual obligations as of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Payment Due by Period</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5"/>
              </w:rPr>
              <w:t>Less than 1 year</w:t>
            </w:r>
          </w:p>
        </w:tc>
        <w:tc>
          <w:tcPr>
            <w:tcW w:w="400" w:type="dxa"/>
            <w:vAlign w:val="bottom"/>
          </w:tcPr>
          <w:p>
            <w:pPr>
              <w:spacing w:after="0"/>
              <w:rPr>
                <w:sz w:val="12"/>
                <w:szCs w:val="12"/>
                <w:color w:val="auto"/>
              </w:rPr>
            </w:pPr>
          </w:p>
        </w:tc>
        <w:tc>
          <w:tcPr>
            <w:tcW w:w="1000" w:type="dxa"/>
            <w:vAlign w:val="bottom"/>
            <w:gridSpan w:val="3"/>
          </w:tcPr>
          <w:p>
            <w:pPr>
              <w:jc w:val="center"/>
              <w:ind w:right="400"/>
              <w:spacing w:after="0" w:line="142" w:lineRule="exact"/>
              <w:rPr>
                <w:sz w:val="20"/>
                <w:szCs w:val="20"/>
                <w:color w:val="auto"/>
              </w:rPr>
            </w:pPr>
            <w:r>
              <w:rPr>
                <w:rFonts w:ascii="Arial" w:cs="Arial" w:eastAsia="Arial" w:hAnsi="Arial"/>
                <w:sz w:val="14"/>
                <w:szCs w:val="14"/>
                <w:b w:val="1"/>
                <w:bCs w:val="1"/>
                <w:color w:val="auto"/>
                <w:w w:val="85"/>
              </w:rPr>
              <w:t>1-3 years</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3-5 years</w:t>
            </w:r>
          </w:p>
        </w:tc>
        <w:tc>
          <w:tcPr>
            <w:tcW w:w="42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More than 5 years</w:t>
            </w:r>
          </w:p>
        </w:tc>
        <w:tc>
          <w:tcPr>
            <w:tcW w:w="20" w:type="dxa"/>
            <w:vAlign w:val="bottom"/>
          </w:tcPr>
          <w:p>
            <w:pPr>
              <w:spacing w:after="0"/>
              <w:rPr>
                <w:sz w:val="12"/>
                <w:szCs w:val="12"/>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156,013</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9,144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18,144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19,247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109,478</w:t>
            </w:r>
          </w:p>
        </w:tc>
        <w:tc>
          <w:tcPr>
            <w:tcW w:w="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Commitments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4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20" w:type="dxa"/>
            <w:vAlign w:val="bottom"/>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165,234</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9,239</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18,144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21,485</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116,366</w:t>
            </w:r>
          </w:p>
        </w:tc>
      </w:tr>
      <w:tr>
        <w:trPr>
          <w:trHeight w:val="20"/>
        </w:trPr>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2006, the Company agreed to lease an additional 124,000 square feet of office space at the Company’s principal executive offices at 55 East 52nd Street, New York, New York. The term of the lease expires on April 29, 2023. The Company has sublet a portion of this space to a third party. In connection with the execution of the lease, the Company delivered a security deposit in the form of an unsecured letter of credit in the amount of $4.8 million. If the Company does not meet certain covenants of the unsecured letter of credit agreement, the Company may be required to secure the letter of credit. The Company was required to maintain compensating balances of $1.5 million and $0 as of December 31, 2006 and 2007, respectively. No amounts have been drawn down under the respective letters of credit.</w:t>
      </w:r>
    </w:p>
    <w:p>
      <w:pPr>
        <w:spacing w:after="0" w:line="1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connection with a lease entered into during 2007 for additional office space in San Francisco, the Company entered into an irrevocable standby letter of credit in the amount of $0.1 million.</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As of December 31, 2007, we are unable to make reasonably reliable estimates of the period of cash settlement with the respective taxing authority, hence, per FASB Interpretation No. 48, </w:t>
      </w:r>
      <w:r>
        <w:rPr>
          <w:rFonts w:ascii="Arial" w:cs="Arial" w:eastAsia="Arial" w:hAnsi="Arial"/>
          <w:sz w:val="18"/>
          <w:szCs w:val="18"/>
          <w:i w:val="1"/>
          <w:iCs w:val="1"/>
          <w:color w:val="auto"/>
        </w:rPr>
        <w:t>Accounting for Uncertainty in Income Taxes – an Interpretation of FASB Statement No. 109</w:t>
      </w:r>
      <w:r>
        <w:rPr>
          <w:rFonts w:ascii="Arial" w:cs="Arial" w:eastAsia="Arial" w:hAnsi="Arial"/>
          <w:sz w:val="18"/>
          <w:szCs w:val="18"/>
          <w:color w:val="auto"/>
        </w:rPr>
        <w:t xml:space="preserve"> (“FIN 48”), unrecognized tax benefits have been excluded from the above commitment and contractual obligations.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leasing activities that expose us to any liability that is not reflected in our combined/consolidated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96"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The Company, in general, is not a capital-intensive organization and as such, is not subject to significant market or credit risks. Nevertheless, we have established procedures to assess both the market and credit risk, as well as specific investment risk, exchange rate risk and credit risk related to receivables.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and Investment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Private Equity Funds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Through our principal investments in our private equity funds and our ability to earn carried interest from these funds, we face exposure to changes in the estimated fair value of the companies in which these funds invest. The Company’s professionals devote considerable time and resources to work closely with the portfolio company’s management to assist in designing a business strategy, allocating capital and other resources, and evaluating expansion or acquisition opportunities. On a quarterly basis, we perform a comprehensive analysis and valuation of all of the portfolio companies. Our analysis includes reviewing the current market conditions and valuations of each portfolio company with senior members of the Company’s Investment Management Committee.</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estimate that a hypothetical 10% adverse change in the value of the private equity funds would result in a decrease in pre-tax income of approximately $2.2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maintains an equity interest in EAM of 41.7% and also invested in funds managed by EAM. The funds managed by EAM principally hold readily marketable investment securities. EAM is an institutional investment management firm that manages high value investments in small- and mid-capitalization companies. As of December 31, 2007, the fair value of the Company’s investments with EAM, based on closing prices, was $7.6 million.</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estimate that a hypothetical 10% adverse change in the market value of the investments would have resulted in a decrease in pre-tax income of approximately $0.8 million related to investments with EAM for the year end December 31,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PCB</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2007, we had invested $226.9 million in Financial Instruments Owned and Pledged as Collateral at Fair Value which represents highly-liquid Mexican government bonds. These bonds are pledged as collateral against repurchase agreements which are collateralized financing agreements. These financing arrangements are always with institutional customer accounts managed by PCB and are generally in overnight maturities which permit the counterparty to pledge the securities. The Company has procedures in place to monitor the daily and overall operation or risk limits for positions taken. The Risk Management Committee meets monthly to analyze the overall risk exposure based on positions taken.</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estimate that a hypothetical 100 basis point increase or decrease in the interest rate environment for Mexican government bonds would have resulted in a decrease or increase in pre-tax income $0.9 million, respectively, for the year end December 31, 2007.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derivative commodity instruments or other market risk sensitive instruments, positions or transactions.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 Risk</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foreign operations in Mexico and the United Kingdom; their respective functional currencies are the Mexican peso and British pound sterling. We have not entered into any transactions to hedge our exposure to these foreign exchange fluctuations through the use of derivative instruments or otherwise. An appreciation or depreciation of any of these currencies relative to the U.S. dollar would result in an adverse or beneficial impact to the Company’s financial results. A significant portion of the Company’s Latin American revenues have been, and will continue to be, derived from contracts denominated in Mexican pesos and Evercore Europe’s revenue and expenses are denominated primarily in British pounds sterling and euro. Historically, the value of these foreign currencies has fluctuated relative to the U.S. dollar. As of December 31, 2006 and 2007, the net impact of</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fluctuation of foreign currencies recorded in Accumulated Other Comprehensive Income was $0.1 million and $0.5 million, respectively. It is currently not our intention to hedge our foreign currency exposure and we will reevaluate this policy from time to time. We do not believe normal fluctuations in foreign currency exchange rates will have a material effect on financial results, position or liquidity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As of December 31, 2007, we have securities purchased under agreements to resell of $58.8 million for which we have received collateral with a fair value of $58.6 million at December 31, 2007. Additionally, we have securities sold under agreements to repurchase of $285.9 million at December 31, 2007, for which we had pledged collateral with a fair value of $285.5 million at December 31, 2007. To reduce the exposure to concentrations of credit from Securities Purchased Under Agreements to Resell, we have established risk management procedures to monitor the exposure. The collateral for the receivables is primarily Mexican government bonds and the Company monitors the collateral pledged under these agreements against their contract value from inception to maturity date.</w:t>
      </w:r>
    </w:p>
    <w:p>
      <w:pPr>
        <w:spacing w:after="0" w:line="10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Accounts Receivable consists primarily of advisory fees and expense reimbursements billed to our clients. Receivables are reported net of any allowance for doubtful accounts. We maintain an allowance for bad debts to provide coverage for probable losses from our customer receivables and derive the estimate through specific identification for the allowance for doubtful accounts and an assessment of the client’s creditworthiness. At December 31, 2006 and 2007 total receivables amounted to $55.2 million and $48.4 million, net of an allowance. The Advisory and Investment Management receivables collection periods generally are within 90 days of invoice. The collection period for restructuring transactions and private equity fee receivables may exceed 90 days. The Company recorded bad debt expense of approximately $0 and $0.4 million in the years ended December 31, 2006 and 2007,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combined/consolidated financial statements included in this report are prepared in conformity with U.S. GAAP, which require management to make estimates and assumptions regarding future events that affect the amounts reported in our combined/consolidated financial statements and their notes, including reported amounts of assets, liabilities, revenue and expenses, and related disclosure of contingent assets and liabilities. We base these estimates on historical experience and various other assumptions that we believe to be reasonable under the circumstances. Actual results could differ materially from those estimates. We believe that the following discussion addresses our most critical accounting policies, which are those that are most important to the presentation of our financial condition and results of operations and require management’s most difficult, subjective and complex judgments.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Advisory Revenue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earn advisory revenue through: 1) success fees based on the occurrence of certain events which may include announcements or completion of various types of financial transactions; 2) retainer arrangements and 3) fairness opinions.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recognize advisory revenue when: 1) there is evidence of an arrangement with a client; 2) agreed upon services have been provided; 3) fees are fixed or determinable and 4) collection is reasonably assured.</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Fees paid in advance of services rendered are initially recorded as deferred revenue, which is recorded within Other Current Liabilities on the Consolidated Statements of Financial Condition, and recognized as advisory revenue ratably over the period in which the related service is rendered.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Management Revenue</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Investment Management business generates revenues from the management of the Private Equity Funds and public securities asset management products.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Private equity revenue sources include Management and Performance fees, Portfolio Company fees and Gains (Losses) on Investments in Private Equity Funds.</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Management fees are contractually based and are derived from Investment Management services provided in originating, recommending and consummating investment opportunities to private equity funds. Management fees are typically paid in advance on committed capital during the private equity funds’ investment period, and on invested capital, thereafter. Management fees are initially recorded as deferred revenue and revenue is recognized ratably, thereafter, over the period during which services are provided. The management fees may provide for a management fee offset for certain portfolio company fees we earn. We also record performance fee revenue from the private equity funds when the returns on the private equity funds’ investments exceed certain threshold minimums. These performance fees, or carried interest, are computed in accordance with the underlying private equity funds’ partnership agreements and are based on investment performance over the life of each investment partnership. Performance fees are recorded as revenue as earned pursuant to the client agreements.</w:t>
      </w:r>
    </w:p>
    <w:p>
      <w:pPr>
        <w:spacing w:after="0" w:line="145"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Portfolio Company fees include monitoring, director and transaction fees associated with services provided to the portfolio companies of the private equity funds we manage. Monitoring fees are earned for services provided to the portfolio companies with respect to the development and implementation of strategies for improving operating, marketing and financial performance. Monitoring fee revenue is recognized ratably over the period for which services are provided. We earn transaction fees for providing advisory services to portfolio companies. These fees are earned and recognized on the same basis as advisory revenue.</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PCB’s revenue sources include management fees and performance fees, which are accounted for similar to Private Equity Revenue above. Interest revenue is derived from investing customer funds in financing transactions with PCB. These transactions are primarily repurchases and resales of Mexican government securities. Revenue and expenses associated with these transactions are recognized over the term of the repurchase or resale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Valuation of our investments in securities and of our financial investments in the funds we manage impacts both the carrying value of direct investments and the determination of performance fees, also referred to as carried interest.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investments, which are accounted for under the equity method of accounting, consist of investments in Private Equity Funds and our equity interest in EAM. We recognize our allocable share of the fair value of the private equity funds’ underlying investments as realized and unrealized gains (or losses), which are reflected as revenue in the Combined/Consolidated Statements of Operations.</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We annually assess our Equity Method Investments for impairment per Accounting Principles Board (“APB”) Opinion No. 18, </w:t>
      </w:r>
      <w:r>
        <w:rPr>
          <w:rFonts w:ascii="Arial" w:cs="Arial" w:eastAsia="Arial" w:hAnsi="Arial"/>
          <w:sz w:val="18"/>
          <w:szCs w:val="18"/>
          <w:i w:val="1"/>
          <w:iCs w:val="1"/>
          <w:color w:val="auto"/>
        </w:rPr>
        <w:t>The Equity Method of</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Investments in Common Stock</w:t>
      </w:r>
      <w:r>
        <w:rPr>
          <w:rFonts w:ascii="Arial" w:cs="Arial" w:eastAsia="Arial" w:hAnsi="Arial"/>
          <w:sz w:val="18"/>
          <w:szCs w:val="18"/>
          <w:color w:val="auto"/>
        </w:rPr>
        <w:t>.</w:t>
      </w:r>
    </w:p>
    <w:p>
      <w:pPr>
        <w:spacing w:after="0" w:line="132" w:lineRule="exact"/>
        <w:rPr>
          <w:sz w:val="20"/>
          <w:szCs w:val="20"/>
          <w:color w:val="auto"/>
        </w:rPr>
      </w:pPr>
    </w:p>
    <w:p>
      <w:pPr>
        <w:jc w:val="both"/>
        <w:ind w:right="560" w:firstLine="456"/>
        <w:spacing w:after="0" w:line="306" w:lineRule="auto"/>
        <w:rPr>
          <w:sz w:val="20"/>
          <w:szCs w:val="20"/>
          <w:color w:val="auto"/>
        </w:rPr>
      </w:pPr>
      <w:r>
        <w:rPr>
          <w:rFonts w:ascii="Arial" w:cs="Arial" w:eastAsia="Arial" w:hAnsi="Arial"/>
          <w:sz w:val="16"/>
          <w:szCs w:val="16"/>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Ultimately, we determine the fair value of the Private Equity Funds’ investments in non-marketable securities. We determine the fair value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 Investments in publicly-traded securities held by the Private Equity Funds are valued using quoted market prices.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Securities Purchased Under Agreements to Resell and Securities Sold Under Agreements to Repurchase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Securities Purchased Under Agreements to Resell and Securities Sold Under Agreements to Repurchase are treated as collateralized financing transactions. The agreements provide that the transferor will receive substantially the same securities in return at the maturity of the agreement and the transferor will obtain from the transferee sufficient cash or collateral to purchase such securities during the term of the agreement. These transactions are carried at the amounts at which the related securities will be subsequently resold or repurchased, plus accrued interest payable or receivable. As these transactions are short-term in nature, their carrying amounts are a reasonable estimate of fair value.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Trading Securities and Financial Instruments Owned and Pledged as Collateral at Fair Value</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invest in readily-marketable equity securities and a hedge fund, which are managed by EAM. Trading Securities are valued using quoted market prices on applicable exchanges or markets. The realized and unrealized gains and losses on Trading Securities are included in the Combined/Consolidated Statements of Operations in Investment Management Revenue.</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Financial Instruments Owned and Pledged as Collateral at Fair Value consist principally of foreign government obligations, which are recorded on a trade-date basis and are stated at quoted market values. Related gains and losses are reflected in Interest Income and Other Revenue on the Combined/Consolidated Statements of Operations. We pledge our Financial Instruments Owned and Pledged as Collateral at Fair Value to collateralize certain financing arrangements which permits the counterparty to pledge the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Share-Based Payment </w:t>
      </w:r>
      <w:r>
        <w:rPr>
          <w:rFonts w:ascii="Arial" w:cs="Arial" w:eastAsia="Arial" w:hAnsi="Arial"/>
          <w:sz w:val="16"/>
          <w:szCs w:val="16"/>
          <w:color w:val="auto"/>
        </w:rPr>
        <w:t>– On December 16, 2004, the Financial Accounting Standards Board (“FASB”), issued SFAS 123(R). SFAS 123(R) supersedes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(“APB No. 25”) and amends SFAS No. 95, </w:t>
      </w:r>
      <w:r>
        <w:rPr>
          <w:rFonts w:ascii="Arial" w:cs="Arial" w:eastAsia="Arial" w:hAnsi="Arial"/>
          <w:sz w:val="16"/>
          <w:szCs w:val="16"/>
          <w:i w:val="1"/>
          <w:iCs w:val="1"/>
          <w:color w:val="auto"/>
        </w:rPr>
        <w:t>Statement of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Flows </w:t>
      </w:r>
      <w:r>
        <w:rPr>
          <w:rFonts w:ascii="Arial" w:cs="Arial" w:eastAsia="Arial" w:hAnsi="Arial"/>
          <w:sz w:val="16"/>
          <w:szCs w:val="16"/>
          <w:color w:val="auto"/>
        </w:rPr>
        <w:t>(“SFAS 95”). Generally, the approach in SFAS 123(R) is similar to the approach described in SFAS 123. However, SFAS 123(R) requires all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to employees, including grants of employee stock options, to be recognized in the Combined/Consolidated Statements of Operations based on their fair values. Prior to the Reorganization, we operated as a series of partnerships, limited liability companies and Subchapter S corporations and had not historically issued stock-based compensation awards. We adopted SFAS 123(R) on January 1, 2006. See “– Key Financial Measures – Operating Expenses – Employee Compensation and Benefits Expense” for a discussion on expense related to vesting of Evercore LP partnership units, RSUs and shares of restricted stock that we recorded as a result of the completion of the Follow-On Offering.</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Post Reorganization, on August 10, 2006, we account for the unvested Evercore LP partnership units as compensation paid to employees in accordance with SFAS No. 123(R), which we adopted effective January 1, 2006. In accordance with SFAS 123(R), accruals of compensation costs for awards with a performance or service condition are based on the probable outcome of that service or performance condition. Compensation cost is accrued if it is probable that the performance condition will be achieved and is not accrued if it is not probable that the performance condition will be achieved. See Note 15 to the combined/consolidated financial statements herein for further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part of the process of preparing our combined/consolidated financial statements, we are required to estimate income taxes in each of the jurisdictions in which we operate. Significant management judgment 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required in determining our provision for income taxes, our deferred tax assets and liabilities and any valuation allowance recorded against our net deferred tax assets. This process requires us to estimate our actual current tax liability and to assess temporary differences resulting from differing book versus tax treatment of items, such as deferred revenue, compensation and benefits expense, unrealized gains on long-term investments and depreciation. These temporary differences result in deferred tax assets and liabilities, which are included within our Consolidated Statements of Financial Condition. We must then assess the likelihood that deferred tax assets will be recovered from future taxable income, and, to the extent we believe that recovery is not more likely than not, we must establish a valuation allowance.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us in making this assessment. If actual results differ from these estimates or we adjust these estimates in future periods, we may need to adjust our valuation allowance, which could materially impact our consolidated financial condition and results of operations.</w:t>
      </w:r>
    </w:p>
    <w:p>
      <w:pPr>
        <w:spacing w:after="0" w:line="12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in order to determine the quarterly tax rate, we are required to estimate full year pre-tax income and the related annual income tax expense in each jurisdiction. Changes in the geographic mix or estimated level of annual pre-tax income can affect our overall effective tax rate. Furthermore, our interpretation of complex tax laws may impact our measurement of current and deferred income taxes.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January 1, 2007, we adopted FIN 48. FIN 48 provides a benefit recognition model with a two-step approach consisting of “more-likely-than-not” recognition criteria, and a measurement attribute that measures the position as the largest amount of tax benefit that is greater than 50% likely of being realized upon ultimate settlement. FIN 48 also requires the recognition of liabilities created by differences between tax positions taken in a tax return and amounts recognized in the financial statements. See Note 18 to the combined/consolidated financial statements herein in regard to the impact of the adoption of FIN 48 on our combined/consolidated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In accordance with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and Intangible Assets are tested for impairment annually or more frequently if circumstances indicate impairment may have occurred. In this process, we make estimates and assumptions in order to determine the fair value of our assets and liabilities and to project future earnings using valuation techniques, including a discounted cash flow model. We use our best judgment and information available to us at the time to perform this review. Because our assumptions and estimates are used in projecting future earnings as part of the valuation, actual results could differ. Intangible assets with finite lives are amortized over their estimated useful lives which are periodically reevaluated. For the year ended December 31, 2007, we concluded there was no impairment of Goodwill and Intangible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SFAS 157 </w:t>
      </w:r>
      <w:r>
        <w:rPr>
          <w:rFonts w:ascii="Arial" w:cs="Arial" w:eastAsia="Arial" w:hAnsi="Arial"/>
          <w:sz w:val="16"/>
          <w:szCs w:val="16"/>
          <w:color w:val="auto"/>
        </w:rPr>
        <w:t>– In September 2006, the FASB issued SFAS No. 157,</w:t>
      </w:r>
      <w:r>
        <w:rPr>
          <w:rFonts w:ascii="Arial" w:cs="Arial" w:eastAsia="Arial" w:hAnsi="Arial"/>
          <w:sz w:val="16"/>
          <w:szCs w:val="16"/>
          <w:i w:val="1"/>
          <w:iCs w:val="1"/>
          <w:color w:val="auto"/>
        </w:rPr>
        <w:t xml:space="preserve"> Fair Value Measurements </w:t>
      </w:r>
      <w:r>
        <w:rPr>
          <w:rFonts w:ascii="Arial" w:cs="Arial" w:eastAsia="Arial" w:hAnsi="Arial"/>
          <w:sz w:val="16"/>
          <w:szCs w:val="16"/>
          <w:color w:val="auto"/>
        </w:rPr>
        <w:t>(“SFAS 157”), which defines fair value, establishes a</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for measuring fair value in accordance with U.S. GAAP, and expands disclosures about fair value measurements. In addition, SFAS 157 disallows the use of block discounts when measuring financial instruments that trade with quoted prices in an active market. SFAS 157 also requires the Company to consider its own credit spreads when measuring the fair value of liabilities. SFAS 157 is effective in fiscal years beginning after November 15, 2007. We have adopted SFAS 157 in the first quarter of 2008 and do not expect it to have a material impact on our financial condition, results of operations and cash flows.</w:t>
      </w:r>
    </w:p>
    <w:p>
      <w:pPr>
        <w:spacing w:after="0" w:line="1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 xml:space="preserve">SFAS 159 </w:t>
      </w:r>
      <w:r>
        <w:rPr>
          <w:rFonts w:ascii="Arial" w:cs="Arial" w:eastAsia="Arial" w:hAnsi="Arial"/>
          <w:sz w:val="18"/>
          <w:szCs w:val="18"/>
          <w:color w:val="auto"/>
        </w:rPr>
        <w:t>– In February 2007, the FASB issued SFAS No. 159,</w:t>
      </w:r>
      <w:r>
        <w:rPr>
          <w:rFonts w:ascii="Arial" w:cs="Arial" w:eastAsia="Arial" w:hAnsi="Arial"/>
          <w:sz w:val="18"/>
          <w:szCs w:val="18"/>
          <w:i w:val="1"/>
          <w:iCs w:val="1"/>
          <w:color w:val="auto"/>
        </w:rPr>
        <w:t xml:space="preserve"> The Fair Value Option for Financial Assets and Financial Liabilities – Including an amendment of FASB Statement No. 115 </w:t>
      </w:r>
      <w:r>
        <w:rPr>
          <w:rFonts w:ascii="Arial" w:cs="Arial" w:eastAsia="Arial" w:hAnsi="Arial"/>
          <w:sz w:val="18"/>
          <w:szCs w:val="18"/>
          <w:color w:val="auto"/>
        </w:rPr>
        <w:t>(“SFAS 159”). SFAS 159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permits entities to choose to measure many financial instruments and certain other items at fair value and is effective in fiscal years beginning after November 15, 2007. SFAS 159 permits the fair value option election on an instrument-by-instrument basis at both the initial recognition of an asset or liability or upon an event that gives rise to a new basis of accounting for that instrument. We have adopted SFAS 159 in the first quarter of 2008 and do not expect it to have a material impact on our financial condition, results of operations and cash flows.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SFAS 141(</w:t>
      </w:r>
      <w:r>
        <w:rPr>
          <w:rFonts w:ascii="Arial" w:cs="Arial" w:eastAsia="Arial" w:hAnsi="Arial"/>
          <w:sz w:val="16"/>
          <w:szCs w:val="16"/>
          <w:color w:val="auto"/>
        </w:rPr>
        <w:t>R) – In December 2007, the FASB issued SFAS No. 141(R),</w:t>
      </w:r>
      <w:r>
        <w:rPr>
          <w:rFonts w:ascii="Arial" w:cs="Arial" w:eastAsia="Arial" w:hAnsi="Arial"/>
          <w:sz w:val="16"/>
          <w:szCs w:val="16"/>
          <w:i w:val="1"/>
          <w:iCs w:val="1"/>
          <w:color w:val="auto"/>
        </w:rPr>
        <w:t xml:space="preserve"> Business Combinations </w:t>
      </w:r>
      <w:r>
        <w:rPr>
          <w:rFonts w:ascii="Arial" w:cs="Arial" w:eastAsia="Arial" w:hAnsi="Arial"/>
          <w:sz w:val="16"/>
          <w:szCs w:val="16"/>
          <w:color w:val="auto"/>
        </w:rPr>
        <w:t>(“SFAS 141(R)”). SFAS 141(R) requires the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entity in a business combination to recognize the full fair value of assets acquired and liabilities assumed in the transaction (whether a full or partial acquisition); establishes the acquisition-date fair value as the measurement objective for all assets acquired and liabilities assumed; requires expensing of most transaction and restructuring costs; and requires the acquirer to disclose to investors and other users all of the information needed to evaluate and understand the nature and financial effect of the business combination. SFAS 141(R) applies to all transactions or other events in which the Company obtains control of one or more businesses, including those sometimes referred to as “true mergers” or “mergers of equals” and combinations achieved without the transfer of consideration, for example, by contract alone or through the lapse of minority veto rights. SFAS 141(R) applies prospectively to business combinations for which the acquisition date is on or after December 1, 2009.</w:t>
      </w:r>
    </w:p>
    <w:p>
      <w:pPr>
        <w:spacing w:after="0" w:line="11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i w:val="1"/>
          <w:iCs w:val="1"/>
          <w:color w:val="auto"/>
        </w:rPr>
        <w:t xml:space="preserve">SFAS 160 – </w:t>
      </w:r>
      <w:r>
        <w:rPr>
          <w:rFonts w:ascii="Arial" w:cs="Arial" w:eastAsia="Arial" w:hAnsi="Arial"/>
          <w:sz w:val="15"/>
          <w:szCs w:val="15"/>
          <w:color w:val="auto"/>
        </w:rPr>
        <w:t>In December 2007, the FAS issued SFAS No. 160, Noncontrolling Interests in Consolidated Financial Statements – an amendment of ARB</w:t>
      </w:r>
      <w:r>
        <w:rPr>
          <w:rFonts w:ascii="Arial" w:cs="Arial" w:eastAsia="Arial" w:hAnsi="Arial"/>
          <w:sz w:val="15"/>
          <w:szCs w:val="15"/>
          <w:i w:val="1"/>
          <w:iCs w:val="1"/>
          <w:color w:val="auto"/>
        </w:rPr>
        <w:t xml:space="preserve"> </w:t>
      </w:r>
      <w:r>
        <w:rPr>
          <w:rFonts w:ascii="Arial" w:cs="Arial" w:eastAsia="Arial" w:hAnsi="Arial"/>
          <w:sz w:val="15"/>
          <w:szCs w:val="15"/>
          <w:color w:val="auto"/>
        </w:rPr>
        <w:t>No. 51 (“SFAS 160”), which amends ARB 51. SFAS 160 requires reporting entities to present noncontrolling (minority) interests as equity (as opposed to as a liability or mezzanine equity) and provides guidance on the accounting for transactions between an entity and noncontrolling interests. SFAS 160 applies prospectively as of December 1, 2009, except for the presentation and disclosure requirements which will be applied retrospectively for all periods presented.</w:t>
      </w:r>
    </w:p>
    <w:p>
      <w:pPr>
        <w:spacing w:after="0" w:line="21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See “Management’s Discussion and Analysis of Financial Condition and Results of Operations – Market Risk.” We do not believe we face any material interest rate risk, foreign currency exchange risk, equity price risk or other market risk except as disclosed in Item 7 “– Market Risk” above.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 tem 8.</w:t>
            </w:r>
          </w:p>
        </w:tc>
        <w:tc>
          <w:tcPr>
            <w:tcW w:w="10340" w:type="dxa"/>
            <w:vAlign w:val="bottom"/>
            <w:gridSpan w:val="8"/>
          </w:tcPr>
          <w:p>
            <w:pPr>
              <w:ind w:left="240"/>
              <w:spacing w:after="0"/>
              <w:rPr>
                <w:sz w:val="20"/>
                <w:szCs w:val="20"/>
                <w:color w:val="auto"/>
              </w:rPr>
            </w:pPr>
            <w:r>
              <w:rPr>
                <w:rFonts w:ascii="Arial" w:cs="Arial" w:eastAsia="Arial" w:hAnsi="Arial"/>
                <w:sz w:val="18"/>
                <w:szCs w:val="18"/>
                <w:b w:val="1"/>
                <w:bCs w:val="1"/>
                <w:color w:val="auto"/>
              </w:rPr>
              <w:t>Financial Statements and Supplemental Data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140" w:type="dxa"/>
            <w:vAlign w:val="bottom"/>
            <w:gridSpan w:val="10"/>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41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Report of Independent Registered Public Accounting Firm</w:t>
              </w:r>
            </w:hyperlink>
          </w:p>
        </w:tc>
        <w:tc>
          <w:tcPr>
            <w:tcW w:w="65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3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Statements of Financial Condition</w:t>
              </w:r>
            </w:hyperlink>
          </w:p>
        </w:tc>
        <w:tc>
          <w:tcPr>
            <w:tcW w:w="73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Combined/Consolidated Statements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1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Combined/Consolidated Statements of Changes in Members’ and Stockholders’ Equity</w:t>
              </w:r>
            </w:hyperlink>
          </w:p>
        </w:tc>
        <w:tc>
          <w:tcPr>
            <w:tcW w:w="45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5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Combined/Consolidated Statements of Cash Flows</w:t>
              </w:r>
            </w:hyperlink>
          </w:p>
        </w:tc>
        <w:tc>
          <w:tcPr>
            <w:tcW w:w="71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8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Notes to Combined/Consolidated Financial Statements</w:t>
              </w:r>
            </w:hyperlink>
          </w:p>
        </w:tc>
        <w:tc>
          <w:tcPr>
            <w:tcW w:w="68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51"/>
        </w:trPr>
        <w:tc>
          <w:tcPr>
            <w:tcW w:w="11140" w:type="dxa"/>
            <w:vAlign w:val="bottom"/>
            <w:gridSpan w:val="10"/>
          </w:tcPr>
          <w:p>
            <w:pPr>
              <w:spacing w:after="0"/>
              <w:rPr>
                <w:sz w:val="20"/>
                <w:szCs w:val="20"/>
                <w:color w:val="auto"/>
              </w:rPr>
            </w:pPr>
            <w:r>
              <w:rPr>
                <w:rFonts w:ascii="Arial" w:cs="Arial" w:eastAsia="Arial" w:hAnsi="Arial"/>
                <w:sz w:val="18"/>
                <w:szCs w:val="18"/>
                <w:b w:val="1"/>
                <w:bCs w:val="1"/>
                <w:color w:val="auto"/>
              </w:rPr>
              <w:t>Supplemental Financial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Combined/Consolidated Quarterly Results of Operations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480" w:type="dxa"/>
            <w:vAlign w:val="bottom"/>
            <w:tcBorders>
              <w:top w:val="single" w:sz="8" w:color="0000EE"/>
            </w:tcBorders>
            <w:gridSpan w:val="6"/>
          </w:tcPr>
          <w:p>
            <w:pPr>
              <w:spacing w:after="0"/>
              <w:rPr>
                <w:sz w:val="24"/>
                <w:szCs w:val="24"/>
                <w:color w:val="auto"/>
              </w:rPr>
            </w:pPr>
          </w:p>
        </w:tc>
        <w:tc>
          <w:tcPr>
            <w:tcW w:w="1300" w:type="dxa"/>
            <w:vAlign w:val="bottom"/>
          </w:tcPr>
          <w:p>
            <w:pPr>
              <w:jc w:val="right"/>
              <w:ind w:right="692"/>
              <w:spacing w:after="0"/>
              <w:rPr>
                <w:sz w:val="20"/>
                <w:szCs w:val="20"/>
                <w:color w:val="auto"/>
              </w:rPr>
            </w:pPr>
            <w:r>
              <w:rPr>
                <w:rFonts w:ascii="Arial" w:cs="Arial" w:eastAsia="Arial" w:hAnsi="Arial"/>
                <w:sz w:val="18"/>
                <w:szCs w:val="18"/>
                <w:color w:val="auto"/>
              </w:rPr>
              <w:t>53</w:t>
            </w:r>
          </w:p>
        </w:tc>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Evercore Partners Inc.:</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have audited the accompanying consolidated statements of financial condition of Evercore Partners Inc. and subsidiaries (the “Successor”) as of December 31, 2007 and 2006, and the related consolidated statements of operations, changes in stockholders’ equity, and cash flows for the year ended December 31, 2007, and the period August 10, 2006 to December 31, 2006. We have also audited the related combined statements of operations, changes in members’ equity, and cash flows of Evercore Holdings (the “Predecessor”) for the period January 1, 2006 to August 9, 2006, and the year ended December 31, 2005. These financial statements are the responsibility of the Successor’s and Predecessor’s (collectively the “Company”) management. Our responsibility is to express an opinion on these financial statements based on our audits.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our opinion, the Successor’s consolidated financial statements referred to above present fairly, in all material respects, the financial position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Successor as of December 31, 2007 and 2006, and the results of its operations and its cash flows for the year ended December 31, 2007, and the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10, 2006 to December 31, 2006, in conformity with accounting principles generally accepted in the United States of America. Further, in our opinion,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Predecessor’s combined financial statements referred to above present fairly, in all material respects, the results of Predecessor’s operations and their cash flows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January 1, 2006 to August 9, 2006, and the year ended December 31, 2005, in conformity with accounting principles generally accepted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165"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As discussed in Note 1 to the combined/consolidated financial statements, the Successor was formed on August 10, 2006 pursuant to a contribution and sale agreement. As discussed in Note 2 to the combined/consolidated financial statements, effective January 1, 2006, the Successor adopted Statement of Financial Accounting Standard (“SFAS”) No. 123(R) Share-Based Payment. As discussed in Note 2 to the combined/consolidated financial statements, commencing August 10, 2006, the Company became subject to U.S. corporate federal income tax that it accounts for in accordance with SFAS No. 109 Accounting for Income Taxes.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Successor’s internal control over financial reporting as of December 31, 2007, based on the criteria established in Internal Control – Integrated Framework issued by the Committee of Sponsoring Organizations of the Treadway Commission and our report dated March 11, 2008 expressed an unqualified opinion on the Successor’s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4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9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880"/>
              <w:spacing w:after="0"/>
              <w:rPr>
                <w:sz w:val="20"/>
                <w:szCs w:val="20"/>
                <w:color w:val="auto"/>
              </w:rPr>
            </w:pPr>
            <w:r>
              <w:rPr>
                <w:rFonts w:ascii="Arial" w:cs="Arial" w:eastAsia="Arial" w:hAnsi="Arial"/>
                <w:sz w:val="18"/>
                <w:szCs w:val="18"/>
                <w:color w:val="auto"/>
              </w:rPr>
              <w:t>Trading Securities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10,214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Financial Instruments Owned and Pledged as Collateral at Fair Value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880"/>
              <w:spacing w:after="0"/>
              <w:rPr>
                <w:sz w:val="20"/>
                <w:szCs w:val="20"/>
                <w:color w:val="auto"/>
              </w:rPr>
            </w:pPr>
            <w:r>
              <w:rPr>
                <w:rFonts w:ascii="Arial" w:cs="Arial" w:eastAsia="Arial" w:hAnsi="Arial"/>
                <w:sz w:val="18"/>
                <w:szCs w:val="18"/>
                <w:color w:val="auto"/>
              </w:rPr>
              <w:t>Securities Purchased Under Agreements to Resell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10,266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7"/>
              </w:rPr>
              <w:t>Accounts Receivable (net of allowances of $208 and $591 at December 31, 2006 and 2007, respectively)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880"/>
              <w:spacing w:after="0"/>
              <w:rPr>
                <w:sz w:val="20"/>
                <w:szCs w:val="20"/>
                <w:color w:val="auto"/>
              </w:rPr>
            </w:pPr>
            <w:r>
              <w:rPr>
                <w:rFonts w:ascii="Arial" w:cs="Arial" w:eastAsia="Arial" w:hAnsi="Arial"/>
                <w:sz w:val="18"/>
                <w:szCs w:val="18"/>
                <w:color w:val="auto"/>
              </w:rPr>
              <w:t>Receivable from Employees and Related Parties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 Asset – Current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Pr>
          <w:p>
            <w:pPr>
              <w:ind w:left="8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221,757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554,994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10,011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 – Long Term</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100" w:type="dxa"/>
            <w:vAlign w:val="bottom"/>
          </w:tcPr>
          <w:p>
            <w:pPr>
              <w:ind w:left="440"/>
              <w:spacing w:after="0"/>
              <w:rPr>
                <w:sz w:val="20"/>
                <w:szCs w:val="20"/>
                <w:color w:val="auto"/>
              </w:rPr>
            </w:pPr>
            <w:r>
              <w:rPr>
                <w:rFonts w:ascii="Arial" w:cs="Arial" w:eastAsia="Arial" w:hAnsi="Arial"/>
                <w:sz w:val="18"/>
                <w:szCs w:val="18"/>
                <w:color w:val="auto"/>
                <w:w w:val="92"/>
              </w:rPr>
              <w:t>Furniture, Equipment and Leasehold Improvements (net of accumulated depreciation and amortization of $4,353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Pr>
          <w:p>
            <w:pPr>
              <w:ind w:left="660"/>
              <w:spacing w:after="0"/>
              <w:rPr>
                <w:sz w:val="20"/>
                <w:szCs w:val="20"/>
                <w:color w:val="auto"/>
              </w:rPr>
            </w:pPr>
            <w:r>
              <w:rPr>
                <w:rFonts w:ascii="Arial" w:cs="Arial" w:eastAsia="Arial" w:hAnsi="Arial"/>
                <w:sz w:val="18"/>
                <w:szCs w:val="18"/>
                <w:color w:val="auto"/>
              </w:rPr>
              <w:t>$5,787 at December 31, 2006 and 2007, respectively)</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4,373</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100" w:type="dxa"/>
            <w:vAlign w:val="bottom"/>
          </w:tcPr>
          <w:p>
            <w:pPr>
              <w:ind w:left="440"/>
              <w:spacing w:after="0"/>
              <w:rPr>
                <w:sz w:val="20"/>
                <w:szCs w:val="20"/>
                <w:color w:val="auto"/>
              </w:rPr>
            </w:pPr>
            <w:r>
              <w:rPr>
                <w:rFonts w:ascii="Arial" w:cs="Arial" w:eastAsia="Arial" w:hAnsi="Arial"/>
                <w:sz w:val="18"/>
                <w:szCs w:val="18"/>
                <w:color w:val="auto"/>
              </w:rPr>
              <w:t>Intangible Assets (net of accumulated amortization of $2,654 and $17,753 at December 31, 2006 and 2007,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Pr>
          <w:p>
            <w:pPr>
              <w:ind w:left="66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23,080</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301,503</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689,096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48,094</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8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8,948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Securities Sold Under Agreements to Repurchase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880"/>
              <w:spacing w:after="0"/>
              <w:rPr>
                <w:sz w:val="20"/>
                <w:szCs w:val="20"/>
                <w:color w:val="auto"/>
              </w:rPr>
            </w:pPr>
            <w:r>
              <w:rPr>
                <w:rFonts w:ascii="Arial" w:cs="Arial" w:eastAsia="Arial" w:hAnsi="Arial"/>
                <w:sz w:val="18"/>
                <w:szCs w:val="18"/>
                <w:color w:val="auto"/>
              </w:rPr>
              <w:t>Payable to Employees and Related Parties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Taxes Payable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Pr>
          <w:p>
            <w:pPr>
              <w:ind w:left="88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151,194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419,576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Amounts Due Pursuant to Tax Receivable Agreements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Pr>
          <w:p>
            <w:pPr>
              <w:ind w:left="440"/>
              <w:spacing w:after="0"/>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152,108</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469,781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vMerge w:val="restart"/>
          </w:tcPr>
          <w:p>
            <w:pPr>
              <w:ind w:left="440"/>
              <w:spacing w:after="0"/>
              <w:rPr>
                <w:sz w:val="20"/>
                <w:szCs w:val="20"/>
                <w:color w:val="auto"/>
              </w:rPr>
            </w:pPr>
            <w:r>
              <w:rPr>
                <w:rFonts w:ascii="Arial" w:cs="Arial" w:eastAsia="Arial" w:hAnsi="Arial"/>
                <w:sz w:val="18"/>
                <w:szCs w:val="18"/>
                <w:color w:val="auto"/>
              </w:rPr>
              <w:t>Commitments and Contingencies Note 16</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9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36,918</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00" w:type="dxa"/>
            <w:vAlign w:val="bottom"/>
          </w:tcPr>
          <w:p>
            <w:pPr>
              <w:ind w:left="4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100" w:type="dxa"/>
            <w:vAlign w:val="bottom"/>
          </w:tcPr>
          <w:p>
            <w:pPr>
              <w:ind w:left="1300"/>
              <w:spacing w:after="0"/>
              <w:rPr>
                <w:sz w:val="20"/>
                <w:szCs w:val="20"/>
                <w:color w:val="auto"/>
              </w:rPr>
            </w:pPr>
            <w:r>
              <w:rPr>
                <w:rFonts w:ascii="Arial" w:cs="Arial" w:eastAsia="Arial" w:hAnsi="Arial"/>
                <w:sz w:val="18"/>
                <w:szCs w:val="18"/>
                <w:color w:val="auto"/>
                <w:w w:val="91"/>
              </w:rPr>
              <w:t>Class A, par value $0.01 per share (1,000,000,000 shares authorized, 6,359,558 and 11,261,100 issued at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1520"/>
              <w:spacing w:after="0"/>
              <w:rPr>
                <w:sz w:val="20"/>
                <w:szCs w:val="20"/>
                <w:color w:val="auto"/>
              </w:rPr>
            </w:pPr>
            <w:r>
              <w:rPr>
                <w:rFonts w:ascii="Arial" w:cs="Arial" w:eastAsia="Arial" w:hAnsi="Arial"/>
                <w:sz w:val="18"/>
                <w:szCs w:val="18"/>
                <w:color w:val="auto"/>
                <w:w w:val="90"/>
              </w:rPr>
              <w:t>December 31, 2006 and 2007, respectively, and 6,359,558 and 11,229,197 outstanding at December 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Pr>
          <w:p>
            <w:pPr>
              <w:ind w:left="1520"/>
              <w:spacing w:after="0"/>
              <w:rPr>
                <w:sz w:val="20"/>
                <w:szCs w:val="20"/>
                <w:color w:val="auto"/>
              </w:rPr>
            </w:pPr>
            <w:r>
              <w:rPr>
                <w:rFonts w:ascii="Arial" w:cs="Arial" w:eastAsia="Arial" w:hAnsi="Arial"/>
                <w:sz w:val="18"/>
                <w:szCs w:val="18"/>
                <w:color w:val="auto"/>
              </w:rPr>
              <w:t>2006 and 2007, respectively)</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10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88"/>
              </w:rPr>
              <w:t>Class B, par value $0.01 per share (1,000,000 shares authorized, 51 issued and outstanding at December 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1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2006 and 2007)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tcPr>
          <w:p>
            <w:pPr>
              <w:ind w:left="88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108,564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208,846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880"/>
              <w:spacing w:after="0"/>
              <w:rPr>
                <w:sz w:val="20"/>
                <w:szCs w:val="20"/>
                <w:color w:val="auto"/>
              </w:rPr>
            </w:pPr>
            <w:r>
              <w:rPr>
                <w:rFonts w:ascii="Arial" w:cs="Arial" w:eastAsia="Arial" w:hAnsi="Arial"/>
                <w:sz w:val="18"/>
                <w:szCs w:val="18"/>
                <w:color w:val="auto"/>
              </w:rPr>
              <w:t>Retained Earnings (Deficit)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(35,612)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Treasury Stock at Cost (31,903 shares at December 31, 2007)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0"/>
        </w:trPr>
        <w:tc>
          <w:tcPr>
            <w:tcW w:w="910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112,477</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172,976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301,503</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689,096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COMBINED/CONSOLIDATED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i w:val="1"/>
                <w:iCs w:val="1"/>
                <w:color w:val="auto"/>
                <w:w w:val="84"/>
              </w:rPr>
              <w:t>Combined</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i w:val="1"/>
                <w:iCs w:val="1"/>
                <w:color w:val="auto"/>
                <w:w w:val="81"/>
              </w:rPr>
              <w:t>Combined</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3"/>
              </w:rPr>
              <w:t>Consolidated</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i w:val="1"/>
                <w:iCs w:val="1"/>
                <w:color w:val="auto"/>
                <w:w w:val="81"/>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7"/>
              </w:rPr>
              <w:t>For the Twelve</w:t>
            </w:r>
          </w:p>
        </w:tc>
        <w:tc>
          <w:tcPr>
            <w:tcW w:w="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895"/>
              <w:spacing w:after="0" w:line="142" w:lineRule="exact"/>
              <w:rPr>
                <w:sz w:val="20"/>
                <w:szCs w:val="20"/>
                <w:color w:val="auto"/>
              </w:rPr>
            </w:pPr>
            <w:r>
              <w:rPr>
                <w:rFonts w:ascii="Arial" w:cs="Arial" w:eastAsia="Arial" w:hAnsi="Arial"/>
                <w:sz w:val="14"/>
                <w:szCs w:val="14"/>
                <w:b w:val="1"/>
                <w:bCs w:val="1"/>
                <w:color w:val="auto"/>
                <w:w w:val="84"/>
              </w:rPr>
              <w:t>For the Period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For the Twelve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gridSpan w:val="3"/>
          </w:tcPr>
          <w:p>
            <w:pPr>
              <w:jc w:val="center"/>
              <w:ind w:right="632"/>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80" w:type="dxa"/>
            <w:vAlign w:val="bottom"/>
          </w:tcPr>
          <w:p>
            <w:pPr>
              <w:spacing w:after="0"/>
              <w:rPr>
                <w:sz w:val="11"/>
                <w:szCs w:val="11"/>
                <w:color w:val="auto"/>
              </w:rPr>
            </w:pPr>
          </w:p>
        </w:tc>
        <w:tc>
          <w:tcPr>
            <w:tcW w:w="102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792"/>
              <w:spacing w:after="0" w:line="149" w:lineRule="exact"/>
              <w:rPr>
                <w:sz w:val="20"/>
                <w:szCs w:val="20"/>
                <w:color w:val="auto"/>
              </w:rPr>
            </w:pPr>
            <w:r>
              <w:rPr>
                <w:rFonts w:ascii="Arial" w:cs="Arial" w:eastAsia="Arial" w:hAnsi="Arial"/>
                <w:sz w:val="14"/>
                <w:szCs w:val="14"/>
                <w:b w:val="1"/>
                <w:bCs w:val="1"/>
                <w:color w:val="auto"/>
                <w:w w:val="90"/>
              </w:rPr>
              <w:t>through</w:t>
            </w: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through</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December 31, 2005</w:t>
            </w:r>
          </w:p>
        </w:tc>
        <w:tc>
          <w:tcPr>
            <w:tcW w:w="360" w:type="dxa"/>
            <w:vAlign w:val="bottom"/>
          </w:tcPr>
          <w:p>
            <w:pPr>
              <w:spacing w:after="0"/>
              <w:rPr>
                <w:sz w:val="14"/>
                <w:szCs w:val="14"/>
                <w:color w:val="auto"/>
              </w:rPr>
            </w:pPr>
          </w:p>
        </w:tc>
        <w:tc>
          <w:tcPr>
            <w:tcW w:w="1700" w:type="dxa"/>
            <w:vAlign w:val="bottom"/>
            <w:gridSpan w:val="3"/>
          </w:tcPr>
          <w:p>
            <w:pPr>
              <w:jc w:val="center"/>
              <w:ind w:right="632"/>
              <w:spacing w:after="0"/>
              <w:rPr>
                <w:sz w:val="20"/>
                <w:szCs w:val="20"/>
                <w:color w:val="auto"/>
              </w:rPr>
            </w:pPr>
            <w:r>
              <w:rPr>
                <w:rFonts w:ascii="Arial" w:cs="Arial" w:eastAsia="Arial" w:hAnsi="Arial"/>
                <w:sz w:val="14"/>
                <w:szCs w:val="14"/>
                <w:b w:val="1"/>
                <w:bCs w:val="1"/>
                <w:color w:val="auto"/>
                <w:w w:val="84"/>
              </w:rPr>
              <w:t>August 9, 2006</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2006</w:t>
            </w:r>
          </w:p>
        </w:tc>
        <w:tc>
          <w:tcPr>
            <w:tcW w:w="7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PREDECESSOR</w:t>
            </w:r>
          </w:p>
        </w:tc>
        <w:tc>
          <w:tcPr>
            <w:tcW w:w="7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SUCCESSOR</w:t>
            </w: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2"/>
              </w:rPr>
              <w:t>SUCCESSOR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Advisory Revenue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110,842</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96,122</w:t>
            </w:r>
          </w:p>
        </w:tc>
        <w:tc>
          <w:tcPr>
            <w:tcW w:w="7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87,659</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295,751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14,584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Income and Other Revenue</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8,622</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125,635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74"/>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125,635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24,115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3,071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2,233</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23,892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4,478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Financing Costs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left="234"/>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59,103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INCOME TAXES AND</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b w:val="1"/>
                <w:bCs w:val="1"/>
                <w:color w:val="auto"/>
              </w:rPr>
              <w:t>MINORITY INTEREST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66,532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68,325</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25,807</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(54,935)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3,372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Minority Interest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15,991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(32,841)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65,951</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(34,495)</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Available to Holders of Shares of</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Class A Common Stock</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left="274"/>
              <w:spacing w:after="0"/>
              <w:rPr>
                <w:sz w:val="20"/>
                <w:szCs w:val="20"/>
                <w:color w:val="auto"/>
              </w:rPr>
            </w:pPr>
            <w:r>
              <w:rPr>
                <w:rFonts w:ascii="Arial" w:cs="Arial" w:eastAsia="Arial" w:hAnsi="Arial"/>
                <w:sz w:val="18"/>
                <w:szCs w:val="18"/>
                <w:color w:val="auto"/>
                <w:w w:val="99"/>
              </w:rPr>
              <w:t>N/A</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632"/>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3,786</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Class A Common Stock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left="274"/>
              <w:spacing w:after="0"/>
              <w:rPr>
                <w:sz w:val="20"/>
                <w:szCs w:val="20"/>
                <w:color w:val="auto"/>
              </w:rPr>
            </w:pPr>
            <w:r>
              <w:rPr>
                <w:rFonts w:ascii="Arial" w:cs="Arial" w:eastAsia="Arial" w:hAnsi="Arial"/>
                <w:sz w:val="18"/>
                <w:szCs w:val="18"/>
                <w:color w:val="auto"/>
                <w:w w:val="99"/>
              </w:rPr>
              <w:t>N/A</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32"/>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74"/>
              <w:spacing w:after="0"/>
              <w:rPr>
                <w:sz w:val="20"/>
                <w:szCs w:val="20"/>
                <w:color w:val="auto"/>
              </w:rPr>
            </w:pPr>
            <w:r>
              <w:rPr>
                <w:rFonts w:ascii="Arial" w:cs="Arial" w:eastAsia="Arial" w:hAnsi="Arial"/>
                <w:sz w:val="18"/>
                <w:szCs w:val="18"/>
                <w:color w:val="auto"/>
                <w:w w:val="99"/>
              </w:rPr>
              <w:t>N/A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4"/>
              </w:rPr>
              <w:t>Net Income (Loss) Per Share Available to Holders of Shares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of Class A Common Stock</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74"/>
              <w:spacing w:after="0"/>
              <w:rPr>
                <w:sz w:val="20"/>
                <w:szCs w:val="20"/>
                <w:color w:val="auto"/>
              </w:rPr>
            </w:pPr>
            <w:r>
              <w:rPr>
                <w:rFonts w:ascii="Arial" w:cs="Arial" w:eastAsia="Arial" w:hAnsi="Arial"/>
                <w:sz w:val="18"/>
                <w:szCs w:val="18"/>
                <w:color w:val="auto"/>
                <w:w w:val="99"/>
              </w:rPr>
              <w:t>N/A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left="274"/>
              <w:spacing w:after="0"/>
              <w:rPr>
                <w:sz w:val="20"/>
                <w:szCs w:val="20"/>
                <w:color w:val="auto"/>
              </w:rPr>
            </w:pPr>
            <w:r>
              <w:rPr>
                <w:rFonts w:ascii="Arial" w:cs="Arial" w:eastAsia="Arial" w:hAnsi="Arial"/>
                <w:sz w:val="18"/>
                <w:szCs w:val="18"/>
                <w:color w:val="auto"/>
                <w:w w:val="99"/>
              </w:rPr>
              <w:t>N/A</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32"/>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0.76</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per Share of Class A Common Stock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74"/>
              <w:spacing w:after="0"/>
              <w:rPr>
                <w:sz w:val="20"/>
                <w:szCs w:val="20"/>
                <w:color w:val="auto"/>
              </w:rPr>
            </w:pPr>
            <w:r>
              <w:rPr>
                <w:rFonts w:ascii="Arial" w:cs="Arial" w:eastAsia="Arial" w:hAnsi="Arial"/>
                <w:sz w:val="18"/>
                <w:szCs w:val="18"/>
                <w:color w:val="auto"/>
                <w:w w:val="99"/>
              </w:rPr>
              <w:t>N/A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63"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COMBINED/CONSOLIDATED STATEMENT OF CHANGES IN MEMBERS’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STOCKHOLDERS’ EQUITY TWELVE MONTHS ENDED DECEMBER 31, 2005, 2006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Class A</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87"/>
              </w:rPr>
              <w:t>Treasury</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7"/>
              </w:rPr>
              <w:t>Additional</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7"/>
                <w:szCs w:val="7"/>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82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5"/>
            <w:vMerge w:val="restart"/>
          </w:tcPr>
          <w:p>
            <w:pPr>
              <w:jc w:val="right"/>
              <w:ind w:right="93"/>
              <w:spacing w:after="0"/>
              <w:rPr>
                <w:sz w:val="20"/>
                <w:szCs w:val="20"/>
                <w:color w:val="auto"/>
              </w:rPr>
            </w:pPr>
            <w:r>
              <w:rPr>
                <w:rFonts w:ascii="Arial" w:cs="Arial" w:eastAsia="Arial" w:hAnsi="Arial"/>
                <w:sz w:val="14"/>
                <w:szCs w:val="14"/>
                <w:b w:val="1"/>
                <w:bCs w:val="1"/>
                <w:color w:val="auto"/>
                <w:w w:val="99"/>
              </w:rPr>
              <w:t>Common Stock</w:t>
            </w:r>
          </w:p>
        </w:tc>
        <w:tc>
          <w:tcPr>
            <w:tcW w:w="1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8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8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Members’</w:t>
            </w:r>
          </w:p>
        </w:tc>
        <w:tc>
          <w:tcPr>
            <w:tcW w:w="1200" w:type="dxa"/>
            <w:vAlign w:val="bottom"/>
            <w:tcBorders>
              <w:bottom w:val="single" w:sz="8" w:color="auto"/>
            </w:tcBorders>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8"/>
                <w:szCs w:val="8"/>
                <w:color w:val="auto"/>
              </w:rPr>
            </w:pPr>
          </w:p>
        </w:tc>
        <w:tc>
          <w:tcPr>
            <w:tcW w:w="10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0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Earnings</w:t>
            </w:r>
          </w:p>
        </w:tc>
        <w:tc>
          <w:tcPr>
            <w:tcW w:w="820" w:type="dxa"/>
            <w:vAlign w:val="bottom"/>
            <w:tcBorders>
              <w:bottom w:val="single" w:sz="8" w:color="auto"/>
            </w:tcBorders>
            <w:gridSpan w:val="4"/>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Equity</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4"/>
              </w:rPr>
              <w:t>Dollars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(Deficit)</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Dollars</w:t>
            </w:r>
          </w:p>
        </w:tc>
        <w:tc>
          <w:tcPr>
            <w:tcW w:w="14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Combined</w:t>
            </w: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January 1, 2005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51,116</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76"/>
              </w:rPr>
              <w:t>163</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Net Income Allocable to Members</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63,152</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Unrealized Gains on Available-For-Sale Securities:</w:t>
            </w:r>
          </w:p>
        </w:tc>
        <w:tc>
          <w:tcPr>
            <w:tcW w:w="10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63,152</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Members’ Contributions</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2,291</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Members’ Distributions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(65,258)</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(65,258)</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2005</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51,301</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34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ind w:left="620"/>
              <w:spacing w:after="0" w:line="155" w:lineRule="exact"/>
              <w:rPr>
                <w:sz w:val="20"/>
                <w:szCs w:val="20"/>
                <w:color w:val="auto"/>
              </w:rPr>
            </w:pPr>
            <w:r>
              <w:rPr>
                <w:rFonts w:ascii="Arial" w:cs="Arial" w:eastAsia="Arial" w:hAnsi="Arial"/>
                <w:sz w:val="14"/>
                <w:szCs w:val="14"/>
                <w:color w:val="auto"/>
                <w:w w:val="76"/>
              </w:rPr>
              <w:t>204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51,505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Allocable to Members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65,951</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65,951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 of Available-For-Sale Securities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Income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65,951</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34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65,747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Members’ Contributions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2,644</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Members’ Distributions</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6"/>
              </w:rPr>
              <w:t>(100,711)</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Members’ Draw</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(6,503)</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Private Equity Funds Distributions</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(3,872)</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Elimination of Non-Contributed Entities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(16,452)</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Capital Issuance Related to Acquisition</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27,510</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Transfer to Minority Interest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(19,868)</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(19,868)</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August 9, 2006</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gridSpan w:val="2"/>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ind w:left="340"/>
              <w:spacing w:after="0" w:line="155"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620"/>
              <w:spacing w:after="0" w:line="155"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300" w:type="dxa"/>
            <w:vAlign w:val="bottom"/>
            <w:shd w:val="clear" w:color="auto" w:fill="CCEEFF"/>
          </w:tcPr>
          <w:p>
            <w:pPr>
              <w:spacing w:after="0" w:line="143" w:lineRule="exact"/>
              <w:rPr>
                <w:sz w:val="20"/>
                <w:szCs w:val="20"/>
                <w:color w:val="auto"/>
              </w:rPr>
            </w:pPr>
            <w:r>
              <w:rPr>
                <w:rFonts w:ascii="Arial" w:cs="Arial" w:eastAsia="Arial" w:hAnsi="Arial"/>
                <w:sz w:val="14"/>
                <w:szCs w:val="14"/>
                <w:i w:val="1"/>
                <w:iCs w:val="1"/>
                <w:color w:val="auto"/>
              </w:rPr>
              <w:t>Consolidated</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August 10, 2006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Net Income Available to Class A Common Shareholders</w:t>
            </w:r>
          </w:p>
        </w:tc>
        <w:tc>
          <w:tcPr>
            <w:tcW w:w="10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3,786</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3,786</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w w:val="96"/>
              </w:rPr>
              <w:t>Proceeds—Issuance of Common Stock, net of $13,995 Issuance Costs</w:t>
            </w:r>
          </w:p>
        </w:tc>
        <w:tc>
          <w:tcPr>
            <w:tcW w:w="10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4,542,500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81,352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Related to Acquisitions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1,817,058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22,813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Units</w:t>
            </w:r>
          </w:p>
        </w:tc>
        <w:tc>
          <w:tcPr>
            <w:tcW w:w="10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4,399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2006</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6,359,558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108,564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3,786</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112,477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tcPr>
          <w:p>
            <w:pPr>
              <w:spacing w:after="0" w:line="138" w:lineRule="exact"/>
              <w:rPr>
                <w:sz w:val="20"/>
                <w:szCs w:val="20"/>
                <w:color w:val="auto"/>
              </w:rPr>
            </w:pPr>
            <w:r>
              <w:rPr>
                <w:rFonts w:ascii="Arial" w:cs="Arial" w:eastAsia="Arial" w:hAnsi="Arial"/>
                <w:sz w:val="14"/>
                <w:szCs w:val="14"/>
                <w:color w:val="auto"/>
                <w:w w:val="94"/>
              </w:rPr>
              <w:t>Adjustment for Cumulative Effect on Prior Years from the Adoption of FIN</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tcPr>
          <w:p>
            <w:pPr>
              <w:ind w:left="200"/>
              <w:spacing w:after="0" w:line="159" w:lineRule="exact"/>
              <w:rPr>
                <w:sz w:val="20"/>
                <w:szCs w:val="20"/>
                <w:color w:val="auto"/>
              </w:rPr>
            </w:pPr>
            <w:r>
              <w:rPr>
                <w:rFonts w:ascii="Arial" w:cs="Arial" w:eastAsia="Arial" w:hAnsi="Arial"/>
                <w:sz w:val="14"/>
                <w:szCs w:val="14"/>
                <w:color w:val="auto"/>
              </w:rPr>
              <w:t>48 (Notes 2 and 18)</w:t>
            </w:r>
          </w:p>
        </w:tc>
        <w:tc>
          <w:tcPr>
            <w:tcW w:w="100" w:type="dxa"/>
            <w:vAlign w:val="bottom"/>
          </w:tcPr>
          <w:p>
            <w:pPr>
              <w:spacing w:after="0"/>
              <w:rPr>
                <w:sz w:val="13"/>
                <w:szCs w:val="13"/>
                <w:color w:val="auto"/>
              </w:rPr>
            </w:pPr>
          </w:p>
        </w:tc>
        <w:tc>
          <w:tcPr>
            <w:tcW w:w="500" w:type="dxa"/>
            <w:vAlign w:val="bottom"/>
          </w:tcPr>
          <w:p>
            <w:pPr>
              <w:ind w:left="3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ind w:left="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34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ind w:left="6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(252)</w:t>
            </w:r>
          </w:p>
        </w:tc>
        <w:tc>
          <w:tcPr>
            <w:tcW w:w="5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Adjusted, at January 1, 2007</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6,359,558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108,564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3,534</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(34,495)</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w w:val="76"/>
              </w:rPr>
              <w:t>534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76"/>
              </w:rPr>
              <w:t>534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(34,495)</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Treasury Stock Purchase</w:t>
            </w:r>
          </w:p>
        </w:tc>
        <w:tc>
          <w:tcPr>
            <w:tcW w:w="10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spacing w:after="0" w:line="149" w:lineRule="exact"/>
              <w:rPr>
                <w:sz w:val="20"/>
                <w:szCs w:val="20"/>
                <w:color w:val="auto"/>
              </w:rPr>
            </w:pPr>
            <w:r>
              <w:rPr>
                <w:rFonts w:ascii="Arial" w:cs="Arial" w:eastAsia="Arial" w:hAnsi="Arial"/>
                <w:sz w:val="14"/>
                <w:szCs w:val="14"/>
                <w:color w:val="auto"/>
              </w:rPr>
              <w:t>(31,903)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(968)</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Follow-On Offering</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1,581,778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42,058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42,074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Evercore LP Units Converted into Class A Common Stock</w:t>
            </w:r>
          </w:p>
        </w:tc>
        <w:tc>
          <w:tcPr>
            <w:tcW w:w="10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3,070,158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16,495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Awards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37,382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37,383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Capital Issuance Related to Acquisition</w:t>
            </w:r>
          </w:p>
        </w:tc>
        <w:tc>
          <w:tcPr>
            <w:tcW w:w="10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159,000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Dividends—Class A Stockholders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(4,651)</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840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11,261,100</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9"/>
              </w:rPr>
              <w:t>113</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208,846</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76"/>
              </w:rPr>
              <w:t>597</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(35,612)</w:t>
            </w:r>
          </w:p>
        </w:tc>
        <w:tc>
          <w:tcPr>
            <w:tcW w:w="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(31,903)</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(968)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172,976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COMBINED/CONSOLIDATED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i w:val="1"/>
                <w:iCs w:val="1"/>
                <w:color w:val="auto"/>
                <w:w w:val="84"/>
              </w:rPr>
              <w:t>Combined</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4"/>
              </w:rPr>
              <w:t>Combined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i w:val="1"/>
                <w:iCs w:val="1"/>
                <w:color w:val="auto"/>
                <w:w w:val="83"/>
              </w:rPr>
              <w:t>Consolidated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i w:val="1"/>
                <w:iCs w:val="1"/>
                <w:color w:val="auto"/>
                <w:w w:val="81"/>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7"/>
              </w:rPr>
              <w:t>For the Twelve</w:t>
            </w:r>
          </w:p>
        </w:tc>
        <w:tc>
          <w:tcPr>
            <w:tcW w:w="340" w:type="dxa"/>
            <w:vAlign w:val="bottom"/>
          </w:tcPr>
          <w:p>
            <w:pPr>
              <w:spacing w:after="0"/>
              <w:rPr>
                <w:sz w:val="12"/>
                <w:szCs w:val="12"/>
                <w:color w:val="auto"/>
              </w:rPr>
            </w:pPr>
          </w:p>
        </w:tc>
        <w:tc>
          <w:tcPr>
            <w:tcW w:w="2940" w:type="dxa"/>
            <w:vAlign w:val="bottom"/>
            <w:gridSpan w:val="6"/>
          </w:tcPr>
          <w:p>
            <w:pPr>
              <w:ind w:left="860"/>
              <w:spacing w:after="0" w:line="142" w:lineRule="exact"/>
              <w:rPr>
                <w:sz w:val="20"/>
                <w:szCs w:val="20"/>
                <w:color w:val="auto"/>
              </w:rPr>
            </w:pPr>
            <w:r>
              <w:rPr>
                <w:rFonts w:ascii="Arial" w:cs="Arial" w:eastAsia="Arial" w:hAnsi="Arial"/>
                <w:sz w:val="14"/>
                <w:szCs w:val="14"/>
                <w:b w:val="1"/>
                <w:bCs w:val="1"/>
                <w:color w:val="auto"/>
              </w:rPr>
              <w:t>For the Period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For the Twelve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4"/>
              </w:rPr>
              <w:t>January 1, 2006</w:t>
            </w: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3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through</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through</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December 31, 2005</w:t>
            </w:r>
          </w:p>
        </w:tc>
        <w:tc>
          <w:tcPr>
            <w:tcW w:w="3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August 9, 2006</w:t>
            </w:r>
          </w:p>
        </w:tc>
        <w:tc>
          <w:tcPr>
            <w:tcW w:w="280" w:type="dxa"/>
            <w:vAlign w:val="bottom"/>
          </w:tcPr>
          <w:p>
            <w:pPr>
              <w:spacing w:after="0"/>
              <w:rPr>
                <w:sz w:val="14"/>
                <w:szCs w:val="1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December 31, 2006</w:t>
            </w:r>
          </w:p>
        </w:tc>
        <w:tc>
          <w:tcPr>
            <w:tcW w:w="28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PREDECESSOR</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PREDECESSOR</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2"/>
              </w:rPr>
              <w:t>SUCCESSOR</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0"/>
              </w:rPr>
              <w:t>SUCCESSOR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63,152</w:t>
            </w:r>
          </w:p>
        </w:tc>
        <w:tc>
          <w:tcPr>
            <w:tcW w:w="3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65,951</w:t>
            </w:r>
          </w:p>
        </w:tc>
        <w:tc>
          <w:tcPr>
            <w:tcW w:w="32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3,786</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(34,495)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Adjustments to Reconcile Net Income (Loss) to Net Cash Provided by (Used in)</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Operating Activities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40" w:type="dxa"/>
            <w:vAlign w:val="bottom"/>
          </w:tcPr>
          <w:p>
            <w:pPr>
              <w:ind w:left="420"/>
              <w:spacing w:after="0" w:line="138" w:lineRule="exact"/>
              <w:rPr>
                <w:sz w:val="20"/>
                <w:szCs w:val="20"/>
                <w:color w:val="auto"/>
              </w:rPr>
            </w:pPr>
            <w:r>
              <w:rPr>
                <w:rFonts w:ascii="Arial" w:cs="Arial" w:eastAsia="Arial" w:hAnsi="Arial"/>
                <w:sz w:val="14"/>
                <w:szCs w:val="14"/>
                <w:color w:val="auto"/>
                <w:w w:val="99"/>
              </w:rPr>
              <w:t>Net Realized and Unrealized Losses (Gains) on Investments and Trading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40" w:type="dxa"/>
            <w:vAlign w:val="bottom"/>
          </w:tcPr>
          <w:p>
            <w:pPr>
              <w:ind w:left="640"/>
              <w:spacing w:after="0" w:line="159" w:lineRule="exact"/>
              <w:rPr>
                <w:sz w:val="20"/>
                <w:szCs w:val="20"/>
                <w:color w:val="auto"/>
              </w:rPr>
            </w:pPr>
            <w:r>
              <w:rPr>
                <w:rFonts w:ascii="Arial" w:cs="Arial" w:eastAsia="Arial" w:hAnsi="Arial"/>
                <w:sz w:val="14"/>
                <w:szCs w:val="14"/>
                <w:color w:val="auto"/>
              </w:rPr>
              <w:t>Securities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998</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(4,685)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(1,937)</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Vesting of Equity Based or Other Deferred Compensation</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4,399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778</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1,273</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3,234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17,421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Bad Debt Expense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15,991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Taxes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(68)</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(1,487)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Trading Securities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(4,158)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(5,752)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860"/>
              <w:spacing w:after="0" w:line="149" w:lineRule="exact"/>
              <w:rPr>
                <w:sz w:val="20"/>
                <w:szCs w:val="20"/>
                <w:color w:val="auto"/>
              </w:rPr>
            </w:pPr>
            <w:r>
              <w:rPr>
                <w:rFonts w:ascii="Arial" w:cs="Arial" w:eastAsia="Arial" w:hAnsi="Arial"/>
                <w:sz w:val="14"/>
                <w:szCs w:val="14"/>
                <w:color w:val="auto"/>
                <w:w w:val="94"/>
              </w:rPr>
              <w:t>Financial Instruments Owned and Pledged as Collateral at Fair Value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24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123,685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Securities Purchased Under Agreements to Resell</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196,141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(5,495)</w:t>
            </w: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3,982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(40,678)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Placement Fees Receivable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2,487</w:t>
            </w: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860"/>
              <w:spacing w:after="0" w:line="149" w:lineRule="exact"/>
              <w:rPr>
                <w:sz w:val="20"/>
                <w:szCs w:val="20"/>
                <w:color w:val="auto"/>
              </w:rPr>
            </w:pPr>
            <w:r>
              <w:rPr>
                <w:rFonts w:ascii="Arial" w:cs="Arial" w:eastAsia="Arial" w:hAnsi="Arial"/>
                <w:sz w:val="14"/>
                <w:szCs w:val="14"/>
                <w:color w:val="auto"/>
              </w:rPr>
              <w:t>Receivable from Employees and Related Parties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1,058</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ind w:left="720"/>
              <w:spacing w:after="0" w:line="149" w:lineRule="exact"/>
              <w:rPr>
                <w:sz w:val="20"/>
                <w:szCs w:val="20"/>
                <w:color w:val="auto"/>
              </w:rPr>
            </w:pPr>
            <w:r>
              <w:rPr>
                <w:rFonts w:ascii="Arial" w:cs="Arial" w:eastAsia="Arial" w:hAnsi="Arial"/>
                <w:sz w:val="14"/>
                <w:szCs w:val="14"/>
                <w:color w:val="auto"/>
                <w:w w:val="76"/>
              </w:rPr>
              <w:t>192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(868)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Current Assets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(641)</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(962)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(5,346)</w:t>
            </w:r>
          </w:p>
        </w:tc>
        <w:tc>
          <w:tcPr>
            <w:tcW w:w="34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(7,138)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(813)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860"/>
              <w:spacing w:after="0" w:line="149" w:lineRule="exact"/>
              <w:rPr>
                <w:sz w:val="20"/>
                <w:szCs w:val="20"/>
                <w:color w:val="auto"/>
              </w:rPr>
            </w:pPr>
            <w:r>
              <w:rPr>
                <w:rFonts w:ascii="Arial" w:cs="Arial" w:eastAsia="Arial" w:hAnsi="Arial"/>
                <w:sz w:val="14"/>
                <w:szCs w:val="14"/>
                <w:color w:val="auto"/>
              </w:rPr>
              <w:t>Accrued Compensation and Benefits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4,355</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2,488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28,235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Expenses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7,561</w:t>
            </w: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w w:val="76"/>
              </w:rPr>
              <w:t>740</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(6,428)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860"/>
              <w:spacing w:after="0" w:line="149" w:lineRule="exact"/>
              <w:rPr>
                <w:sz w:val="20"/>
                <w:szCs w:val="20"/>
                <w:color w:val="auto"/>
              </w:rPr>
            </w:pPr>
            <w:r>
              <w:rPr>
                <w:rFonts w:ascii="Arial" w:cs="Arial" w:eastAsia="Arial" w:hAnsi="Arial"/>
                <w:sz w:val="14"/>
                <w:szCs w:val="14"/>
                <w:color w:val="auto"/>
              </w:rPr>
              <w:t>Securities Sold Under Agreements to Repurchase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24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(319,847)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201,548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Placement Fees Payable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(2,487)</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860"/>
              <w:spacing w:after="0" w:line="149" w:lineRule="exact"/>
              <w:rPr>
                <w:sz w:val="20"/>
                <w:szCs w:val="20"/>
                <w:color w:val="auto"/>
              </w:rPr>
            </w:pPr>
            <w:r>
              <w:rPr>
                <w:rFonts w:ascii="Arial" w:cs="Arial" w:eastAsia="Arial" w:hAnsi="Arial"/>
                <w:sz w:val="14"/>
                <w:szCs w:val="14"/>
                <w:color w:val="auto"/>
              </w:rPr>
              <w:t>Payables to Employees and Related Parties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(143)</w:t>
            </w:r>
          </w:p>
        </w:tc>
        <w:tc>
          <w:tcPr>
            <w:tcW w:w="340" w:type="dxa"/>
            <w:vAlign w:val="bottom"/>
          </w:tcPr>
          <w:p>
            <w:pPr>
              <w:spacing w:after="0"/>
              <w:rPr>
                <w:sz w:val="12"/>
                <w:szCs w:val="12"/>
                <w:color w:val="auto"/>
              </w:rPr>
            </w:pPr>
          </w:p>
        </w:tc>
        <w:tc>
          <w:tcPr>
            <w:tcW w:w="920" w:type="dxa"/>
            <w:vAlign w:val="bottom"/>
          </w:tcPr>
          <w:p>
            <w:pPr>
              <w:ind w:left="720"/>
              <w:spacing w:after="0" w:line="149" w:lineRule="exact"/>
              <w:rPr>
                <w:sz w:val="20"/>
                <w:szCs w:val="20"/>
                <w:color w:val="auto"/>
              </w:rPr>
            </w:pPr>
            <w:r>
              <w:rPr>
                <w:rFonts w:ascii="Arial" w:cs="Arial" w:eastAsia="Arial" w:hAnsi="Arial"/>
                <w:sz w:val="14"/>
                <w:szCs w:val="14"/>
                <w:color w:val="auto"/>
                <w:w w:val="76"/>
              </w:rPr>
              <w:t>589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(5,695)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Taxes Payable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5,385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860"/>
              <w:spacing w:after="0" w:line="149" w:lineRule="exact"/>
              <w:rPr>
                <w:sz w:val="20"/>
                <w:szCs w:val="20"/>
                <w:color w:val="auto"/>
              </w:rPr>
            </w:pPr>
            <w:r>
              <w:rPr>
                <w:rFonts w:ascii="Arial" w:cs="Arial" w:eastAsia="Arial" w:hAnsi="Arial"/>
                <w:sz w:val="14"/>
                <w:szCs w:val="14"/>
                <w:color w:val="auto"/>
              </w:rPr>
              <w:t>Other Current Liabilities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(59)</w:t>
            </w:r>
          </w:p>
        </w:tc>
        <w:tc>
          <w:tcPr>
            <w:tcW w:w="340" w:type="dxa"/>
            <w:vAlign w:val="bottom"/>
          </w:tcPr>
          <w:p>
            <w:pPr>
              <w:spacing w:after="0"/>
              <w:rPr>
                <w:sz w:val="12"/>
                <w:szCs w:val="12"/>
                <w:color w:val="auto"/>
              </w:rPr>
            </w:pPr>
          </w:p>
        </w:tc>
        <w:tc>
          <w:tcPr>
            <w:tcW w:w="920" w:type="dxa"/>
            <w:vAlign w:val="bottom"/>
          </w:tcPr>
          <w:p>
            <w:pPr>
              <w:ind w:left="720"/>
              <w:spacing w:after="0" w:line="149" w:lineRule="exact"/>
              <w:rPr>
                <w:sz w:val="20"/>
                <w:szCs w:val="20"/>
                <w:color w:val="auto"/>
              </w:rPr>
            </w:pPr>
            <w:r>
              <w:rPr>
                <w:rFonts w:ascii="Arial" w:cs="Arial" w:eastAsia="Arial" w:hAnsi="Arial"/>
                <w:sz w:val="14"/>
                <w:szCs w:val="14"/>
                <w:color w:val="auto"/>
                <w:w w:val="76"/>
              </w:rPr>
              <w:t>815</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(1,957)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Long-term Liabilities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7,611</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66,682</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59,124</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(5,407)</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146,175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5,010</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3,497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2,536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Acquired from Acquisitions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1,370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Cash Paid for Acquisition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24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Restricted Cash</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(679)</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(547)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Investments Purchased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(5,793)</w:t>
            </w:r>
          </w:p>
        </w:tc>
        <w:tc>
          <w:tcPr>
            <w:tcW w:w="34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(8,202)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(476)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Furniture, Equipment and Leasehold Improvements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(1,024)</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(1,272)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(912)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Elimination of Non-Contributed Entities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(2,486)</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(2,059)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1,971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(7,565)</w:t>
            </w:r>
          </w:p>
        </w:tc>
        <w:tc>
          <w:tcPr>
            <w:tcW w:w="0" w:type="dxa"/>
            <w:vAlign w:val="bottom"/>
          </w:tcPr>
          <w:p>
            <w:pPr>
              <w:spacing w:after="0"/>
              <w:rPr>
                <w:sz w:val="1"/>
                <w:szCs w:val="1"/>
                <w:color w:val="auto"/>
              </w:rPr>
            </w:pPr>
          </w:p>
        </w:tc>
      </w:tr>
      <w:tr>
        <w:trPr>
          <w:trHeight w:val="156"/>
        </w:trPr>
        <w:tc>
          <w:tcPr>
            <w:tcW w:w="4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for Capital Lease Obligations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(147)</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Contribution from Members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2,291</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2,644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Capital Contributions from Minority Interest Members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Distributions to Minority Interests—Evercore LP Members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(65,258)</w:t>
            </w:r>
          </w:p>
        </w:tc>
        <w:tc>
          <w:tcPr>
            <w:tcW w:w="34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(111,086)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from Initial Public Offering</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88,590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Net Proceeds from Follow—On Offering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24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42,074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Notes Payable—Protego</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(6,050)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Short-term Borrowings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Issuance Costs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(607)</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Dividends—Class A Stockholders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24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Treasury Stock Purchased</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ind w:left="7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Provided by Financing Activities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(63,720)</w:t>
            </w: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(78,562)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52,455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(10,519)</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 OF EXCHANGE RATE CHANGES ON CASH</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ind w:left="720"/>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43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w:t>
            </w: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(21,497)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49,062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128,055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EQUIVALENTS-Beginning of Period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37,379</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37,855</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16,358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EQUIVALENTS-End of Period</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37,855</w:t>
            </w: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16,358</w:t>
            </w: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65,420</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193,475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COMBINED/CONSOLIDATED STATEMENTS OF CASH FLOWS—(Continued)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i w:val="1"/>
                <w:iCs w:val="1"/>
                <w:color w:val="auto"/>
                <w:w w:val="84"/>
              </w:rPr>
              <w:t>Combined</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i w:val="1"/>
                <w:iCs w:val="1"/>
                <w:color w:val="auto"/>
                <w:w w:val="81"/>
              </w:rPr>
              <w:t>Combined</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i w:val="1"/>
                <w:iCs w:val="1"/>
                <w:color w:val="auto"/>
                <w:w w:val="81"/>
              </w:rPr>
              <w:t>Consolidated</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i w:val="1"/>
                <w:iCs w:val="1"/>
                <w:color w:val="auto"/>
                <w:w w:val="83"/>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87"/>
              </w:rPr>
              <w:t>For the Twelve</w:t>
            </w:r>
          </w:p>
        </w:tc>
        <w:tc>
          <w:tcPr>
            <w:tcW w:w="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7"/>
              </w:rPr>
              <w:t>For the Period</w:t>
            </w: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For the Twelve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jc w:val="center"/>
              <w:ind w:right="332"/>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412"/>
              <w:spacing w:after="0" w:line="149" w:lineRule="exact"/>
              <w:rPr>
                <w:sz w:val="20"/>
                <w:szCs w:val="20"/>
                <w:color w:val="auto"/>
              </w:rPr>
            </w:pPr>
            <w:r>
              <w:rPr>
                <w:rFonts w:ascii="Arial" w:cs="Arial" w:eastAsia="Arial" w:hAnsi="Arial"/>
                <w:sz w:val="14"/>
                <w:szCs w:val="14"/>
                <w:b w:val="1"/>
                <w:bCs w:val="1"/>
                <w:color w:val="auto"/>
                <w:w w:val="90"/>
              </w:rPr>
              <w:t>through</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through</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2005</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w w:val="82"/>
              </w:rPr>
              <w:t>August 9, 2006</w:t>
            </w:r>
          </w:p>
        </w:tc>
        <w:tc>
          <w:tcPr>
            <w:tcW w:w="3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 2006</w:t>
            </w:r>
          </w:p>
        </w:tc>
        <w:tc>
          <w:tcPr>
            <w:tcW w:w="3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PREDECESSOR</w:t>
            </w:r>
          </w:p>
        </w:tc>
        <w:tc>
          <w:tcPr>
            <w:tcW w:w="70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PREDECESSOR</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0"/>
              </w:rPr>
              <w:t>SUCCESSOR</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2"/>
              </w:rPr>
              <w:t>SUCCESSOR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SUPPLEMENTAL CASH FLOW DISCLOSURE</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Payments for Interest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780" w:type="dxa"/>
            <w:vAlign w:val="bottom"/>
            <w:gridSpan w:val="2"/>
          </w:tcPr>
          <w:p>
            <w:pPr>
              <w:ind w:left="700"/>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917</w:t>
            </w:r>
          </w:p>
        </w:tc>
        <w:tc>
          <w:tcPr>
            <w:tcW w:w="44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6,995</w:t>
            </w:r>
          </w:p>
        </w:tc>
        <w:tc>
          <w:tcPr>
            <w:tcW w:w="4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18,263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Payments for Income Taxes</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3,276</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3,808</w:t>
            </w: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360"/>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2,293</w:t>
            </w:r>
          </w:p>
        </w:tc>
        <w:tc>
          <w:tcPr>
            <w:tcW w:w="44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23,598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4"/>
                <w:szCs w:val="14"/>
                <w:color w:val="auto"/>
              </w:rPr>
              <w:t>Fixed Assets Acquired Under Capital Leases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gridSpan w:val="2"/>
            <w:vMerge w:val="continue"/>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tcPr>
          <w:p>
            <w:pPr>
              <w:ind w:left="800"/>
              <w:spacing w:after="0" w:line="143" w:lineRule="exact"/>
              <w:rPr>
                <w:sz w:val="20"/>
                <w:szCs w:val="20"/>
                <w:color w:val="auto"/>
              </w:rPr>
            </w:pPr>
            <w:r>
              <w:rPr>
                <w:rFonts w:ascii="Arial" w:cs="Arial" w:eastAsia="Arial" w:hAnsi="Arial"/>
                <w:sz w:val="14"/>
                <w:szCs w:val="14"/>
                <w:color w:val="auto"/>
                <w:w w:val="76"/>
              </w:rPr>
              <w:t>124</w:t>
            </w:r>
          </w:p>
        </w:tc>
        <w:tc>
          <w:tcPr>
            <w:tcW w:w="780" w:type="dxa"/>
            <w:vAlign w:val="bottom"/>
            <w:gridSpan w:val="2"/>
          </w:tcPr>
          <w:p>
            <w:pPr>
              <w:ind w:left="700"/>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92"/>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360"/>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gridSpan w:val="2"/>
          </w:tcPr>
          <w:p>
            <w:pPr>
              <w:ind w:left="8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340"/>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8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Leasehold Improvements Accrued</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800"/>
              <w:spacing w:after="0" w:line="143"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360"/>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ind w:left="8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1,367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4"/>
                <w:szCs w:val="14"/>
                <w:color w:val="auto"/>
              </w:rPr>
              <w:t>Evercore LP Units Converted Into Class A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gridSpan w:val="2"/>
            <w:vMerge w:val="continue"/>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tcPr>
          <w:p>
            <w:pPr>
              <w:ind w:left="80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700"/>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92"/>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360"/>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gridSpan w:val="2"/>
          </w:tcPr>
          <w:p>
            <w:pPr>
              <w:ind w:left="8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340"/>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16,495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Cumulative Effect on Prior Years from the Adoption of FIN 48 (Notes 2, 13</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18)</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700"/>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w w:val="76"/>
              </w:rPr>
              <w:t>671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ind w:left="800"/>
              <w:spacing w:after="0" w:line="149" w:lineRule="exact"/>
              <w:rPr>
                <w:sz w:val="20"/>
                <w:szCs w:val="20"/>
                <w:color w:val="auto"/>
              </w:rPr>
            </w:pPr>
            <w:r>
              <w:rPr>
                <w:rFonts w:ascii="Arial" w:cs="Arial" w:eastAsia="Arial" w:hAnsi="Arial"/>
                <w:sz w:val="14"/>
                <w:szCs w:val="14"/>
                <w:color w:val="auto"/>
                <w:w w:val="76"/>
              </w:rPr>
              <w:t>252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ind w:left="80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700"/>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92"/>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360"/>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gridSpan w:val="2"/>
          </w:tcPr>
          <w:p>
            <w:pPr>
              <w:ind w:left="800"/>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800"/>
              <w:spacing w:after="0" w:line="155" w:lineRule="exact"/>
              <w:rPr>
                <w:sz w:val="20"/>
                <w:szCs w:val="20"/>
                <w:color w:val="auto"/>
              </w:rPr>
            </w:pPr>
            <w:r>
              <w:rPr>
                <w:rFonts w:ascii="Arial" w:cs="Arial" w:eastAsia="Arial" w:hAnsi="Arial"/>
                <w:sz w:val="14"/>
                <w:szCs w:val="14"/>
                <w:color w:val="auto"/>
                <w:w w:val="85"/>
              </w:rPr>
              <w:t>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Non-Cash Distribution of Available-For-Sale Securities</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80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700"/>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332"/>
              <w:spacing w:after="0" w:line="143" w:lineRule="exact"/>
              <w:rPr>
                <w:sz w:val="20"/>
                <w:szCs w:val="20"/>
                <w:color w:val="auto"/>
              </w:rPr>
            </w:pPr>
            <w:r>
              <w:rPr>
                <w:rFonts w:ascii="Arial" w:cs="Arial" w:eastAsia="Arial" w:hAnsi="Arial"/>
                <w:sz w:val="14"/>
                <w:szCs w:val="14"/>
                <w:color w:val="auto"/>
              </w:rPr>
              <w:t>416</w:t>
            </w:r>
          </w:p>
        </w:tc>
        <w:tc>
          <w:tcPr>
            <w:tcW w:w="440" w:type="dxa"/>
            <w:vAlign w:val="bottom"/>
            <w:gridSpan w:val="2"/>
            <w:shd w:val="clear" w:color="auto" w:fill="CCEEFF"/>
          </w:tcPr>
          <w:p>
            <w:pPr>
              <w:ind w:left="360"/>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ind w:left="8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800"/>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4"/>
                <w:szCs w:val="14"/>
                <w:color w:val="auto"/>
              </w:rPr>
              <w:t>Purchase of Protego &amp; Braveheart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Non-Interest-Bearing Evercore LP Notes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7,000</w:t>
            </w:r>
          </w:p>
        </w:tc>
        <w:tc>
          <w:tcPr>
            <w:tcW w:w="4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Interest bearing Evercore Partners Inc. Notes</w:t>
            </w: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3,000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Evercore Class A Shares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21,882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Evercore LP Partnership Units</w:t>
            </w: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27,510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costs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3,420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2,529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Cash Paid</w:t>
            </w: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392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Purchase Price</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37,930</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27,803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(6,582)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Instruments Owned and Pledged, Fair Value</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(198,511)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(207,596)</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(613)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(1,670)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Fixed Assets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(990)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Intangible Assets</w:t>
            </w: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(3,480)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(22,254)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Goodwill</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(30,986)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(6,829)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(483)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2,756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4,556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Securities Sold Under Agreements to Repurchase</w:t>
            </w: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406,150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 Payable</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6,375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1,059</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0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Acquired from Purchase</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3,972</w:t>
            </w:r>
          </w:p>
        </w:tc>
        <w:tc>
          <w:tcPr>
            <w:tcW w:w="4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1,762</w:t>
            </w:r>
          </w:p>
        </w:tc>
        <w:tc>
          <w:tcPr>
            <w:tcW w:w="4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4"/>
                <w:szCs w:val="14"/>
                <w:color w:val="auto"/>
              </w:rPr>
              <w:t>Elimination of Non-Contributed Entities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Members’ Equity of Non-Contributed Entities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16,452</w:t>
            </w:r>
          </w:p>
        </w:tc>
        <w:tc>
          <w:tcPr>
            <w:tcW w:w="4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Due To/From Members and Employees</w:t>
            </w: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1,255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Due To/From Uncombined Affiliates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(1,257)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(16,757)</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88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273</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0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Withdrawal from General Partner Entity</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4"/>
                <w:szCs w:val="14"/>
                <w:color w:val="auto"/>
              </w:rPr>
              <w:t>Issuance of Common Stock to Repay Note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gridSpan w:val="2"/>
            <w:vMerge w:val="continue"/>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tcPr>
          <w:p>
            <w:pPr>
              <w:ind w:left="80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700"/>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92"/>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360"/>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gridSpan w:val="2"/>
          </w:tcPr>
          <w:p>
            <w:pPr>
              <w:ind w:left="800"/>
              <w:spacing w:after="0" w:line="143" w:lineRule="exact"/>
              <w:rPr>
                <w:sz w:val="20"/>
                <w:szCs w:val="20"/>
                <w:color w:val="auto"/>
              </w:rPr>
            </w:pPr>
            <w:r>
              <w:rPr>
                <w:rFonts w:ascii="Arial" w:cs="Arial" w:eastAsia="Arial" w:hAnsi="Arial"/>
                <w:sz w:val="14"/>
                <w:szCs w:val="14"/>
                <w:color w:val="auto"/>
              </w:rPr>
              <w:t>950</w:t>
            </w:r>
          </w:p>
        </w:tc>
        <w:tc>
          <w:tcPr>
            <w:tcW w:w="440" w:type="dxa"/>
            <w:vAlign w:val="bottom"/>
            <w:gridSpan w:val="2"/>
          </w:tcPr>
          <w:p>
            <w:pPr>
              <w:ind w:left="340"/>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8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Non-Cash deferred Initial Public Offering Costs</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800"/>
              <w:spacing w:after="0" w:line="143"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360"/>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7,193</w:t>
            </w:r>
          </w:p>
        </w:tc>
        <w:tc>
          <w:tcPr>
            <w:tcW w:w="44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800"/>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4"/>
                <w:szCs w:val="14"/>
                <w:color w:val="auto"/>
              </w:rPr>
              <w:t>Transfer of Members’ Equity to Minority Interest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gridSpan w:val="2"/>
            <w:vMerge w:val="continue"/>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tcPr>
          <w:p>
            <w:pPr>
              <w:ind w:left="80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700"/>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32"/>
              <w:spacing w:after="0" w:line="143" w:lineRule="exact"/>
              <w:rPr>
                <w:sz w:val="20"/>
                <w:szCs w:val="20"/>
                <w:color w:val="auto"/>
              </w:rPr>
            </w:pPr>
            <w:r>
              <w:rPr>
                <w:rFonts w:ascii="Arial" w:cs="Arial" w:eastAsia="Arial" w:hAnsi="Arial"/>
                <w:sz w:val="14"/>
                <w:szCs w:val="14"/>
                <w:color w:val="auto"/>
              </w:rPr>
              <w:t>19,868</w:t>
            </w:r>
          </w:p>
        </w:tc>
        <w:tc>
          <w:tcPr>
            <w:tcW w:w="440" w:type="dxa"/>
            <w:vAlign w:val="bottom"/>
            <w:gridSpan w:val="2"/>
          </w:tcPr>
          <w:p>
            <w:pPr>
              <w:ind w:left="360"/>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gridSpan w:val="2"/>
          </w:tcPr>
          <w:p>
            <w:pPr>
              <w:ind w:left="8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340"/>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8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Evercore Partners Inc. and subsidiaries (the “Successor Company”) is an investment banking firm, incorporated in Delaware on July 21, 2005 and headquartered in New York, New York. The Successor Company is a holding company which owns a controlling equity interest in Evercore LP. The Successor Company is the sole general partner of Evercore LP and, through Evercore LP and its operating entity subsidiaries, the Successor Company has continued to conduct the same business as prior to the reorganization referred to below by certain combined and consolidated entities under the common ownership and control of the Evercore Senior Managing Directors (the “Members”), including the two founding Members (the “Founding Members”).</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On August 10, 2006, pursuant to a contribution and sale agreement dated May 12, 2006, (1) the Members contributed to Evercore LP each of the various entities included in the historical combined financial statements of Evercore Holdings (the “Predecessor Company”), with the exception of the general partners of Evercore Capital Partners L.P. and its affiliated entities (collectively “ECP I”), Evercore Capital Partners II L.P. and its affiliated entities (collectively, “ECP II”) and Evercore Venture Partners L.P. and its affiliated entities (collectively, “EVP”), which are Company-sponsored private equity funds, and of Evercore Founders L.L.C. and Evercore Founders Cayman Ltd., which are the entities through which the Founding Members fund their additional commitments to ECP I (collectively, the “Founders”) and acquired an interest in the general partner of ECP II, which will permit Evercore LP to receive 8% to 9% (depending on the particular fund investment) of any carried interest from that fund following the contribution (the “Formation Transaction”) and (2) Evercore LP acquired Protego Asesores S. de R.L. and its subsidiaries and Protego SI, S.C. (“Protego”) from its directors and other stockholders. On August 16, 2006, the Company completed the Initial Public Offering (“IPO”) of its Class A common stock. The Formation Transaction and IPO are collectively referred to as the “Reorganization.” On December 19, 2006, the Company acquired all of the outstanding shares of Braveheart Financial Services Limited (“Braveheart”) pursuant to a purchase and sale agreement dated July 31, 2006. Subsequently, Braveheart was renamed Evercore Partners Limited (“Evercore Europe”). Where reference is made to the periods prior and subsequent to the IPO, the term “the Company” refers to the Predecessor Company and Successor Company, respectively.</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Successor Company’s consolidated financial statements include the accounts of the Company’s subsidiaries. The sole direct subsidiary of the Company is Evercore LP. The principal direct and indirect subsidiaries of Evercore LP are as follows:</w:t>
      </w:r>
    </w:p>
    <w:p>
      <w:pPr>
        <w:spacing w:after="0" w:line="51" w:lineRule="exact"/>
        <w:rPr>
          <w:sz w:val="20"/>
          <w:szCs w:val="20"/>
          <w:color w:val="auto"/>
        </w:rPr>
      </w:pPr>
    </w:p>
    <w:p>
      <w:pPr>
        <w:ind w:left="900" w:right="2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Evercore Group Holdings L.P. (“EGH”), which indirectly, through its wholly-owned subsidiary, Evercore Partners Services East L.L.C. (“East”), a Delaware limited liability company, owns all of the interests in each of the following entities:</w:t>
      </w:r>
    </w:p>
    <w:p>
      <w:pPr>
        <w:spacing w:after="0" w:line="50" w:lineRule="exact"/>
        <w:rPr>
          <w:rFonts w:ascii="Arial" w:cs="Arial" w:eastAsia="Arial" w:hAnsi="Arial"/>
          <w:sz w:val="18"/>
          <w:szCs w:val="18"/>
          <w:color w:val="auto"/>
        </w:rPr>
      </w:pPr>
    </w:p>
    <w:p>
      <w:pPr>
        <w:ind w:left="1480" w:right="180" w:hanging="446"/>
        <w:spacing w:after="0" w:line="306" w:lineRule="auto"/>
        <w:tabs>
          <w:tab w:leader="none" w:pos="14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Evercore Group L.L.C. (“EGL”), a registered broker-dealer under the Securities Exchange Act of 1934, as amended (the “Exchange Act”), and is registered with the Financial Industry Regulatory Authority. EGL is a limited service entity, which specializes in rendering selected financial advisory services. EGL was converted to a limited liability company from an S corporation on April 19, 2006;</w:t>
      </w:r>
    </w:p>
    <w:p>
      <w:pPr>
        <w:spacing w:after="0" w:line="25" w:lineRule="exact"/>
        <w:rPr>
          <w:rFonts w:ascii="Arial" w:cs="Arial" w:eastAsia="Arial" w:hAnsi="Arial"/>
          <w:sz w:val="16"/>
          <w:szCs w:val="16"/>
          <w:color w:val="auto"/>
        </w:rPr>
      </w:pPr>
    </w:p>
    <w:p>
      <w:pPr>
        <w:ind w:left="1480" w:hanging="446"/>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Evercore Advisors L.L.C., a Delaware limited liability company, provides investment advisory services to ECP II;</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Evercore Venture Advisors L.L.C., a Delaware limited liability company, provides investment advisory services to EVP;</w:t>
      </w:r>
    </w:p>
    <w:p>
      <w:pPr>
        <w:spacing w:after="0" w:line="90" w:lineRule="exact"/>
        <w:rPr>
          <w:rFonts w:ascii="Arial" w:cs="Arial" w:eastAsia="Arial" w:hAnsi="Arial"/>
          <w:sz w:val="18"/>
          <w:szCs w:val="18"/>
          <w:color w:val="auto"/>
        </w:rPr>
      </w:pPr>
    </w:p>
    <w:p>
      <w:pPr>
        <w:ind w:left="1480" w:right="200" w:hanging="446"/>
        <w:spacing w:after="0" w:line="268"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Evercore Advisors I L.L.C., a Delaware limited liability company, provides investment advisory services to ECP I. Evercore Advisors Inc. was converted into Evercore Advisors I L.L.C. on August 10,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Evercore GP Holdings L.L.C., (“GP Holdings”), which is a non-managing member of the general partner of ECP II.</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Protego SI, S.C., a Mexican company whose main activity is the provision of advisory and related services.</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Protego, which, together with Evercore LP, owns all of the interests in Protego Casa de Bolsa, S.A. de C.V. (“PCB”) and Protego CB Servicios, S. de R.L. (“PCBS”). PCB and PCBS were established for Protego’s asset management business and are 70% and 70.6% respectively, directly owned by EVR. The remaining interest in these entities is held by third party outsiders.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Evercore Europe, a U.K. company whose main activity is the provision of advisory and related services.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Predecessor Company, prior to the Reorganization referred to above, was comprised of certain combined entities under the common control of the Members.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combined financial statements of the Predecessor are comprised of the following entities:</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EGH and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Evercore Group Holdings L.L.C.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Evercore Partners L.L.C., Evercore Offshore Partners Ltd. and Evercore Partners Cayman L.P. are the general partners of various ECP I entities.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Evercore Partners II L.L.C. and Evercore Venture Management L.L.C. (“EVM”) are the general partners of ECP II and EVP, respectively.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Founders are the entities through which the Founding Members fund their additional commitments to ECP 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activities are divided into two reportable segments:</w:t>
      </w:r>
    </w:p>
    <w:p>
      <w:pPr>
        <w:spacing w:after="0" w:line="9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Advisory – includes advice on mergers, acquisitions, divestitures, leveraged buyouts, restructurings and similar corporate finance matters and</w:t>
      </w:r>
    </w:p>
    <w:p>
      <w:pPr>
        <w:spacing w:after="0" w:line="113" w:lineRule="exact"/>
        <w:rPr>
          <w:rFonts w:ascii="Arial" w:cs="Arial" w:eastAsia="Arial" w:hAnsi="Arial"/>
          <w:sz w:val="16"/>
          <w:szCs w:val="16"/>
          <w:color w:val="auto"/>
        </w:rPr>
      </w:pPr>
    </w:p>
    <w:p>
      <w:pPr>
        <w:ind w:left="900" w:right="120" w:hanging="325"/>
        <w:spacing w:after="0" w:line="289"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Investment Management – prior to the IPO, Investment Management includes the management of outside capital invested in the Company’s sponsored private equity funds: ECP I, ECP II and EVP, the Company’s principal investments in ECP I, ECP II and EVP, and the Company’s investments in, and managed by, Evercore Asset Management L.L.C. (“EAM”). Subsequent to the IPO, Investment Management includes the management of outside capital invested in the Company’s sponsored private equity funds: ECP I, ECP II, EVP and Discovery Americas I, L.P. (the “Discovery Fund”), the Company’s principal investments in ECP II, Discovery Fund and EAM. Where reference is made to the periods prior and subsequent to the IPO, the term “Private Equity Funds” refers to the Company’s principal investments in the respective private equity funds mentioned above. Each of the Private Equity Funds is managed by its own general partners and outside investors participate in the Private Equity Funds as limited partners. Investment Management also includes the management of outside funds by PCB.</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 combined/consolidated financial statements are prepared in conformity with accounting principles generally accepted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of America (“U.S. GAAP”).</w:t>
      </w:r>
    </w:p>
    <w:p>
      <w:pPr>
        <w:spacing w:after="0" w:line="132"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The Company’s policy is to consolidate all subsidiaries in which it has a controlling financial interest as well as variable interest entities where the Company is deemed to be the primary beneficiary. All intercompany balances and transactions with the Company’s subsidiaries have been eliminated upon consolidation.</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combined/consolidated financial statements of the Company are comprised of the consolidation of Evercore LP, EGH and its general partner, GP Holdings, Evercore LP’s wholly-owned subsidiaries, Protego and Evercore Europe and, prior to the Reorganization, the combination of its general partners of the Private Equity Funds and Founders, entities that were wholly-owned or controlled by the Company.</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accounted for the Formation Transaction substantially by using the Members’ historical cost of the assets acquired and liabilities assumed and recorded minority interest to reflect the Members’ ongoing ownership in Evercore LP. At the time of the Formation Transaction, Members received Evercore LP partnership units in consideration for their contribution of the various entities included in the historical combined financial statements of the Predecessor. The Evercore LP partnership units are, subject to vesting requirements and transfer restrictions, exchangeable on a one-for-one basis for shares of Class A common stock. The Company accounts for subsequent exchanges of Evercore LP partnership units for shares of Class A common stock of the Company based on the carrying amounts of the Members’ Evercore LP partnership units immediately before the exchange.</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Subsequent to the IPO, the Company became the sole general partner of Evercore LP. The Company’s interest in Evercore LP is within the scope of the Emerging Issues Task Force Issue No. 04-5, </w:t>
      </w:r>
      <w:r>
        <w:rPr>
          <w:rFonts w:ascii="Arial" w:cs="Arial" w:eastAsia="Arial" w:hAnsi="Arial"/>
          <w:sz w:val="16"/>
          <w:szCs w:val="16"/>
          <w:i w:val="1"/>
          <w:iCs w:val="1"/>
          <w:color w:val="auto"/>
        </w:rPr>
        <w:t>Determining Whether a General Partner, or the General Partners as a Group, Controls a Limited Partnership or</w:t>
      </w:r>
      <w:r>
        <w:rPr>
          <w:rFonts w:ascii="Arial" w:cs="Arial" w:eastAsia="Arial" w:hAnsi="Arial"/>
          <w:sz w:val="16"/>
          <w:szCs w:val="16"/>
          <w:color w:val="auto"/>
        </w:rPr>
        <w:t xml:space="preserve"> </w:t>
      </w:r>
      <w:r>
        <w:rPr>
          <w:rFonts w:ascii="Arial" w:cs="Arial" w:eastAsia="Arial" w:hAnsi="Arial"/>
          <w:sz w:val="16"/>
          <w:szCs w:val="16"/>
          <w:i w:val="1"/>
          <w:iCs w:val="1"/>
          <w:color w:val="auto"/>
        </w:rPr>
        <w:t>Similar Entity When the Limited Partners Have Certain Rights</w:t>
      </w:r>
      <w:r>
        <w:rPr>
          <w:rFonts w:ascii="Arial" w:cs="Arial" w:eastAsia="Arial" w:hAnsi="Arial"/>
          <w:sz w:val="16"/>
          <w:szCs w:val="16"/>
          <w:color w:val="auto"/>
        </w:rPr>
        <w:t>. Although the Company has a minority economic interest in Evercore LP, it has a majority voting</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and controls the management of Evercore LP. Additionally, although the limited partners have an economic majority of Evercore LP, they do not have the right to dissolve the partnership or substantive kick-out rights or participating rights, and therefore lack the ability to control Evercore LP. Accordingly, the Company consolidates Evercore LP and records minority interest for the economic interest in Evercore LP held directly by the Members.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in non-majority-owned companies in which the Company has significant influence are accounted for by the Company using the equity method.</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 During 2007, certain balances for prior periods have been reclassified to conform to their current presentation. These reclassifications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w:t>
      </w:r>
    </w:p>
    <w:p>
      <w:pPr>
        <w:spacing w:after="0" w:line="5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Reclassification of hedge fund investment balances from Investments to Trading Securities on the Consolidated Statements of Financial Condition.</w:t>
      </w:r>
    </w:p>
    <w:p>
      <w:pPr>
        <w:spacing w:after="0" w:line="113"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Reclassification of certain fees within Evercore’s Public Securities business from Interest Income and Other Revenue to Investment Management Revenue on the Combined/Consolidated Statements of Operations.</w:t>
      </w:r>
    </w:p>
    <w:p>
      <w:pPr>
        <w:spacing w:after="0" w:line="5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Reclassification of the deferred tax liability from Taxes Payable to Other Long-term Liabilities on the Consolidated Statements of Financial Condition.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accounting policies apply to both the Predecessor Company and Successor Company unless otherwise specified.</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 Accounts Receivable consists primarily of advisory fees and expense reimbursements charged to the Company’s clients.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 are reported net of any allowance for doubtful accounts.</w:t>
      </w:r>
    </w:p>
    <w:p>
      <w:pPr>
        <w:spacing w:after="0" w:line="132"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Furniture, Equipment and Leasehold Improvements </w:t>
      </w:r>
      <w:r>
        <w:rPr>
          <w:rFonts w:ascii="Arial" w:cs="Arial" w:eastAsia="Arial" w:hAnsi="Arial"/>
          <w:sz w:val="18"/>
          <w:szCs w:val="18"/>
          <w:color w:val="auto"/>
        </w:rPr>
        <w:t>– Fixed assets, including office equipment, hardware and software and leasehold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at cost, net of 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143"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Advisory Revenue </w:t>
      </w:r>
      <w:r>
        <w:rPr>
          <w:rFonts w:ascii="Arial" w:cs="Arial" w:eastAsia="Arial" w:hAnsi="Arial"/>
          <w:sz w:val="16"/>
          <w:szCs w:val="16"/>
          <w:color w:val="auto"/>
        </w:rPr>
        <w:t>– The Company earns advisory revenue through: 1) success fees based on the occurrence of certain events which may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announcements or completion of various types of financial transactions; 2) retainer arrangements and 3) fairness opinions.</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recognizes advisory revenue when: 1) there is evidence of an arrangement with a client; 2) agreed upon services have been provided; 3) fees are fixed or determinable and 4) collection is reasonably assured.</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Fees paid in advance of services rendered are initially recorded as deferred revenue, which is recorded within Other Current Liabilities on the Consolidated Statements of Financial Condition, and recognized as advisory revenue ratably over the period in which the related service is rendered.</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Investment Management Revenue </w:t>
      </w:r>
      <w:r>
        <w:rPr>
          <w:rFonts w:ascii="Arial" w:cs="Arial" w:eastAsia="Arial" w:hAnsi="Arial"/>
          <w:sz w:val="18"/>
          <w:szCs w:val="18"/>
          <w:color w:val="auto"/>
        </w:rPr>
        <w:t>– Our Investment Management business generates revenues from the management of the Private Equity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securities asset management products.</w:t>
      </w:r>
    </w:p>
    <w:p>
      <w:pPr>
        <w:spacing w:after="0" w:line="132"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b w:val="1"/>
          <w:bCs w:val="1"/>
          <w:i w:val="1"/>
          <w:iCs w:val="1"/>
          <w:color w:val="auto"/>
        </w:rPr>
        <w:t xml:space="preserve">Private Equity Revenue </w:t>
      </w:r>
      <w:r>
        <w:rPr>
          <w:rFonts w:ascii="Arial" w:cs="Arial" w:eastAsia="Arial" w:hAnsi="Arial"/>
          <w:sz w:val="18"/>
          <w:szCs w:val="18"/>
          <w:color w:val="auto"/>
        </w:rPr>
        <w:t>– Private equity revenue sources include Management and Performance fees, Portfolio Company fees and Gains (Losses)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Private Equity Funds.</w:t>
      </w:r>
    </w:p>
    <w:p>
      <w:pPr>
        <w:spacing w:after="0" w:line="132" w:lineRule="exact"/>
        <w:rPr>
          <w:sz w:val="20"/>
          <w:szCs w:val="20"/>
          <w:color w:val="auto"/>
        </w:rPr>
      </w:pPr>
    </w:p>
    <w:p>
      <w:pPr>
        <w:ind w:left="920" w:right="20" w:firstLine="420"/>
        <w:spacing w:after="0" w:line="288" w:lineRule="auto"/>
        <w:rPr>
          <w:sz w:val="20"/>
          <w:szCs w:val="20"/>
          <w:color w:val="auto"/>
        </w:rPr>
      </w:pPr>
      <w:r>
        <w:rPr>
          <w:rFonts w:ascii="Arial" w:cs="Arial" w:eastAsia="Arial" w:hAnsi="Arial"/>
          <w:sz w:val="16"/>
          <w:szCs w:val="16"/>
          <w:b w:val="1"/>
          <w:bCs w:val="1"/>
          <w:i w:val="1"/>
          <w:iCs w:val="1"/>
          <w:color w:val="auto"/>
        </w:rPr>
        <w:t xml:space="preserve">Management and Performance Fees </w:t>
      </w:r>
      <w:r>
        <w:rPr>
          <w:rFonts w:ascii="Arial" w:cs="Arial" w:eastAsia="Arial" w:hAnsi="Arial"/>
          <w:sz w:val="16"/>
          <w:szCs w:val="16"/>
          <w:color w:val="auto"/>
        </w:rPr>
        <w:t>– Management fees are contractually based and are derived from Investment Management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in originating, recommending and consummating investment opportunities to private equity funds. Management fees are typically paid in advance on committed capital during the private equity funds’ investment period, and on invested capital, thereafter. Management fees are initially recorded as deferred revenue and revenue is recognized ratably, thereafter, over the period during which services are provided. The management fees may provide for a management fee offset for certain portfolio company fees earned by the Company. The Company also records performance fee revenue from the private equity funds when the returns on the private equity funds’ investments exceed certain threshold minimums. These performance fees, or carried interest, are computed in accordance with the underlying private equity funds’ partnership agreements and are based on investment performance over the life of each investment partnership. Performance fees are recorded as revenue as earned pursuant to the client agreements.</w:t>
      </w:r>
    </w:p>
    <w:p>
      <w:pPr>
        <w:spacing w:after="0" w:line="120" w:lineRule="exact"/>
        <w:rPr>
          <w:sz w:val="20"/>
          <w:szCs w:val="20"/>
          <w:color w:val="auto"/>
        </w:rPr>
      </w:pPr>
    </w:p>
    <w:p>
      <w:pPr>
        <w:ind w:left="920" w:right="140" w:firstLine="420"/>
        <w:spacing w:after="0" w:line="259" w:lineRule="auto"/>
        <w:rPr>
          <w:sz w:val="20"/>
          <w:szCs w:val="20"/>
          <w:color w:val="auto"/>
        </w:rPr>
      </w:pPr>
      <w:r>
        <w:rPr>
          <w:rFonts w:ascii="Arial" w:cs="Arial" w:eastAsia="Arial" w:hAnsi="Arial"/>
          <w:sz w:val="18"/>
          <w:szCs w:val="18"/>
          <w:b w:val="1"/>
          <w:bCs w:val="1"/>
          <w:i w:val="1"/>
          <w:iCs w:val="1"/>
          <w:color w:val="auto"/>
        </w:rPr>
        <w:t xml:space="preserve">Portfolio Company Fees </w:t>
      </w:r>
      <w:r>
        <w:rPr>
          <w:rFonts w:ascii="Arial" w:cs="Arial" w:eastAsia="Arial" w:hAnsi="Arial"/>
          <w:sz w:val="18"/>
          <w:szCs w:val="18"/>
          <w:color w:val="auto"/>
        </w:rPr>
        <w:t>– Portfolio Company fees include monitoring, director and transaction fees associated with services provided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companies of the private equity funds the Company manages. Monitoring fees are earned by the Company for services provided to the portfolio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left="920" w:right="500"/>
        <w:spacing w:after="0" w:line="306" w:lineRule="auto"/>
        <w:rPr>
          <w:sz w:val="20"/>
          <w:szCs w:val="20"/>
          <w:color w:val="auto"/>
        </w:rPr>
      </w:pPr>
      <w:r>
        <w:rPr>
          <w:rFonts w:ascii="Arial" w:cs="Arial" w:eastAsia="Arial" w:hAnsi="Arial"/>
          <w:sz w:val="16"/>
          <w:szCs w:val="16"/>
          <w:color w:val="auto"/>
        </w:rPr>
        <w:t>companies with respect to the development and implementation of strategies for improving operating, marketing and financial performance. Monitoring fee revenue is recognized ratably over the period for which services are provided. Transaction fees are earned by the Company for providing advisory services to portfolio companies. These fees are earned and recognized on the same basis as advisory revenue.</w:t>
      </w:r>
    </w:p>
    <w:p>
      <w:pPr>
        <w:spacing w:after="0" w:line="26" w:lineRule="exact"/>
        <w:rPr>
          <w:sz w:val="20"/>
          <w:szCs w:val="20"/>
          <w:color w:val="auto"/>
        </w:rPr>
      </w:pPr>
    </w:p>
    <w:p>
      <w:pPr>
        <w:ind w:left="460" w:right="260" w:firstLine="438"/>
        <w:spacing w:after="0" w:line="256" w:lineRule="auto"/>
        <w:rPr>
          <w:sz w:val="20"/>
          <w:szCs w:val="20"/>
          <w:color w:val="auto"/>
        </w:rPr>
      </w:pPr>
      <w:r>
        <w:rPr>
          <w:rFonts w:ascii="Arial" w:cs="Arial" w:eastAsia="Arial" w:hAnsi="Arial"/>
          <w:sz w:val="18"/>
          <w:szCs w:val="18"/>
          <w:b w:val="1"/>
          <w:bCs w:val="1"/>
          <w:i w:val="1"/>
          <w:iCs w:val="1"/>
          <w:color w:val="auto"/>
        </w:rPr>
        <w:t xml:space="preserve">Public Securities Revenue </w:t>
      </w:r>
      <w:r>
        <w:rPr>
          <w:rFonts w:ascii="Arial" w:cs="Arial" w:eastAsia="Arial" w:hAnsi="Arial"/>
          <w:sz w:val="18"/>
          <w:szCs w:val="18"/>
          <w:color w:val="auto"/>
        </w:rPr>
        <w:t>– PCB’s revenue sources include management fees and performance fees, which are accounted for similar to Private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Revenue above. Interest revenue is derived from investing customer funds in financing transactions with PCB. These transactions are primarily repurchases and resales of Mexican government securities. Revenue and expenses associated with these transactions are recognized over the term of the repurchase or resale transaction.</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Client Expense Reimbursement </w:t>
      </w:r>
      <w:r>
        <w:rPr>
          <w:rFonts w:ascii="Arial" w:cs="Arial" w:eastAsia="Arial" w:hAnsi="Arial"/>
          <w:sz w:val="18"/>
          <w:szCs w:val="18"/>
          <w:color w:val="auto"/>
        </w:rPr>
        <w:t>– In the conduct of its financial advisory service engagements and in the pursuit of successful Portfolio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for the Private Equity Funds, the Company receives reimbursement for certain transaction-related expenses incurred by the Company on behalf of its clients. Such reimbursements are classified as either Advisory or Investment Management Revenues, as applicable. Transaction-related expenses, which are billable to clients, are recognized as revenue and recorded in Accounts Receivable on the later of the date of an executed engagement letter or the date the expense is incurred.</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Minority Interest </w:t>
      </w:r>
      <w:r>
        <w:rPr>
          <w:rFonts w:ascii="Arial" w:cs="Arial" w:eastAsia="Arial" w:hAnsi="Arial"/>
          <w:sz w:val="18"/>
          <w:szCs w:val="18"/>
          <w:color w:val="auto"/>
        </w:rPr>
        <w:t>– Minority interest recorded on the consolidated financial statements of the Successor Company relates to the interest of the Members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Evercore LP and the portion of PCB not owned by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 Cash and Cash Equivalents consist of short-term highly liquid investments with remaining maturities of three months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Trading Securities and Financial Instruments Owned and Pledged as Collateral at Fair Value </w:t>
      </w:r>
      <w:r>
        <w:rPr>
          <w:rFonts w:ascii="Arial" w:cs="Arial" w:eastAsia="Arial" w:hAnsi="Arial"/>
          <w:sz w:val="18"/>
          <w:szCs w:val="18"/>
          <w:color w:val="auto"/>
        </w:rPr>
        <w:t>– The Company invests in readily-marketable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a hedge fund, which are managed by EAM. Trading Securities are valued using quoted market prices on applicable exchanges or markets. The realized and unrealized gains and losses on Trading Securities are included in the Combined/Consolidated Statements of Operations in Investment Management Revenue.</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Company’s Financial Instruments Owned and Pledged as Collateral at Fair Value consist principally of foreign government obligations, which are recorded on a trade-date basis and are stated at quoted market values. Related gains and losses are reflected in Interest Income and Other Revenue on the Combined/Consolidated Statements of Operations. The Successor Company pledges the Financial Instruments Owned and Pledged as Collateral at Fair Value to collateralize certain financing arrangements which permits the counterparty to pledge the securities.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Securities Purchased Under Agreements to Resell and Securities Sold Under Agreements to Repurchase </w:t>
      </w:r>
      <w:r>
        <w:rPr>
          <w:rFonts w:ascii="Arial" w:cs="Arial" w:eastAsia="Arial" w:hAnsi="Arial"/>
          <w:sz w:val="18"/>
          <w:szCs w:val="18"/>
          <w:color w:val="auto"/>
        </w:rPr>
        <w:t>– Securities Purchased Under Agreements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Resell and Securities Sold Under Agreements to Repurchase are treated as collateralized financing transactions. The agreements provide that the transferor will receive substantially the same securities in return at the maturity of the agreement and the transferor will obtain from the transferee sufficient cash or collateral to purchase such securities during the term of the agreement. These transactions are carried at the amounts at which the related securities will be subsequently resold or repurchased, plus accrued interest payable or receivable. As these transactions are short-term in nature, their carrying amounts are a reasonable estimate of fair value.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Investments </w:t>
      </w:r>
      <w:r>
        <w:rPr>
          <w:rFonts w:ascii="Arial" w:cs="Arial" w:eastAsia="Arial" w:hAnsi="Arial"/>
          <w:sz w:val="16"/>
          <w:szCs w:val="16"/>
          <w:color w:val="auto"/>
        </w:rPr>
        <w:t>– The Company’s investments, which are accounted for under the equity method of accounting, consist of investments in Private Equity Funds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Company’s equity interest in EAM. The Company recognizes its allocable share of the fair value of the private equity funds’ underlying investments as realized and unrealized gains (or losses), which are reflected as revenue in the Combined/Consolidated Statements of Operations.</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The Company annually assesses its Equity Method Investments for impairment per Accounting Principles Board (“APB”) Opinion No. 18, </w:t>
      </w:r>
      <w:r>
        <w:rPr>
          <w:rFonts w:ascii="Arial" w:cs="Arial" w:eastAsia="Arial" w:hAnsi="Arial"/>
          <w:sz w:val="18"/>
          <w:szCs w:val="18"/>
          <w:i w:val="1"/>
          <w:iCs w:val="1"/>
          <w:color w:val="auto"/>
        </w:rPr>
        <w:t>The Equity</w:t>
      </w:r>
      <w:r>
        <w:rPr>
          <w:rFonts w:ascii="Arial" w:cs="Arial" w:eastAsia="Arial" w:hAnsi="Arial"/>
          <w:sz w:val="18"/>
          <w:szCs w:val="18"/>
          <w:color w:val="auto"/>
        </w:rPr>
        <w:t xml:space="preserve"> </w:t>
      </w:r>
      <w:r>
        <w:rPr>
          <w:rFonts w:ascii="Arial" w:cs="Arial" w:eastAsia="Arial" w:hAnsi="Arial"/>
          <w:sz w:val="18"/>
          <w:szCs w:val="18"/>
          <w:i w:val="1"/>
          <w:iCs w:val="1"/>
          <w:color w:val="auto"/>
        </w:rPr>
        <w:t>Method of Accounting for Investments in Common Stock</w:t>
      </w:r>
      <w:r>
        <w:rPr>
          <w:rFonts w:ascii="Arial" w:cs="Arial" w:eastAsia="Arial" w:hAnsi="Arial"/>
          <w:sz w:val="18"/>
          <w:szCs w:val="18"/>
          <w:color w:val="auto"/>
        </w:rPr>
        <w:t>.</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The fair value of the Private Equity Funds’ investments in non-marketable securities is ultimately determined by the Company.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 Investments in publicly-traded securities held by the Private Equity Funds are valued using quoted market prices.</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 As per SFAS No. 142,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Goodwill and Other Intangible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Goodwill and Intangible Assets are reviewed annually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frequently as required) for impairment. Intangible assets with finite lives are amortized over their estimated useful lives.</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Fair Value of Other Financial Instruments </w:t>
      </w:r>
      <w:r>
        <w:rPr>
          <w:rFonts w:ascii="Arial" w:cs="Arial" w:eastAsia="Arial" w:hAnsi="Arial"/>
          <w:sz w:val="18"/>
          <w:szCs w:val="18"/>
          <w:color w:val="auto"/>
        </w:rPr>
        <w:t>– The majority of the Company’s assets and liabilities are recorded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 fair value. Such assets and liabilities include cash and cash equivalents, investments, securities, financial instruments, receivables and payables, and accruals.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Compensation and Benefits </w:t>
      </w:r>
      <w:r>
        <w:rPr>
          <w:rFonts w:ascii="Arial" w:cs="Arial" w:eastAsia="Arial" w:hAnsi="Arial"/>
          <w:sz w:val="16"/>
          <w:szCs w:val="16"/>
          <w:color w:val="auto"/>
        </w:rPr>
        <w:t>– Compensation includes salaries, bonuses (discretionary awards and guaranteed amounts), severance and stock-based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but historically excluded any compensatory payments made to Members. Prior to the Company’s IPO, the Members historically received periodic distributions of operating proceeds, which are reported in the Statements of Changes in Members’ Equity as distributions. After the Company’s IPO, compensatory payments made to these individuals are included in compensation expense. Cash and equity-based bonuses are accrued over the respective service periods to which they relate. Benefits include both Member and employee benefits expense.</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Share-Based Payment </w:t>
      </w:r>
      <w:r>
        <w:rPr>
          <w:rFonts w:ascii="Arial" w:cs="Arial" w:eastAsia="Arial" w:hAnsi="Arial"/>
          <w:sz w:val="18"/>
          <w:szCs w:val="18"/>
          <w:color w:val="auto"/>
        </w:rPr>
        <w:t>– Prior to the IPO, the Predecessor Company operated as a series of partnerships, limited liability companies and Subchapter 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corporations and did not historically issue stock-based compensation awards. The Company adopted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on January 1, 2006 and the impact on the Company’s Consolidated Statements of Financial Condition and Statements of Operations subsequent to the IPO is discussed in Note 15 – Stock-Based Compensation.</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Compensation expense recognized pursuant to stock-based awards is based on the grant date fair value of the award. The fair value (as measured on the grant date) of Service-based Awards is amortized over the vesting periods or requisite service periods as required under SFAS 123(R), however, the vesting of some Service-based Awards will accelerate upon the occurrence of certain events. The requisite service period for retirement eligible employees is the period of grant or the period from grant date to the retirement eligible date, if shorter than the vesting period. For the purposes of calculating diluted net income (loss) per share, unvested Service-based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Awards are included in the diluted weighted average shares of Class A common stock outstanding using the treasury stock method. Once vested, RSUs and restricted stock are included in the basic and diluted weighted average shares of Class A common stock outstanding. Expense relating to RSUs and restricted stock is charged to Employee Compensation and Benefits within the Consolidated Statements of Operations.</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Foreign Currency Translation </w:t>
      </w:r>
      <w:r>
        <w:rPr>
          <w:rFonts w:ascii="Arial" w:cs="Arial" w:eastAsia="Arial" w:hAnsi="Arial"/>
          <w:sz w:val="18"/>
          <w:szCs w:val="18"/>
          <w:color w:val="auto"/>
        </w:rPr>
        <w:t>– Foreign currency assets and liabilities have been translated at rates of exchange prevailing at the end of the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Income and expenses transacted in foreign currency have been translated at average monthly exchange rates during the period. Translation gains and losses are included in the foreign currency translation adjustment as a component of Other Comprehensive Income in the Combined/Consolidated Statement of Changes in Stockholders’ Equity.</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Prior to August 10, 2006, the Company had not been subject to U.S. federal income tax, but had been subject to the New York City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unincorporated business tax (“UBT”) and New York City general corporate tax on its U.S. earnings, and certain non-income tax fees in other jurisdictions where the Company had registered offices and conducted business. The Company’s operations were historically organized as a series of partnerships, limited liability companies and Subchapter S corporations. Taxes related to income earned by these entities represent obligations of the individual Members, partners or shareholders and have not historically been reflected in the Predecessor Company’s combined financial statements. Commencing August 10, 2006, the Company became subject to U.S. corporate federal income tax on its allocable share of the results of operations of the Company. 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requires the recognition of tax benefits or expenses on temporary differences between the financial reporting and tax bases of its assets and liabilities, as disclosed in Note 18 – Income Taxes.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financial reporting and tax bases of assets and liabilities and are measured using the enacted tax rates and laws that will be in effect when such differences are expected to reverse. Such temporary differences are reflected on the Company’s Consolidated Statements of Financial Condition as deferred tax assets and liabilities.</w:t>
      </w:r>
    </w:p>
    <w:p>
      <w:pPr>
        <w:spacing w:after="0" w:line="14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 xml:space="preserve">On January 1, 2007, the Company adopted FASB Interpretation No. 48, </w:t>
      </w:r>
      <w:r>
        <w:rPr>
          <w:rFonts w:ascii="Arial" w:cs="Arial" w:eastAsia="Arial" w:hAnsi="Arial"/>
          <w:sz w:val="15"/>
          <w:szCs w:val="15"/>
          <w:i w:val="1"/>
          <w:iCs w:val="1"/>
          <w:color w:val="auto"/>
        </w:rPr>
        <w:t>Accounting for Uncertainty in Income Taxes-An Interpretation of FASB Statement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No. 109 </w:t>
      </w:r>
      <w:r>
        <w:rPr>
          <w:rFonts w:ascii="Arial" w:cs="Arial" w:eastAsia="Arial" w:hAnsi="Arial"/>
          <w:sz w:val="15"/>
          <w:szCs w:val="15"/>
          <w:color w:val="auto"/>
        </w:rPr>
        <w:t>(“FIN 48”). FIN 48 provides a benefit recognition model with a two-step approach consisting of “more-likely-than-not” recognition criteria, and a</w:t>
      </w:r>
      <w:r>
        <w:rPr>
          <w:rFonts w:ascii="Arial" w:cs="Arial" w:eastAsia="Arial" w:hAnsi="Arial"/>
          <w:sz w:val="15"/>
          <w:szCs w:val="15"/>
          <w:i w:val="1"/>
          <w:iCs w:val="1"/>
          <w:color w:val="auto"/>
        </w:rPr>
        <w:t xml:space="preserve"> </w:t>
      </w:r>
      <w:r>
        <w:rPr>
          <w:rFonts w:ascii="Arial" w:cs="Arial" w:eastAsia="Arial" w:hAnsi="Arial"/>
          <w:sz w:val="15"/>
          <w:szCs w:val="15"/>
          <w:color w:val="auto"/>
        </w:rPr>
        <w:t>measurement attribute that measures the position as the largest amount of tax benefit that is greater than 50% likely of being realized upon ultimate settlement. FIN 48 also requires the recognition of liabilities created by differences between tax positions taken in a tax return and amounts recognized in the financial statements. See Note 18 – Income Taxes for disclosure in regard to the impact of the adoption of FIN 48 on the Company’s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 Accounting Pronouncements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SFAS 157 </w:t>
      </w:r>
      <w:r>
        <w:rPr>
          <w:rFonts w:ascii="Arial" w:cs="Arial" w:eastAsia="Arial" w:hAnsi="Arial"/>
          <w:sz w:val="18"/>
          <w:szCs w:val="18"/>
          <w:color w:val="auto"/>
        </w:rPr>
        <w:t>– In September 2006, the Financial Accounting Standards Board (“FASB”) issued SFAS No. 157,</w:t>
      </w:r>
      <w:r>
        <w:rPr>
          <w:rFonts w:ascii="Arial" w:cs="Arial" w:eastAsia="Arial" w:hAnsi="Arial"/>
          <w:sz w:val="18"/>
          <w:szCs w:val="18"/>
          <w:i w:val="1"/>
          <w:iCs w:val="1"/>
          <w:color w:val="auto"/>
        </w:rPr>
        <w:t xml:space="preserve"> Fair Value Measurements </w:t>
      </w:r>
      <w:r>
        <w:rPr>
          <w:rFonts w:ascii="Arial" w:cs="Arial" w:eastAsia="Arial" w:hAnsi="Arial"/>
          <w:sz w:val="18"/>
          <w:szCs w:val="18"/>
          <w:color w:val="auto"/>
        </w:rPr>
        <w:t>(“SFAS 157”),</w:t>
      </w:r>
      <w:r>
        <w:rPr>
          <w:rFonts w:ascii="Arial" w:cs="Arial" w:eastAsia="Arial" w:hAnsi="Arial"/>
          <w:sz w:val="18"/>
          <w:szCs w:val="18"/>
          <w:i w:val="1"/>
          <w:iCs w:val="1"/>
          <w:color w:val="auto"/>
        </w:rPr>
        <w:t xml:space="preserve"> </w:t>
      </w:r>
      <w:r>
        <w:rPr>
          <w:rFonts w:ascii="Arial" w:cs="Arial" w:eastAsia="Arial" w:hAnsi="Arial"/>
          <w:sz w:val="18"/>
          <w:szCs w:val="18"/>
          <w:color w:val="auto"/>
        </w:rPr>
        <w:t>which defines fair value, establishes a framework for measuring fair value in accordance with U.S. GAAP, and expands disclosures about fair value measurements. In addition, SFAS 157 disallows the use of block discounts when measuring financial instruments that trade with quoted prices in an active market. SFAS 157 also requires the Company to consider its own credit spreads when measuring the fair value of liabilities. SFAS 157 is effective in fiscal years beginning after November 15, 2007. The Company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has adopted SFAS 157 in the first quarter of 2008 and does not expect it to have a material impact on our financial condition, results of operations and cash flows.</w:t>
      </w:r>
    </w:p>
    <w:p>
      <w:pPr>
        <w:spacing w:after="0" w:line="20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SFAS 159 </w:t>
      </w:r>
      <w:r>
        <w:rPr>
          <w:rFonts w:ascii="Arial" w:cs="Arial" w:eastAsia="Arial" w:hAnsi="Arial"/>
          <w:sz w:val="16"/>
          <w:szCs w:val="16"/>
          <w:color w:val="auto"/>
        </w:rPr>
        <w:t>– In February 2007, the FASB issued SFAS No. 159,</w:t>
      </w:r>
      <w:r>
        <w:rPr>
          <w:rFonts w:ascii="Arial" w:cs="Arial" w:eastAsia="Arial" w:hAnsi="Arial"/>
          <w:sz w:val="16"/>
          <w:szCs w:val="16"/>
          <w:i w:val="1"/>
          <w:iCs w:val="1"/>
          <w:color w:val="auto"/>
        </w:rPr>
        <w:t xml:space="preserve"> The Fair Value Option for Financial Assets and Financial Liabilities – Including an amendment of FASB Statement No. 115 </w:t>
      </w:r>
      <w:r>
        <w:rPr>
          <w:rFonts w:ascii="Arial" w:cs="Arial" w:eastAsia="Arial" w:hAnsi="Arial"/>
          <w:sz w:val="16"/>
          <w:szCs w:val="16"/>
          <w:color w:val="auto"/>
        </w:rPr>
        <w:t>(“SFAS 159”). SFAS 159 permits entities to choose to measure many financial instruments and certain other items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and is effective in fiscal years beginning after November 15, 2007. SFAS 159 permits the fair value option election on an instrument-by-instrument basis at both the initial recognition of an asset or liability or upon an event that gives rise to a new basis of accounting for that instrument. The Company has adopted SFAS 159 in the first quarter of 2008 and does not expect it to have a material impact on our financial condition, results of operations and cash flows.</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SFAS 141(</w:t>
      </w:r>
      <w:r>
        <w:rPr>
          <w:rFonts w:ascii="Arial" w:cs="Arial" w:eastAsia="Arial" w:hAnsi="Arial"/>
          <w:sz w:val="16"/>
          <w:szCs w:val="16"/>
          <w:color w:val="auto"/>
        </w:rPr>
        <w:t>R) – In December 2007, the FASB issued SFAS No. 141(R),</w:t>
      </w:r>
      <w:r>
        <w:rPr>
          <w:rFonts w:ascii="Arial" w:cs="Arial" w:eastAsia="Arial" w:hAnsi="Arial"/>
          <w:sz w:val="16"/>
          <w:szCs w:val="16"/>
          <w:i w:val="1"/>
          <w:iCs w:val="1"/>
          <w:color w:val="auto"/>
        </w:rPr>
        <w:t xml:space="preserve"> Business Combinations </w:t>
      </w:r>
      <w:r>
        <w:rPr>
          <w:rFonts w:ascii="Arial" w:cs="Arial" w:eastAsia="Arial" w:hAnsi="Arial"/>
          <w:sz w:val="16"/>
          <w:szCs w:val="16"/>
          <w:color w:val="auto"/>
        </w:rPr>
        <w:t>(“SFAS 141(R)”). SFAS 141(R) requires the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entity in a business combination to recognize the full fair value of assets acquired and liabilities assumed in the transaction (whether a full or partial acquisition); establishes the acquisition-date fair value as the measurement objective for all assets acquired and liabilities assumed; requires expensing of most transaction and restructuring costs; and requires the acquirer to disclose to investors and other users all of the information needed to evaluate and understand the nature and financial effect of the business combination. SFAS 141(R) applies to all transactions or other events in which the Company obtains control of one or more businesses, including those sometimes referred to as “true mergers” or “mergers of equals” and combinations achieved without the transfer of consideration, for example, by contract alone or through the lapse of minority veto rights. SFAS 141(R) applies prospectively to business combinations for which the acquisition date is on or after December 1, 2009.</w:t>
      </w:r>
    </w:p>
    <w:p>
      <w:pPr>
        <w:spacing w:after="0" w:line="118"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i w:val="1"/>
          <w:iCs w:val="1"/>
          <w:color w:val="auto"/>
        </w:rPr>
        <w:t xml:space="preserve">SFAS 160 – </w:t>
      </w:r>
      <w:r>
        <w:rPr>
          <w:rFonts w:ascii="Arial" w:cs="Arial" w:eastAsia="Arial" w:hAnsi="Arial"/>
          <w:sz w:val="15"/>
          <w:szCs w:val="15"/>
          <w:color w:val="auto"/>
        </w:rPr>
        <w:t>In December 2007, the FAS issued SFAS No. 160,</w:t>
      </w:r>
      <w:r>
        <w:rPr>
          <w:rFonts w:ascii="Arial" w:cs="Arial" w:eastAsia="Arial" w:hAnsi="Arial"/>
          <w:sz w:val="15"/>
          <w:szCs w:val="15"/>
          <w:i w:val="1"/>
          <w:iCs w:val="1"/>
          <w:color w:val="auto"/>
        </w:rPr>
        <w:t xml:space="preserve"> Noncontrolling Interests in Consolidated Financial Statements – an amendment of ARB No. 51 </w:t>
      </w:r>
      <w:r>
        <w:rPr>
          <w:rFonts w:ascii="Arial" w:cs="Arial" w:eastAsia="Arial" w:hAnsi="Arial"/>
          <w:sz w:val="15"/>
          <w:szCs w:val="15"/>
          <w:color w:val="auto"/>
        </w:rPr>
        <w:t>(“SFAS 160”), which amends ARB 51. SFAS 160 requires reporting entities to present noncontrolling (minority) interests as equity (as opposed to as a</w:t>
      </w:r>
      <w:r>
        <w:rPr>
          <w:rFonts w:ascii="Arial" w:cs="Arial" w:eastAsia="Arial" w:hAnsi="Arial"/>
          <w:sz w:val="15"/>
          <w:szCs w:val="15"/>
          <w:i w:val="1"/>
          <w:iCs w:val="1"/>
          <w:color w:val="auto"/>
        </w:rPr>
        <w:t xml:space="preserve"> </w:t>
      </w:r>
      <w:r>
        <w:rPr>
          <w:rFonts w:ascii="Arial" w:cs="Arial" w:eastAsia="Arial" w:hAnsi="Arial"/>
          <w:sz w:val="15"/>
          <w:szCs w:val="15"/>
          <w:color w:val="auto"/>
        </w:rPr>
        <w:t>liability or mezzanine equity) and provides guidance on the accounting for transactions between an entity and noncontrolling interests. SFAS 160 applies prospectively as of December 1, 2009, except for the presentation and disclosure requirements which will be applied retrospectively for all periods presented.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Changes and Developments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Formation Transaction </w:t>
      </w:r>
      <w:r>
        <w:rPr>
          <w:rFonts w:ascii="Arial" w:cs="Arial" w:eastAsia="Arial" w:hAnsi="Arial"/>
          <w:sz w:val="18"/>
          <w:szCs w:val="18"/>
          <w:color w:val="auto"/>
        </w:rPr>
        <w:t>– The Company completed an IPO of its Class A common stock on August 16, 2006. The Company also consummated a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internal reorganization transactions to transition the Company to its current organizational structure. Costs of $7,318 directly attributable to the Company’s IPO were deferred and charged against the proceeds of the IPO.</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Business Combination with Protego </w:t>
      </w:r>
      <w:r>
        <w:rPr>
          <w:rFonts w:ascii="Arial" w:cs="Arial" w:eastAsia="Arial" w:hAnsi="Arial"/>
          <w:sz w:val="16"/>
          <w:szCs w:val="16"/>
          <w:color w:val="auto"/>
        </w:rPr>
        <w:t>– The Company combined its business with that of Protego and its subsidiaries and Protego SI, an investment banking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boutique in Mexico that provides advisory and investment management services to a wide array of clients in Latin America.</w:t>
      </w:r>
    </w:p>
    <w:p>
      <w:pPr>
        <w:spacing w:after="0" w:line="85"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combination with Protego happened prior to but in conjunction with the Formation Transaction and the closing of the IPO on August 16, 2006. Pursuant to the executed contribution and sales agreement, which is referred to collectively as the “Protego Combination,”</w:t>
      </w:r>
    </w:p>
    <w:p>
      <w:pPr>
        <w:spacing w:after="0" w:line="4" w:lineRule="exact"/>
        <w:rPr>
          <w:sz w:val="20"/>
          <w:szCs w:val="20"/>
          <w:color w:val="auto"/>
        </w:rPr>
      </w:pPr>
    </w:p>
    <w:p>
      <w:pPr>
        <w:ind w:left="900" w:right="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Evercore LP acquired all of Protego and its subsidiaries (including a 70% interest in PCB, Protego’s asset management subsidiary) and Protego SI in exchange for $7,000 aggregate principal amount of non-interest bearing notes;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left="900" w:right="24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Protego Directors became Senior Managing Directors of the Predecessor Company and subscribed, collectively with certain companies they control, certain trusts benefiting their families and a trust benefiting certain Directors and employees of Protego, for 1,760,187 vested and 351,362 unvested partnership units of Evercore LP.</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Of the $7,000 in notes issued in consideration for the Protego Combination, $6,050 was paid in cash and $950 was issued in shares of Class A common stock valued at the IPO price of $21.00 per share. The Company issued 45,238 shares of Class A common stock upon the repayment of such notes. In addition, Protego distributed to its Directors cash and interests in certain accounts receivables, so as to distribute to its Directors all earnings for the period from January 1, 2005 through the closing date of August 9, 2006.</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Company accounted for the vested partnership units of Evercore LP issued in the Protego Combination as a component of the estimated purchase price pursuant to SFAS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 The estimated value of the vested Evercore LP partnership units was determined by management.</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accounted for the unvested partnership units issued in the Protego Combination as future compensation expense and not as part of the purchase consideration. In accordance with SFAS 123(R), the unvested partnership units of Evercore LP will be charged to expense at the time a vesting event occurs or, if earlier, at the time a vesting event becomes probable. The expense will be based on the grant date fair value of the partnership units of Evercore LP, which was the IPO price of the Class A common stock into which these partnership units are exchangeable.</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results of operations for Protego subsequent to the combination are reflected in the December 31, 2006 and 2007, consolidated financial statements of Evercore Partners Inc.</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Acquisition of Braveheart </w:t>
      </w:r>
      <w:r>
        <w:rPr>
          <w:rFonts w:ascii="Arial" w:cs="Arial" w:eastAsia="Arial" w:hAnsi="Arial"/>
          <w:sz w:val="16"/>
          <w:szCs w:val="16"/>
          <w:color w:val="auto"/>
        </w:rPr>
        <w:t>– On July 31, 2006, the Company entered into a sale and purchase agreement to acquire Braveheart. On December 19, 2006,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completed this acquisition pursuant to this agreement. Braveheart was organized to provide corporate finance and private equity advisory services. In exchange for 100% of the outstanding share capital of Braveheart, the Company paid initial consideration, deferred consideration and earn-out consideration, with a total value of $27,803 on December 19, 2006. The initial consideration was comprised of 1,771,820 shares of Evercore Partners Inc. Class A common stock. The deferred consideration is comprised of 590,607 additional shares of Class A common stock. Of this deferred consideration, 159,000 shares were issued to Braveheart shareholders on April 4, 2007. The Braveheart shareholders also received earn-out consideration based on gross revenues generated by Braveheart. The amount of earn-out consideration was earned at the point of acquisition and accordingly, the Company issued to the Braveheart shareholders, collectively, $3,000 of loan notes due 2010, which bear interest at LIBOR plus 100 basis points and which are redeemable by the holder at any time after October 31, 2007. Additionally, the Company paid $392 in cash as part of the acquisition. An additional 431,607 shares were authorized to be issued to Braveheart shareholders on March 11, 2008.</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Protego Combination and Braveheart acquisition were effective as of January 1, 2005 or January 1, 2006, respectively, the operating results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on a pro forma basis, would have been: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Twelve Months Ended</w:t>
            </w:r>
          </w:p>
        </w:tc>
        <w:tc>
          <w:tcPr>
            <w:tcW w:w="10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87"/>
              </w:rPr>
              <w:t>Twelve Months Ended</w:t>
            </w: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December 31, 2005</w:t>
            </w: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120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December 31, 2006</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22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146,294</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216,389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Net Income</w:t>
            </w:r>
          </w:p>
        </w:tc>
        <w:tc>
          <w:tcPr>
            <w:tcW w:w="4220" w:type="dxa"/>
            <w:vAlign w:val="bottom"/>
            <w:gridSpan w:val="2"/>
          </w:tcPr>
          <w:p>
            <w:pPr>
              <w:ind w:left="41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5,293</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9,385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422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63"/>
        </w:trPr>
        <w:tc>
          <w:tcPr>
            <w:tcW w:w="3580" w:type="dxa"/>
            <w:vAlign w:val="bottom"/>
          </w:tcPr>
          <w:p>
            <w:pPr>
              <w:spacing w:after="0"/>
              <w:rPr>
                <w:sz w:val="24"/>
                <w:szCs w:val="24"/>
                <w:color w:val="auto"/>
              </w:rPr>
            </w:pPr>
          </w:p>
        </w:tc>
        <w:tc>
          <w:tcPr>
            <w:tcW w:w="4120" w:type="dxa"/>
            <w:vAlign w:val="bottom"/>
          </w:tcPr>
          <w:p>
            <w:pPr>
              <w:jc w:val="right"/>
              <w:ind w:right="181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Pursuant to the executed contribution and sales agreements, the purchase price of the combinations had been allocated to the assets acquired and liabilities assumed using the fair values as determined by management as of the acquisition date. The computation of the purchase price to net assets of Protego and Braveheart–based on their respective fair values as of August 9, 2006 and December 19, 2006, respectively–and resulting Goodwill are presented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Protego</w:t>
            </w:r>
          </w:p>
        </w:tc>
        <w:tc>
          <w:tcPr>
            <w:tcW w:w="34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Braveheart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1"/>
              </w:rPr>
              <w:t>August 9,</w:t>
            </w:r>
          </w:p>
        </w:tc>
        <w:tc>
          <w:tcPr>
            <w:tcW w:w="3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19,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Price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Non-Interest-Bearing Evercore LP Notes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7,000</w:t>
            </w:r>
          </w:p>
        </w:tc>
        <w:tc>
          <w:tcPr>
            <w:tcW w:w="38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Evercore Partners Inc. Notes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Evercore LP Partnership Units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27,510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Evercore Class A Common Stock</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Acquisition Costs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2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38,081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Assets Acquired and Liabilities Assumed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Cash</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Financial Instruments Owned and Pledged as Collateral at Fair Value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198,511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Securities Purchased Under Agreements to Resell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207,596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Investments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3,480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(406,150)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(6,375)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(2,756)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120" w:type="dxa"/>
            <w:vAlign w:val="bottom"/>
            <w:gridSpan w:val="2"/>
          </w:tcPr>
          <w:p>
            <w:pPr>
              <w:spacing w:after="0"/>
              <w:rPr>
                <w:sz w:val="20"/>
                <w:szCs w:val="20"/>
                <w:color w:val="auto"/>
              </w:rPr>
            </w:pPr>
            <w:r>
              <w:rPr>
                <w:rFonts w:ascii="Arial" w:cs="Arial" w:eastAsia="Arial" w:hAnsi="Arial"/>
                <w:sz w:val="18"/>
                <w:szCs w:val="18"/>
                <w:color w:val="auto"/>
              </w:rPr>
              <w:t>Identifiable Net Assets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Resulting from the Business Combination at December 31, 2006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Issuance of Deferred Consideration in 2007</w:t>
            </w:r>
          </w:p>
        </w:tc>
        <w:tc>
          <w:tcPr>
            <w:tcW w:w="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Goodwill Resulting from the Business Combination at December 31, 2007</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30,878</w:t>
            </w:r>
          </w:p>
        </w:tc>
        <w:tc>
          <w:tcPr>
            <w:tcW w:w="380" w:type="dxa"/>
            <w:vAlign w:val="bottom"/>
          </w:tcPr>
          <w:p>
            <w:pPr>
              <w:spacing w:after="0"/>
              <w:rPr>
                <w:sz w:val="19"/>
                <w:szCs w:val="19"/>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10,825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connection with the Protego and Braveheart acquisitions, the Company recorded intangible assets of $25,734. The intangible assets were valued at the date of acquisition at their fair value, as determined by management.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conjunction with the Protego and Braveheart acquisitions, the intangible assets amounts assigned by asset class are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9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87"/>
              </w:rPr>
              <w:t>Remaining Useful Life in Years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86"/>
              </w:rPr>
              <w:t>As of December 31, 2007</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gridSpan w:val="7"/>
          </w:tcPr>
          <w:p>
            <w:pPr>
              <w:ind w:left="20"/>
              <w:spacing w:after="0" w:line="142" w:lineRule="exact"/>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2"/>
                <w:szCs w:val="12"/>
                <w:color w:val="auto"/>
              </w:rPr>
            </w:pPr>
          </w:p>
        </w:tc>
        <w:tc>
          <w:tcPr>
            <w:tcW w:w="2440" w:type="dxa"/>
            <w:vAlign w:val="bottom"/>
            <w:gridSpan w:val="7"/>
          </w:tcPr>
          <w:p>
            <w:pPr>
              <w:jc w:val="right"/>
              <w:ind w:right="352"/>
              <w:spacing w:after="0" w:line="142" w:lineRule="exact"/>
              <w:rPr>
                <w:sz w:val="20"/>
                <w:szCs w:val="20"/>
                <w:color w:val="auto"/>
              </w:rPr>
            </w:pPr>
            <w:r>
              <w:rPr>
                <w:rFonts w:ascii="Arial" w:cs="Arial" w:eastAsia="Arial" w:hAnsi="Arial"/>
                <w:sz w:val="14"/>
                <w:szCs w:val="14"/>
                <w:b w:val="1"/>
                <w:bCs w:val="1"/>
                <w:color w:val="auto"/>
              </w:rPr>
              <w:t>Accumulated Amortization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Protego</w:t>
            </w: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8"/>
              </w:rPr>
              <w:t>Braveheart</w:t>
            </w: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Protego</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Braveheart</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Protego</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Braveheart</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Client Backlog</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$2,710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12,840</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$15,550</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$2,710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Client Relationships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5"/>
              </w:rPr>
              <w:t>0.25</w:t>
            </w:r>
          </w:p>
        </w:tc>
        <w:tc>
          <w:tcPr>
            <w:tcW w:w="9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1020" w:type="dxa"/>
            <w:vAlign w:val="bottom"/>
            <w:gridSpan w:val="3"/>
          </w:tcPr>
          <w:p>
            <w:pPr>
              <w:jc w:val="right"/>
              <w:ind w:right="152"/>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9,330</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9,410</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Broker Dealer License</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3.75</w:t>
            </w:r>
          </w:p>
        </w:tc>
        <w:tc>
          <w:tcPr>
            <w:tcW w:w="9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Financial Services Authority License</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300" w:type="dxa"/>
            <w:vAlign w:val="bottom"/>
          </w:tcPr>
          <w:p>
            <w:pPr>
              <w:spacing w:after="0"/>
              <w:rPr>
                <w:sz w:val="18"/>
                <w:szCs w:val="18"/>
                <w:color w:val="auto"/>
              </w:rPr>
            </w:pPr>
          </w:p>
        </w:tc>
        <w:tc>
          <w:tcPr>
            <w:tcW w:w="7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Non-compete/Non-solicit Agreements</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3.75</w:t>
            </w:r>
          </w:p>
        </w:tc>
        <w:tc>
          <w:tcPr>
            <w:tcW w:w="9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172</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3,474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22,432</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25,906</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2,975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14,526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Expense associated with the amortization of intangibles was $2,654 and $15,037 for the period August 10, 2006 through December 31, 2006, and for the year ended December 31, 2007, respectively.</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Included in Goodwill and Intangible Assets at December 31, 2007 was $341 and $588, respectively, of amounts related to the exchange of non-controlling interests pursuant to the IPO. The intangible asset is net of $252 of accumulated amortization at December 31, 2007.</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has assessed whether there was any impairment of its Goodwill or Intangible Asset balances at November 30, 2007. No adjustment was deemed necessary.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intangible assets above as of December 31, 2007, annual amortization of intangibles for each of the next five years is as follows: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680" w:type="dxa"/>
            <w:vAlign w:val="bottom"/>
            <w:shd w:val="clear" w:color="auto" w:fill="CCEEFF"/>
          </w:tcPr>
          <w:p>
            <w:pPr>
              <w:jc w:val="right"/>
              <w:ind w:right="4232"/>
              <w:spacing w:after="0"/>
              <w:rPr>
                <w:sz w:val="20"/>
                <w:szCs w:val="20"/>
                <w:color w:val="auto"/>
              </w:rPr>
            </w:pPr>
            <w:r>
              <w:rPr>
                <w:rFonts w:ascii="Arial" w:cs="Arial" w:eastAsia="Arial" w:hAnsi="Arial"/>
                <w:sz w:val="18"/>
                <w:szCs w:val="18"/>
                <w:color w:val="auto"/>
                <w:w w:val="84"/>
              </w:rPr>
              <w:t>2008</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1,906</w:t>
            </w:r>
          </w:p>
        </w:tc>
      </w:tr>
      <w:tr>
        <w:trPr>
          <w:trHeight w:val="216"/>
        </w:trPr>
        <w:tc>
          <w:tcPr>
            <w:tcW w:w="4680" w:type="dxa"/>
            <w:vAlign w:val="bottom"/>
          </w:tcPr>
          <w:p>
            <w:pPr>
              <w:jc w:val="right"/>
              <w:ind w:right="4232"/>
              <w:spacing w:after="0"/>
              <w:rPr>
                <w:sz w:val="20"/>
                <w:szCs w:val="20"/>
                <w:color w:val="auto"/>
              </w:rPr>
            </w:pPr>
            <w:r>
              <w:rPr>
                <w:rFonts w:ascii="Arial" w:cs="Arial" w:eastAsia="Arial" w:hAnsi="Arial"/>
                <w:sz w:val="18"/>
                <w:szCs w:val="18"/>
                <w:color w:val="auto"/>
                <w:w w:val="84"/>
              </w:rPr>
              <w:t>2009</w:t>
            </w:r>
          </w:p>
        </w:tc>
        <w:tc>
          <w:tcPr>
            <w:tcW w:w="44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1,900</w:t>
            </w:r>
          </w:p>
        </w:tc>
      </w:tr>
      <w:tr>
        <w:trPr>
          <w:trHeight w:val="216"/>
        </w:trPr>
        <w:tc>
          <w:tcPr>
            <w:tcW w:w="4680" w:type="dxa"/>
            <w:vAlign w:val="bottom"/>
            <w:shd w:val="clear" w:color="auto" w:fill="CCEEFF"/>
          </w:tcPr>
          <w:p>
            <w:pPr>
              <w:jc w:val="right"/>
              <w:ind w:right="4232"/>
              <w:spacing w:after="0"/>
              <w:rPr>
                <w:sz w:val="20"/>
                <w:szCs w:val="20"/>
                <w:color w:val="auto"/>
              </w:rPr>
            </w:pPr>
            <w:r>
              <w:rPr>
                <w:rFonts w:ascii="Arial" w:cs="Arial" w:eastAsia="Arial" w:hAnsi="Arial"/>
                <w:sz w:val="18"/>
                <w:szCs w:val="18"/>
                <w:color w:val="auto"/>
                <w:w w:val="84"/>
              </w:rPr>
              <w:t>2010</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1,900</w:t>
            </w:r>
          </w:p>
        </w:tc>
      </w:tr>
      <w:tr>
        <w:trPr>
          <w:trHeight w:val="216"/>
        </w:trPr>
        <w:tc>
          <w:tcPr>
            <w:tcW w:w="4680" w:type="dxa"/>
            <w:vAlign w:val="bottom"/>
          </w:tcPr>
          <w:p>
            <w:pPr>
              <w:jc w:val="right"/>
              <w:ind w:right="4232"/>
              <w:spacing w:after="0"/>
              <w:rPr>
                <w:sz w:val="20"/>
                <w:szCs w:val="20"/>
                <w:color w:val="auto"/>
              </w:rPr>
            </w:pPr>
            <w:r>
              <w:rPr>
                <w:rFonts w:ascii="Arial" w:cs="Arial" w:eastAsia="Arial" w:hAnsi="Arial"/>
                <w:sz w:val="18"/>
                <w:szCs w:val="18"/>
                <w:color w:val="auto"/>
                <w:w w:val="84"/>
              </w:rPr>
              <w:t>2011</w:t>
            </w:r>
          </w:p>
        </w:tc>
        <w:tc>
          <w:tcPr>
            <w:tcW w:w="44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1,762</w:t>
            </w:r>
          </w:p>
        </w:tc>
      </w:tr>
      <w:tr>
        <w:trPr>
          <w:trHeight w:val="216"/>
        </w:trPr>
        <w:tc>
          <w:tcPr>
            <w:tcW w:w="4680" w:type="dxa"/>
            <w:vAlign w:val="bottom"/>
            <w:shd w:val="clear" w:color="auto" w:fill="CCEEFF"/>
          </w:tcPr>
          <w:p>
            <w:pPr>
              <w:jc w:val="right"/>
              <w:ind w:right="4232"/>
              <w:spacing w:after="0"/>
              <w:rPr>
                <w:sz w:val="20"/>
                <w:szCs w:val="20"/>
                <w:color w:val="auto"/>
              </w:rPr>
            </w:pPr>
            <w:r>
              <w:rPr>
                <w:rFonts w:ascii="Arial" w:cs="Arial" w:eastAsia="Arial" w:hAnsi="Arial"/>
                <w:sz w:val="18"/>
                <w:szCs w:val="18"/>
                <w:color w:val="auto"/>
                <w:w w:val="84"/>
              </w:rPr>
              <w:t>2012</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Parties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remits payment for expenses on behalf of the Private Equity Funds and is reimbursed accordingly. During the periods January 1, 2006 through August 9, 2006 and August 10, 2006 through December 31, 2006 and the twelve months ended December 31, 2007, the Company disbursed $830, $108 and $1,108, respectively, on behalf of these entities.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Receivable from Employees and Related Parties on the Consolidated Statements of Financial Condition consisted of the following at December 31, 2006 and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0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2006</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Advances to Individuals Related to Employment Offers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Personal Expenses Paid on Behalf of Employees and Related Parties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 Due From Portfolio Companies of the Company’s Private Equity Funds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Reimbursable Expenses Relating to the Private Equity Funds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1,189</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2,239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Employees and Related Parties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2,632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5,003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Pursuant to the acquisition of Braveheart, the Company issued $3,000 of interest-bearing notes to Braveheart’s shareholders. These notes bear interest at LIBOR plus 100 basis points and are due in 2010 but may be redeemed by the holders at any time after October 31, 2007. These notes and related interest have a balance of $3,195 at December 31, 2007, and are reflected in Payable to Employees and Related Parties on the Consolidated Statements of Financial Condition.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Payable to Employees and Related Parties on the Consolidated Statements of Financial Condition consisted of the following at December 31, 2006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2006</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r>
      <w:tr>
        <w:trPr>
          <w:trHeight w:val="210"/>
        </w:trPr>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Payables Relating to Private Equity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Payable to EAM</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Protego</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Amounts Due Pursuant to Tax Receivable Agreements(a)</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1,229</w:t>
            </w:r>
          </w:p>
        </w:tc>
        <w:tc>
          <w:tcPr>
            <w:tcW w:w="20" w:type="dxa"/>
            <w:vAlign w:val="bottom"/>
          </w:tcPr>
          <w:p>
            <w:pPr>
              <w:spacing w:after="0"/>
              <w:rPr>
                <w:sz w:val="18"/>
                <w:szCs w:val="18"/>
                <w:color w:val="auto"/>
              </w:rPr>
            </w:pPr>
          </w:p>
        </w:tc>
      </w:tr>
      <w:tr>
        <w:trPr>
          <w:trHeight w:val="216"/>
        </w:trPr>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Payable to the Shareholders of Braveheart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3,195</w:t>
            </w:r>
          </w:p>
        </w:tc>
        <w:tc>
          <w:tcPr>
            <w:tcW w:w="20" w:type="dxa"/>
            <w:vAlign w:val="bottom"/>
          </w:tcPr>
          <w:p>
            <w:pPr>
              <w:spacing w:after="0"/>
              <w:rPr>
                <w:sz w:val="18"/>
                <w:szCs w:val="18"/>
                <w:color w:val="auto"/>
              </w:rPr>
            </w:pPr>
          </w:p>
        </w:tc>
      </w:tr>
      <w:tr>
        <w:trPr>
          <w:trHeight w:val="222"/>
        </w:trPr>
        <w:tc>
          <w:tcPr>
            <w:tcW w:w="10080" w:type="dxa"/>
            <w:vAlign w:val="bottom"/>
            <w:gridSpan w:val="2"/>
          </w:tcPr>
          <w:p>
            <w:pPr>
              <w:spacing w:after="0"/>
              <w:rPr>
                <w:sz w:val="20"/>
                <w:szCs w:val="20"/>
                <w:color w:val="auto"/>
              </w:rPr>
            </w:pPr>
            <w:r>
              <w:rPr>
                <w:rFonts w:ascii="Arial" w:cs="Arial" w:eastAsia="Arial" w:hAnsi="Arial"/>
                <w:sz w:val="18"/>
                <w:szCs w:val="18"/>
                <w:color w:val="auto"/>
              </w:rPr>
              <w:t>Payable to Employees and Related Parties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3,644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4,424</w:t>
            </w:r>
          </w:p>
        </w:tc>
      </w:tr>
      <w:tr>
        <w:trPr>
          <w:trHeight w:val="20"/>
        </w:trPr>
        <w:tc>
          <w:tcPr>
            <w:tcW w:w="116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Relates to the current portion of the Member exchange of Evercore LP partnership units for common shares of the Company. The long-term portion of</w:t>
      </w:r>
    </w:p>
    <w:p>
      <w:pPr>
        <w:spacing w:after="0" w:line="38" w:lineRule="exact"/>
        <w:rPr>
          <w:rFonts w:ascii="Arial" w:cs="Arial" w:eastAsia="Arial" w:hAnsi="Arial"/>
          <w:sz w:val="16"/>
          <w:szCs w:val="16"/>
          <w:color w:val="auto"/>
        </w:rPr>
      </w:pPr>
    </w:p>
    <w:p>
      <w:pPr>
        <w:ind w:left="460" w:right="40"/>
        <w:spacing w:after="0" w:line="261" w:lineRule="auto"/>
        <w:rPr>
          <w:rFonts w:ascii="Arial" w:cs="Arial" w:eastAsia="Arial" w:hAnsi="Arial"/>
          <w:sz w:val="16"/>
          <w:szCs w:val="16"/>
          <w:color w:val="auto"/>
        </w:rPr>
      </w:pPr>
      <w:r>
        <w:rPr>
          <w:rFonts w:ascii="Arial" w:cs="Arial" w:eastAsia="Arial" w:hAnsi="Arial"/>
          <w:sz w:val="18"/>
          <w:szCs w:val="18"/>
          <w:color w:val="auto"/>
        </w:rPr>
        <w:t>$37,575 is disclosed in Amounts Pursuant to Tax Receivable Agreements on the Consolidated Statement of Financial Condition at December 31, 2007. See Notes 10 and 18 for further information.</w:t>
      </w:r>
    </w:p>
    <w:p>
      <w:pPr>
        <w:spacing w:after="0" w:line="13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Investment Management Revenue includes income from related parties earned from the Company’s Private Equity Funds for portfolio company fees, management fees, expense reimbursements and realized and unrealized gains and losses of private equity fund investments. Total Investment Management revenues from related parties amounted to $14,584, $17,229, $5,359, and $20,188 for the twelve months ended December 31, 2005, the periods January 1, 2006 through August 9, 2006, August 10, 2006 through December 31, 2006 and the twelve months ended December 31, 2007, respectively.</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Included in income from related parties for the twelve months ended December 31, 2007, is $18,130 of advisory fees earned from clients that have Senior Managing Directors as a member of their Board of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Trading Securities and Financial Instruments Owned and Pledged as Collateral at Fair Value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had $4,216 and $3,890, of securities managed by EAM at December 31, 2006 and 2007, respectively. These investments managed by EAM are reflected as Trading Securities on the Consolidated Statement of Financial Condition and are stated at quoted market value. For the period January 1, 2006 through August 9, 2006, and August 10, 2006 through December 31, 2006, and the twelve months ended December 31, 2007, these investments resulted in net unrealized and realized gains/(losses) and dividend income of $(160), $515 and $(1,004), respectively, and are included on the Combined/Consolidated Statements of Operations in Investment Management Revenue. Also included in Trading Securities on the Consolidated Statements of Financial Condition are $5,998 and $3,757 of EAM Fund Investments at December 31, 2006 and 2007, respectively. The investment had net unrealized and realized gains/(losses) of $(1,243) for the twelve months ended December 31, 2007. The funds principally hold readily-marketable securities.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financial instruments owned and pledged as collateral, which consist principally of foreign government obligations, are recorded on a trade date basis and are stated at quoted market values. Related gains and losses are reflected in Interest Income and Other Revenue on the Combined/Consolidated Statements of Operations. The Successor Company pledges financial instruments owned to collateralize certain financing agreements and permits the counterparty to pledge the securities. At December 31, 2006 and 2007, the Company had $73,847 and $226,868 included on the Consolidated Statement of Financial Condition as Financial Instruments Owned and Pledged as Collateral at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Securities Purchased Under Agreements to Resell and Securities Sold Under Agreements to Repurchase</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As part of the Successor Company, PCB had Securities Purchased Under Agreements to Resell of $10,266 and $58,834 at December 31, 2006 and 2007, respectively, for which it had received collateral with a fair value of $10,267 and $58,641 at December 31, 2006 and 2007, respectively. Additionally, as part of the Successor Company, PCB had Securities Sold Under Agreements to Repurchase of $84,135 and $285,864 at December 31, 2006 and 2007, respectively, for which it had pledged collateral with a fair value of $84,115 and $285,508 at December 31, 2006 and 2007,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Investments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Company’s investments reported in the Consolidated Statements of Financial Condition consist of investments in Private Equity Funds and the Company’s equity interest in EAM. The Company holds a 41.7% interest in EAM that is accounted for under the equity method.</w:t>
      </w:r>
    </w:p>
    <w:p>
      <w:pPr>
        <w:spacing w:after="0" w:line="85"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Prior to the IPO, investments in the Private Equity Funds primarily included the general partner and Founders’ entities investments in the Private Equity Funds. Subsequent to the IPO, the investments primarily include investments in ECP II and the Discovery Fund. Portfolio holdings of the Private Equity Funds are fair valued as discussed in Note 2 – Significant Accounting Policies. Accordingly, the Company reflects its pro rata share of unrealized gains and losses of those fair values. Additionally, the Company reflects it’s pro rata share of unrealized gains, losses and carried interest associated with any investment realizations.</w:t>
      </w:r>
    </w:p>
    <w:p>
      <w:pPr>
        <w:spacing w:after="0" w:line="9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Net realized and unrealized gains and (losses) on Private Equity Fund investments, including carried interest, were $(998), $4,943, $1,887 and $5,581 for the twelve months ended December 31, 2005, the periods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January 1, 2006 through August 9, 2006, August 10, 2006 through December 31, 2006 and the twelve months ended December 31, 2007, respectively, and are included on the Combined/Consolidated Statements of Operations in Investment Management Revenue.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Private Equity Funds as of December 31, 2006 and 2007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ECP II</w:t>
            </w:r>
          </w:p>
        </w:tc>
        <w:tc>
          <w:tcPr>
            <w:tcW w:w="4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$ 7,274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Discovery Fund</w:t>
            </w:r>
          </w:p>
        </w:tc>
        <w:tc>
          <w:tcPr>
            <w:tcW w:w="35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2,311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Private Equity Funds</w:t>
            </w:r>
          </w:p>
        </w:tc>
        <w:tc>
          <w:tcPr>
            <w:tcW w:w="3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$ 9,585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$ 14,815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16 – Commitments and Contingencies for commitments of future capital contributions to the Private Equity Funds.</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31, 2006 and 2007, EAM had a carrying value of $426 and $1,468, respectively. In January 2007, the Company invested an additional $1,947 in EAM. For the periods January 1, 2006 through August 9, 2006, August 10, 2006 through December 31, 2006 and the twelve months ended December 31, 2007, the investment resulted in unrealized losses of $299, $412 and $905, respectively, which are included on the Combined/Consolidated Statements of Operations in Investment Management Revenue.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Furniture, Equipment and Leasehold Improvements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Equipment and Leasehold Improvements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$ 2,777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2,354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Computer-related Equipment</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Software</w:t>
            </w:r>
          </w:p>
        </w:tc>
        <w:tc>
          <w:tcPr>
            <w:tcW w:w="23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3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(4,353)</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Furniture, Equipment and Leasehold Improvements, Net</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$ 4,373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Depreciation and amortization expense for Furniture, Equipment and Leasehold Improvements totaled $778 for the twelve months ended December 31, 2005, $666 for the period January 1, 2006 through August 9, 2006, $580 for the period August 10, 2006 through December 31, 2006 and $2,384 for the twelve months ended December 31,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2007, the Company sold 1,581,778 newly-issued shares of Class A common stock at $29.50 per share, less an underwriting discount of $1.55 per share and direct expenses of issuing the shares of $2,139. The Company used the net proceeds from the newly-issued shares to purchase an additional 1,581,778 newly-issued</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80"/>
          </w:cols>
          <w:pgMar w:left="240" w:top="459" w:right="3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Evercore LP partnership units from Evercore LP. The result of the above transactions was an increase in Common Stock and Additional Paid-in-Capital of $16 and $42,058, respectively, on the Company’s Consolidated Statement of Financial Condition as of December 31, 2007.</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also purchased 31,903 Class A common shares of Treasury Stock from an employee at $30.35 per share during 2007. The Company accounts for purchases of Treasury Stock at cost and includes the Treasury Stock as a separate component of Stockholders’ Equity until such time as the Treasury Stock is retired. The result of the above transaction was an increase in Treasury Stock of $968 on the Company’s Consolidated Statement of Financial Condition as of December 31, 2007.</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During 2007, the Company issued 159,000 shares for consideration in association with the acquisition of Braveheart, resulting in an increase to Common Stock and Additional Paid-In-Capital of $2 and $3,507, respectively, on the Consolidated Statement of Financial Condition as of December 31, 2007.</w:t>
      </w:r>
    </w:p>
    <w:p>
      <w:pPr>
        <w:spacing w:after="0" w:line="85"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Company accounts for exchanges of Evercore LP partnership units for shares of Class A common stock of the Company based on the carrying amounts of the Members’ Evercore LP partnership units immediately before the exchange. During 2007, Members exchanged 2,942,932 Evercore LP partnership units for shares of Class A common stock of the Company on a one-for-one basis. This exchange and others resulted in an increase in Common Stock and Additional Paid-in-Capital of $29 and $9,650, respectively, and a corresponding decrease in Minority Interest of $9,679 on the Company’s Consolidated Statement of Financial Condition as of December 31, 2007. Additionally, due to the exchange, causing a step up in tax basis, and pursuant to a Tax Receivable Agreement, Additional Paid-In-Capital increased $6,605 on the Company’s Consolidated Statement of Financial Condition as of December 31, 2007. See Note 18</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Income Taxes. The Members, including the Founding Members, subsequently sold 2,942,932 shares of Class A common stock to a syndicate of underwriters in a public offering of the Company’s common stock. This sale resulted in Messrs. Altman, Beutner and Aspe, and trusts benefiting their families and permitted transferees, collectively, ceasing to beneficially own at least 90% of the aggregate Evercore LP partnership units owned by them on the date of the Reorganization, which in turn resulted in the vesting of 4,735,867, or approximately 50%, of unvested Evercore LP partnership units, 1,007,064 unvested restricted stock units (“RSUs”) and 90,606 unvested shares of restricted stock. The vesting of Evercore LP partnership units resulted in a non-cash charge to compensation expense and an offsetting increase in Minority Interest of $99,453 on the Company’s Consolidated Statement of Financial Condition as of December 31, 2007, and the vesting of RSUs and restricted stock resulted in a $23,804 non-cash charge to compensation expense and an offsetting increase in Common Stock, Additional Paid-in-Capital and Stock-based Compensation Awards of $1, $3,047 and $20,756, respectively on the Company’s Consolidated Statement of Financial Condition as of December 31, 2007. See Note 15 – Stock-Based Compensation.</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twelve months ended December 31, 2007, the Company declared and paid dividends of $0.41 per share, totaling $4,650. The Company’s Board of Directors declared on February 5, 2008, a quarterly cash dividend of $0.12 per share, to the holders of Class A common stock as of February 29, 2008, which will be paid on March 14,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96"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Defined Contribution Retirement Plan </w:t>
      </w:r>
      <w:r>
        <w:rPr>
          <w:rFonts w:ascii="Arial" w:cs="Arial" w:eastAsia="Arial" w:hAnsi="Arial"/>
          <w:sz w:val="18"/>
          <w:szCs w:val="18"/>
          <w:color w:val="auto"/>
        </w:rPr>
        <w:t>– The Company, through a subsidiary, provides certain retirement benefits to employees through a 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plan. The Evercore Partners Services East L.L.C. Retirement Plan (the “Plan”) is a defined contribution plan with a salary deferral feature under Section 401(k)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Internal Revenue Code. It also includes a discretionary profit sharing feature. The Plan was formed on February 1, 1996 and subsequently amended. The Plan year ends on December 31 of each year. The Company, at its sole discretion, determines the amount, if any, of profit to be contributed to the Plan.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plan costs of $603, $0 and $0 for the twelve months ended December 31, 2005, 2006 and 2007, respectively.</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Evercore Europe Defined Contribution Benefit Plan </w:t>
      </w:r>
      <w:r>
        <w:rPr>
          <w:rFonts w:ascii="Arial" w:cs="Arial" w:eastAsia="Arial" w:hAnsi="Arial"/>
          <w:sz w:val="16"/>
          <w:szCs w:val="16"/>
          <w:color w:val="auto"/>
        </w:rPr>
        <w:t>– Evercore Europe established the Evercore Partners Limited Group Personal Pension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“Evercore Europe Plan”), a defined contribution benefit plan, in November 2006 for Evercore Europe employees. The Evercore Europe Plan has a salary deferral feature as permitted under existing tax guidelines for HM Customs and Revenue, the Inland Revenue Service in the United Kingdom. Evercore Europe employees must elect to participate in the plan, and Evercore Europe has a minimum annualized contribution of 15% to 50% of an employee’s salary for all employees who participate, depending on the respective employee’s level within the Company.</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Evercore Europe employees are also eligible to contribute up to 10% of their salary to the Evercore Europe Plan. Under the terms of the Evercore Europe Plan, if an employee contributes a minimum of 7.5% to 10% of their salary to the plan, Evercore Europe must make a matching contribution of 5% to 10% of the employee’s salary depending on the employee’s level within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Evercore Europe Plan costs for the twelve months ended December 31, 2007 totaled $1,069.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Short Term Borrowings</w:t>
      </w:r>
    </w:p>
    <w:p>
      <w:pPr>
        <w:spacing w:after="0" w:line="96"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On December 30, 2005, the Company executed a $30,000 credit agreement with a syndicated group of lenders that matured on the earlier of the consummation of the IPO or December 30, 2006 (the “Line of Credit”). The Line of Credit was a 364-day revolving facility that bore interest at a rate of either:</w:t>
      </w:r>
    </w:p>
    <w:p>
      <w:pPr>
        <w:ind w:right="20" w:firstLine="8"/>
        <w:spacing w:after="0" w:line="290" w:lineRule="auto"/>
        <w:tabs>
          <w:tab w:leader="none" w:pos="19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LIBOR plus 200 basis points (the “Eurodollar Loan”) or 2) the greater of: a) the Prime Rate or b) Federal Funds Effective Rate plus 100 basis points (the “Base Rate Loan”) for any amount drawn. The Company could elect either the Eurodollar Loan or the Base Rate Loan and either election included a commitment fee of 50 basis points for any unused portion. The Company was required to maintain liquid assets as a percentage of any amounts drawn on the facility based on the following schedule: from March 30, 2006 through June 30, 2006: 30%; from July 1, 2006 through September 30, 2006: 50%; and from October 1, 2006 through the termination date: 75%. The Members also pledged their beneficial interests in the Company as collateral for the Line of Credit. The Company maintained compliance with all covenants under the Line of Credit.</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Line of Credit was used for additional working capital purposes including, but not limited to, funding of the Company’s ongoing investment programs. Costs incurred in 2005 in connection with obtaining this credit facility totaled $607. The Company amortized all of these costs for the twelve months ended December 31, 2006, which is reflected in Financing Costs on the Combined/Consolidated Statement of Operations.</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January 12, 2006, the Company drew down $25,000 on the Line of Credit for additional working capital purposes at an interest rate of 6.6%. On June 22, 2006, the Company drew down an additional $5,000 at an effective interest rate of 7.48%. For the period of January 1, 2006 through August 9, 2006, August 10, 2006 through December 31, 2006 and the twelve months ended December 31, 2007, the Company incurred $16, $0 and $0 respectively, for the commitment fee expense, and $1,083, $11 and $0 respectively, for the interest expense. The Line of Credit was terminated on August 16, 2006 and repaid in full subsequent to the IPO.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PCB maintains a line of credit with BBVA Bancomer to fund its trading activities on an intra-day and overnight basis. The intra-day facility is approximately $20,000, secured with trading securities and interest is charged at the Inter-Bank Balance Interest Rate plus 10 basis points, while the overnight facility is approximately $1,000, unsecured and interest is charged at two times the Inter-Bank Balance Interest Rate. There have been no drawdowns on PCB’s line of credit since August 10,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Minority Interest</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Minority interest recorded on the combined financial statements of the Predecessor Company relates to the minority interest of an unrelated third party in EVM, the general partner of EVP. EVM was owned by the Founding Members, an unrelated third party, which owned approximately 53% and Evercore Venture Partners L.L.C., which owned approximately 47%. Evercore Venture Partners L.L.C. is under common ownership of the Company and is the managing member of EVM. As a result, the Company included in its Combined Statements of Operations all of the net income of EVM with an appropriate minority interest of approximately 53%.</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Minority Interest recorded in the consolidated financial statements of the Successor Company relates to the interest of the Members in Evercore LP and a 30% interest in PCB not owned by the Company.</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minority interest ownership of the Members in Evercore LP associated with their vested Evercore LP partnership units was $36,918 and $46,339 as of December 31, 2006 and 2007, respectively. Changes in the minority ownership of the Members in Evercore LP during the twelve months ended December 31, 2007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$ 36,918</w:t>
            </w:r>
          </w:p>
        </w:tc>
        <w:tc>
          <w:tcPr>
            <w:tcW w:w="7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Changes during the twelve months ended December 31, 2007:</w:t>
            </w:r>
          </w:p>
        </w:tc>
        <w:tc>
          <w:tcPr>
            <w:tcW w:w="1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Adoption of FIN 48—see Note 18</w:t>
            </w:r>
          </w:p>
        </w:tc>
        <w:tc>
          <w:tcPr>
            <w:tcW w:w="3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(671)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Operating loss</w:t>
            </w:r>
          </w:p>
        </w:tc>
        <w:tc>
          <w:tcPr>
            <w:tcW w:w="3140" w:type="dxa"/>
            <w:vAlign w:val="bottom"/>
            <w:gridSpan w:val="3"/>
          </w:tcPr>
          <w:p>
            <w:pPr>
              <w:jc w:val="right"/>
              <w:ind w:right="640"/>
              <w:spacing w:after="0"/>
              <w:rPr>
                <w:sz w:val="20"/>
                <w:szCs w:val="20"/>
                <w:color w:val="auto"/>
              </w:rPr>
            </w:pPr>
            <w:r>
              <w:rPr>
                <w:rFonts w:ascii="Arial" w:cs="Arial" w:eastAsia="Arial" w:hAnsi="Arial"/>
                <w:sz w:val="18"/>
                <w:szCs w:val="18"/>
                <w:color w:val="auto"/>
              </w:rPr>
              <w:t>(32,841)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partners</w:t>
            </w:r>
          </w:p>
        </w:tc>
        <w:tc>
          <w:tcPr>
            <w:tcW w:w="3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(47,218)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Exchange of Evercore LP partnership units for Evercore Class A common shares</w:t>
            </w:r>
          </w:p>
        </w:tc>
        <w:tc>
          <w:tcPr>
            <w:tcW w:w="3140" w:type="dxa"/>
            <w:vAlign w:val="bottom"/>
            <w:gridSpan w:val="3"/>
          </w:tcPr>
          <w:p>
            <w:pPr>
              <w:jc w:val="right"/>
              <w:ind w:right="640"/>
              <w:spacing w:after="0"/>
              <w:rPr>
                <w:sz w:val="20"/>
                <w:szCs w:val="20"/>
                <w:color w:val="auto"/>
              </w:rPr>
            </w:pPr>
            <w:r>
              <w:rPr>
                <w:rFonts w:ascii="Arial" w:cs="Arial" w:eastAsia="Arial" w:hAnsi="Arial"/>
                <w:sz w:val="18"/>
                <w:szCs w:val="18"/>
                <w:color w:val="auto"/>
              </w:rPr>
              <w:t>(9,679)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Vesting of additional Evercore LP partnership units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99,453</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including PCB</w:t>
            </w:r>
          </w:p>
        </w:tc>
        <w:tc>
          <w:tcPr>
            <w:tcW w:w="18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$ 46,339</w:t>
            </w:r>
          </w:p>
        </w:tc>
        <w:tc>
          <w:tcPr>
            <w:tcW w:w="7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Net Income (Loss) Per Share</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Net income per share information is not applicable for reporting periods prior to August 10, 2006. The calculations of basic and diluted net income (loss) per share amounts for the period August 10, 2006 through December 31, 2006 and the twelve months ended December 31, 2007, are described and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Net Income (Loss) Per Share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Numerator </w:t>
      </w:r>
      <w:r>
        <w:rPr>
          <w:rFonts w:ascii="Arial" w:cs="Arial" w:eastAsia="Arial" w:hAnsi="Arial"/>
          <w:sz w:val="18"/>
          <w:szCs w:val="18"/>
          <w:color w:val="auto"/>
        </w:rPr>
        <w:t>– utilizes net income (loss) available for Class A common stockholders.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Denominator </w:t>
      </w:r>
      <w:r>
        <w:rPr>
          <w:rFonts w:ascii="Arial" w:cs="Arial" w:eastAsia="Arial" w:hAnsi="Arial"/>
          <w:sz w:val="18"/>
          <w:szCs w:val="18"/>
          <w:color w:val="auto"/>
        </w:rPr>
        <w:t>– utilizes the weighted average shares of Class A common stock outstanding, including 207 and 865 vested RSUs, for the period August 10,</w:t>
      </w:r>
      <w:r>
        <w:rPr>
          <w:rFonts w:ascii="Arial" w:cs="Arial" w:eastAsia="Arial" w:hAnsi="Arial"/>
          <w:sz w:val="18"/>
          <w:szCs w:val="18"/>
          <w:i w:val="1"/>
          <w:iCs w:val="1"/>
          <w:color w:val="auto"/>
        </w:rPr>
        <w:t xml:space="preserve"> </w:t>
      </w:r>
      <w:r>
        <w:rPr>
          <w:rFonts w:ascii="Arial" w:cs="Arial" w:eastAsia="Arial" w:hAnsi="Arial"/>
          <w:sz w:val="18"/>
          <w:szCs w:val="18"/>
          <w:color w:val="auto"/>
        </w:rPr>
        <w:t>2006 through December 31, 2006 and for the twelve months ended December 31,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Income (Loss) Per Share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Numerator </w:t>
      </w:r>
      <w:r>
        <w:rPr>
          <w:rFonts w:ascii="Arial" w:cs="Arial" w:eastAsia="Arial" w:hAnsi="Arial"/>
          <w:sz w:val="18"/>
          <w:szCs w:val="18"/>
          <w:color w:val="auto"/>
        </w:rPr>
        <w:t>– utilizes net income (loss) available for Class A common stockholders as in the basic net income (loss) per share calculation described above,</w:t>
      </w:r>
      <w:r>
        <w:rPr>
          <w:rFonts w:ascii="Arial" w:cs="Arial" w:eastAsia="Arial" w:hAnsi="Arial"/>
          <w:sz w:val="18"/>
          <w:szCs w:val="18"/>
          <w:i w:val="1"/>
          <w:iCs w:val="1"/>
          <w:color w:val="auto"/>
        </w:rPr>
        <w:t xml:space="preserve"> </w:t>
      </w:r>
      <w:r>
        <w:rPr>
          <w:rFonts w:ascii="Arial" w:cs="Arial" w:eastAsia="Arial" w:hAnsi="Arial"/>
          <w:sz w:val="18"/>
          <w:szCs w:val="18"/>
          <w:color w:val="auto"/>
        </w:rPr>
        <w:t>plus the minority interest related to the assumed exchange of Members’ Evercore LP partnership units for shares of Class A common stock, offset by assumed additional corporate taxes.</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 xml:space="preserve">Denominator </w:t>
      </w:r>
      <w:r>
        <w:rPr>
          <w:rFonts w:ascii="Arial" w:cs="Arial" w:eastAsia="Arial" w:hAnsi="Arial"/>
          <w:sz w:val="18"/>
          <w:szCs w:val="18"/>
          <w:color w:val="auto"/>
        </w:rPr>
        <w:t>– utilizes the weighted average shares of Class A common stock outstanding, including vested RSUs, as in the basic net income (loss)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calculation described above, plus the assumed exchange of Members’ Evercore LP partnership units for shares of Class A common stock, plus additional shares of the Company’s common stock assumed to be issued pursuant to non-vested restricted stock, RSUs and certain Evercore LP partnership units as calculated using the treasury stock method.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i w:val="1"/>
                <w:iCs w:val="1"/>
                <w:color w:val="auto"/>
                <w:w w:val="83"/>
              </w:rPr>
              <w:t>Consolidated</w:t>
            </w:r>
          </w:p>
        </w:tc>
        <w:tc>
          <w:tcPr>
            <w:tcW w:w="30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i w:val="1"/>
                <w:iCs w:val="1"/>
                <w:color w:val="auto"/>
                <w:w w:val="81"/>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For the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Twelve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August 10,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2006 through</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2006</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gridSpan w:val="2"/>
          </w:tcPr>
          <w:p>
            <w:pPr>
              <w:spacing w:after="0" w:line="142" w:lineRule="exact"/>
              <w:rPr>
                <w:sz w:val="20"/>
                <w:szCs w:val="20"/>
                <w:color w:val="auto"/>
              </w:rPr>
            </w:pPr>
            <w:r>
              <w:rPr>
                <w:rFonts w:ascii="Arial" w:cs="Arial" w:eastAsia="Arial" w:hAnsi="Arial"/>
                <w:sz w:val="14"/>
                <w:szCs w:val="14"/>
                <w:color w:val="auto"/>
              </w:rPr>
              <w:t>(share amounts in thousands)</w:t>
            </w:r>
          </w:p>
        </w:tc>
        <w:tc>
          <w:tcPr>
            <w:tcW w:w="340" w:type="dxa"/>
            <w:vAlign w:val="bottom"/>
          </w:tcPr>
          <w:p>
            <w:pPr>
              <w:spacing w:after="0"/>
              <w:rPr>
                <w:sz w:val="12"/>
                <w:szCs w:val="12"/>
                <w:color w:val="auto"/>
              </w:rPr>
            </w:pPr>
          </w:p>
        </w:tc>
        <w:tc>
          <w:tcPr>
            <w:tcW w:w="8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SUCCESSOR</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SUCCESSOR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 of Class A Common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available for Class A common stockholders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shares of Class A common stock outstanding, including vested RSUs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80" w:type="dxa"/>
            <w:vAlign w:val="bottom"/>
            <w:gridSpan w:val="2"/>
          </w:tcPr>
          <w:p>
            <w:pPr>
              <w:spacing w:after="0"/>
              <w:rPr>
                <w:sz w:val="20"/>
                <w:szCs w:val="20"/>
                <w:color w:val="auto"/>
              </w:rPr>
            </w:pPr>
            <w:r>
              <w:rPr>
                <w:rFonts w:ascii="Arial" w:cs="Arial" w:eastAsia="Arial" w:hAnsi="Arial"/>
                <w:sz w:val="18"/>
                <w:szCs w:val="18"/>
                <w:color w:val="auto"/>
              </w:rPr>
              <w:t>Basic Net Income (Loss) Per Share of Class A Common Stock</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0.76</w:t>
            </w:r>
          </w:p>
        </w:tc>
        <w:tc>
          <w:tcPr>
            <w:tcW w:w="380" w:type="dxa"/>
            <w:vAlign w:val="bottom"/>
          </w:tcPr>
          <w:p>
            <w:pPr>
              <w:spacing w:after="0"/>
              <w:rPr>
                <w:sz w:val="19"/>
                <w:szCs w:val="19"/>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 of Class A Common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available for Class A common stockholders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Add (deduct)—dilutive effect of:</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Minority Interest related to the assumed exchange of Members’ Evercore LP partnership units for Class 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common shares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(a)</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w w:val="98"/>
              </w:rPr>
              <w:t>Associated corporate taxes related to the assumed elimination of Minority Interest described above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available for Class A common stockholders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(34,495)</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shares of Class A common stock outstanding, including vested RSUs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Add—dilutive effect of:</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Assumed exchange of Members’ Evercore LP partnership units for Class A common shares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(a)</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w w:val="91"/>
              </w:rPr>
              <w:t>Additional shares of the Company’s common stock assumed to be issued pursuant to non-vested restricted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660" w:type="dxa"/>
            <w:vAlign w:val="bottom"/>
          </w:tcPr>
          <w:p>
            <w:pPr>
              <w:ind w:left="1060"/>
              <w:spacing w:after="0"/>
              <w:rPr>
                <w:sz w:val="20"/>
                <w:szCs w:val="20"/>
                <w:color w:val="auto"/>
              </w:rPr>
            </w:pPr>
            <w:r>
              <w:rPr>
                <w:rFonts w:ascii="Arial" w:cs="Arial" w:eastAsia="Arial" w:hAnsi="Arial"/>
                <w:sz w:val="18"/>
                <w:szCs w:val="18"/>
                <w:color w:val="auto"/>
                <w:w w:val="93"/>
              </w:rPr>
              <w:t>stock, RSUs and certain Evercore LP partnership units, as calculated using the treasury stock method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weighted average number of shares of Class A common stock outstanding</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80" w:type="dxa"/>
            <w:vAlign w:val="bottom"/>
            <w:gridSpan w:val="2"/>
          </w:tcPr>
          <w:p>
            <w:pPr>
              <w:spacing w:after="0"/>
              <w:rPr>
                <w:sz w:val="20"/>
                <w:szCs w:val="20"/>
                <w:color w:val="auto"/>
              </w:rPr>
            </w:pPr>
            <w:r>
              <w:rPr>
                <w:rFonts w:ascii="Arial" w:cs="Arial" w:eastAsia="Arial" w:hAnsi="Arial"/>
                <w:sz w:val="18"/>
                <w:szCs w:val="18"/>
                <w:color w:val="auto"/>
              </w:rPr>
              <w:t>Diluted Net Income (Loss) Per Share of Class A Common Stock</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0.76</w:t>
            </w:r>
          </w:p>
        </w:tc>
        <w:tc>
          <w:tcPr>
            <w:tcW w:w="380" w:type="dxa"/>
            <w:vAlign w:val="bottom"/>
          </w:tcPr>
          <w:p>
            <w:pPr>
              <w:spacing w:after="0"/>
              <w:rPr>
                <w:sz w:val="19"/>
                <w:szCs w:val="19"/>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ind w:left="562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hanging="452"/>
        <w:spacing w:after="0" w:line="290"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During the period August 10, 2006 through December 31, 2006 and the twelve months ended December 31, 2007, the Evercore LP partnership units (which represent the right to receive shares of Class A common stock upon exchange) were antidilutive and consequently the effect of their exchange into shares of Class A common stock has been excluded from the calculation of diluted net income (loss) per share of Class A common stock. The units that would have been included in the computation of diluted net loss per share of Class A common stock if the effect would have been dilutive were 13,548 for the period August 10, 2006 through December 31, 2006 and 14,655 for the twelve months ended December 31, 2007. Antidilution is the result of the vested Evercore LP partnership units bearing a portion of income allocable to vested RSUs, as well as the Company having a loss for the twelve months ended December 31, 2007.</w:t>
      </w:r>
    </w:p>
    <w:p>
      <w:pPr>
        <w:spacing w:after="0" w:line="37" w:lineRule="exact"/>
        <w:rPr>
          <w:rFonts w:ascii="Arial" w:cs="Arial" w:eastAsia="Arial" w:hAnsi="Arial"/>
          <w:sz w:val="16"/>
          <w:szCs w:val="16"/>
          <w:color w:val="auto"/>
        </w:rPr>
      </w:pPr>
    </w:p>
    <w:p>
      <w:pPr>
        <w:ind w:left="460" w:right="200" w:hanging="452"/>
        <w:spacing w:after="0" w:line="318"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During the twelve months ended December 31, 2007, the additional shares of the Company’s common stock assumed to be issued pursuant to non-vested restricted stock, RSUs and certain Evercore LP partnership units as calculated using the treasury stock method were antidilutive and consequently the additional shares have been excluded from the calculation of diluted net loss per share of Class A common stock. The additional shares that would have been included in the computation of diluted net loss per share of Class A common stock if the effect would have been dilutive were 154 for the twelve months ended December 31, 2007. Antidilution is the result of the Company having a loss for the twelve months ended December 31, 2007.</w:t>
      </w:r>
    </w:p>
    <w:p>
      <w:pPr>
        <w:spacing w:after="0" w:line="10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basic and diluted net income (loss) per share of Class B common stock have not been presented.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Stock-Based Compensation</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Effective January 1, 2006, the Company adopted SFAS 123(R), which requires the measurement and recognition of compensation expense for all stock-based payment awards made to employees and directors including employee stock options and other forms of equity compensation based on estimated fair values.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2006 Stock Incentive Plan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2006 the Company’s stockholders and board of directors adopted the Evercore Partners Inc. 2006 Stock Incentive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Plan”). The 2006 Plan permits the Company to grant to key employees, directors and consultants incentive stock options, non-qualified stock options, stock appreciation rights, restricted stock, RSUs and other awards based on the Company’s Class A common stock. The total number of shares of Class A common stock which may be issued under the 2006 Plan is 20,000,000 and the Company intends to use newly-issued shares of Class A common stock to satisfy any awards under the 2006 Plan. Shares of Class A common stock underlying any award granted under the 2006 Plan that expire, terminate or are cancelled or satisfied for any reason without being settled in stock again become available for awards under the 2006 Plan. The total shares available to be granted in the future under the 2006 Plan were 17,736,329 and 15,428,193 as of December 31, 2006 and 2007, respectively.</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2008 the Company granted to certain employees and directors 1,241,980 RSUs pursuant to the 2006 Plan. Of these RSUs 204,630 are fully vested and 1,037,350 are unvested.</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Equity Grants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Evercore LP Partnership Units</w:t>
      </w:r>
      <w:r>
        <w:rPr>
          <w:rFonts w:ascii="Arial" w:cs="Arial" w:eastAsia="Arial" w:hAnsi="Arial"/>
          <w:sz w:val="18"/>
          <w:szCs w:val="18"/>
          <w:color w:val="auto"/>
        </w:rPr>
        <w:t>. At the time of the Reorganization, Members and certain trusts benefiting certain of their families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13,547,797 vested and 9,589,032 unvested Evercore LP partnership units. The Evercore LP partnership units are exchangeable into Class A common stock of the Company on a one-for-one basis once vested. During the twelve months ended December 31, 2007, 4,735,867 Evercore LP partnership units vested when the Company’s Founding Members and the chairman of Protego,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trusts benefiting their families and permitted transferees, collectively, ceased to beneficially own at least 90% of the aggregate Evercore LP partnership units owned by them on the date the Reorganization was effected. The Company recorded $99,453 in compensation expense during 2007, which represented the value of the 4,735,867 Evercore LP partnership units at the date of the Reorganization. In addition, the Company entered into a severance agreement with an employee which modified the award terms, that resulted in an expense of $2,275 in 2007. The remaining unvested Evercore LP partnership units will vest upon the earliest to occur of the following events:</w:t>
      </w:r>
    </w:p>
    <w:p>
      <w:pPr>
        <w:spacing w:after="0" w:line="62" w:lineRule="exact"/>
        <w:rPr>
          <w:sz w:val="20"/>
          <w:szCs w:val="20"/>
          <w:color w:val="auto"/>
        </w:rPr>
      </w:pPr>
    </w:p>
    <w:p>
      <w:pPr>
        <w:ind w:left="900" w:right="78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when the Founding Members and chairman of Protego, and trusts benefiting their families and permitted transferees, collectively, cease to beneficially own at least 50% of the aggregate Evercore LP partnership units owned by them at the time of the Reorganization;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change of control of the Company;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two of the Founding Members and the chairman of Protego are not employed by, or do not serve as a director of, Evercore Partners Inc. or one of its affiliates within a 10-year period following the IPO.</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100% of the unvested Evercore LP partnership units will vest if such Member dies or becomes disabled while employed by the Company. The Company’s Equity Committee, which is comprised of the Founding Members and the chairman of Protego, may also accelerate vesting of unvested Evercore LP partnership units at any time.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Equity Grants – Restricted Stock and RSUs</w:t>
      </w:r>
      <w:r>
        <w:rPr>
          <w:rFonts w:ascii="Arial" w:cs="Arial" w:eastAsia="Arial" w:hAnsi="Arial"/>
          <w:sz w:val="16"/>
          <w:szCs w:val="16"/>
          <w:color w:val="auto"/>
        </w:rPr>
        <w:t>. At the time of the IPO, and pursuant to the 2006 Plan, the Company granted to the Company’s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2,286,055 RSUs, which are convertible into Class A common stock on a one-for-one basis once vested. At the time of the IPO 207,116 of the RSUs fully-vested and, as a result, the Company recorded compensation expense at the time of the IPO equal to the value of these fully-vested RSUs. The remaining unvested RSUs have the same vesting requirements as the unvested Evercore LP partnership units described above.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of the Company’s four outside directors at the date of the IPO received a one-time award of 2,381 RSUs upon their initial appointment to the Board.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RSUs were issued pursuant to the 2006 Plan and vest, and are being amortized into compensation expense, over two years.</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Subsequent to the IPO, the Company granted new and existing employees RSUs and restricted stock. Certain of these awards vest upon the same terms as the Evercore LP partnership units issued at the time of the Reorganization and the RSUs issued at the time of the IPO(“Event-based Awards”) and certain of these awards vest from one to five years (“Service-based Awards”). During 2007, pursuant to the 2006 Plan, the Company granted employees 90,606 shares of restricted stock and 90,479 RSUs that are Event-based Awards and 475,810 shares of restricted stock and 1,873,447 RSUs that are Service-based Awards. These awards had grant date fair values of $21.12 to $33.64 per share. During 2007, 1,127,830 Event-based Awards vested and the Company recorded $25,570 in compensation expense. Compensation expense related to Service-based Awards was $9,539 for the twelve months ended December 31, 2007.</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recorded stock compensation expense of approximately $4,349 during the period August 10, 2006 through December 31, 2006 related to the grant of 207,116 vested RSUs granted to employees at the date of the IPO and valued at the IPO price of $21.00 per share. Stock compensation expense is included in Employee Compensation and Benefits in the Consolidated Statement of Income. The total income tax benefit related to stock-based compensation arrangements recognized in the Company’s Consolidated Statement of Income for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period August 10, 2006 through December 31, 2006 was $583. Each outside director received a one-time award of RSUs with a value of $50 upon their initial appointment to the Board. These RSUs will vest over two years. The Company recorded $50 of stock compensation expense related to these grants in the period August 10, 2006 through December 31, 2006.</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activity related to stock-based compensation awards during the twelve months ended December 31, 2007: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Event-based Awards</w:t>
            </w:r>
          </w:p>
        </w:tc>
        <w:tc>
          <w:tcPr>
            <w:tcW w:w="6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Service-based Awards</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2"/>
              </w:rPr>
              <w:t>Maximum</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2"/>
              </w:rPr>
              <w:t>Maximum</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Grant Date</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Weighted</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Remaining</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Weighted</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Remaining</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9"/>
              </w:rPr>
              <w:t>Number of</w:t>
            </w: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Average Fair</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Term</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Term (in</w:t>
            </w: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Number</w:t>
            </w: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Average Fair</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Term</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Term</w:t>
            </w:r>
          </w:p>
        </w:tc>
      </w:t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4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months)</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months)</w:t>
            </w:r>
          </w:p>
        </w:tc>
        <w:tc>
          <w:tcPr>
            <w:tcW w:w="3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of Shares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4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months)</w:t>
            </w: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months)</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7"/>
              </w:rPr>
              <w:t>Unvested Balance at January 1, 2007</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11,636,062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244,357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2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181,085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6,712</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2,349,257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60,904</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(219,378)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(4,606)</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(2,828)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420"/>
              <w:spacing w:after="0"/>
              <w:rPr>
                <w:sz w:val="20"/>
                <w:szCs w:val="20"/>
                <w:color w:val="auto"/>
              </w:rPr>
            </w:pPr>
            <w:r>
              <w:rPr>
                <w:rFonts w:ascii="Arial" w:cs="Arial" w:eastAsia="Arial" w:hAnsi="Arial"/>
                <w:sz w:val="18"/>
                <w:szCs w:val="18"/>
                <w:color w:val="auto"/>
              </w:rPr>
              <w:t>Vested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(5,940,852)</w:t>
            </w: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(127,298)</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December 31,</w:t>
            </w: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40" w:type="dxa"/>
            <w:vAlign w:val="bottom"/>
            <w:shd w:val="clear" w:color="auto" w:fill="CCEEFF"/>
          </w:tcPr>
          <w:p>
            <w:pPr>
              <w:jc w:val="right"/>
              <w:ind w:right="2292"/>
              <w:spacing w:after="0"/>
              <w:rPr>
                <w:sz w:val="20"/>
                <w:szCs w:val="20"/>
                <w:color w:val="auto"/>
              </w:rPr>
            </w:pPr>
            <w:r>
              <w:rPr>
                <w:rFonts w:ascii="Arial" w:cs="Arial" w:eastAsia="Arial" w:hAnsi="Arial"/>
                <w:sz w:val="18"/>
                <w:szCs w:val="18"/>
                <w:color w:val="auto"/>
              </w:rPr>
              <w:t>2007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5,656,917</w:t>
            </w:r>
          </w:p>
        </w:tc>
        <w:tc>
          <w:tcPr>
            <w:tcW w:w="4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119,165</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2,355,953</w:t>
            </w:r>
          </w:p>
        </w:tc>
        <w:tc>
          <w:tcPr>
            <w:tcW w:w="4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61,014</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Management has concluded that at the current time it is not probable that the conditions relating to the vesting of unvested Event-based Awards will be achieved or satisfied.</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total income tax benefit related to stock-based compensation arrangements recognized in the Company’s Consolidated Statements of Operations for the twelve months ended December 31, 2007, was $6,829.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96"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b w:val="1"/>
          <w:bCs w:val="1"/>
          <w:i w:val="1"/>
          <w:iCs w:val="1"/>
          <w:color w:val="auto"/>
        </w:rPr>
        <w:t xml:space="preserve">Operating Leases </w:t>
      </w:r>
      <w:r>
        <w:rPr>
          <w:rFonts w:ascii="Arial" w:cs="Arial" w:eastAsia="Arial" w:hAnsi="Arial"/>
          <w:sz w:val="15"/>
          <w:szCs w:val="15"/>
          <w:color w:val="auto"/>
        </w:rPr>
        <w:t>– The Company leases office space under non-cancelable lease agreements, which expire on various dates through 2023. The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reflects lease expense over the lease terms on a straight-line basis. Occupancy lease agreements, in addition to base rentals, generally are subject to escalation provisions based on certain costs incurred by the landlord. Occupancy and Equipment Rental on the Combined/Consolidated Statements of Operations for the twelve months ended December 31, 2005, the periods January 1, 2006 through August 9, 2006, August 10, 2006 through December 31, 2006 and the twelve months ended December 31, 2007 includes $2,151, $1,747, $1,398 and $10,344, respectively, of occupancy rental expense relating to operating leases.</w:t>
      </w:r>
    </w:p>
    <w:p>
      <w:pPr>
        <w:spacing w:after="0" w:line="10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2006, the Company agreed to lease an additional 124,000 square feet of office space at the Company’s principal executive offices at 55 East 52nd Street, New York, New York. The term of the lease expires on April 29, 2023. The Company has sublet a portion of this space to a third party. In connection with the execution of the lease, the Company delivered a security deposit in the form of an unsecured letter of credit in the amount of $4,789. If the Company does not meet certain covenants of the unsecured letter of credit agreement, the Company may be required to secure the letter of credit. The Company was required to maintain compensating balances of $1,519 and $0 as of December 31, 2006 and 2007, respectively. No amounts have been drawn down under the respective letters of credit.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In connection with a lease entered into during 2007 for additional office space in San Francisco, the Company entered into an irrevocable standby letter of credit in the amount of $91.</w:t>
      </w:r>
    </w:p>
    <w:p>
      <w:pPr>
        <w:spacing w:after="0" w:line="13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Prior to the IPO, the Company had entered into an operating lease for a fractional interest of a private corporate aircraft. For the year ended December 31, 2005 and the period January 1, 2006 to August 9, 2006, rental expense for the fractional lease of the aircraft was included in Travel and Related Expenses on the Consolidated Statements of Operations and totaled $105 and $17, respectively. The lease was terminated in the first quarter of 2006.</w:t>
      </w:r>
    </w:p>
    <w:p>
      <w:pPr>
        <w:spacing w:after="0" w:line="107"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 Company has entered into various operating leases for the use of certain office equipment and furniture. For the twelve months ended December 31, 2005, the periods January 1, 2006 through August 9, 2006 and August 10, 2006 through December 31, 2006 and the twelve months ended December 31, 2007, rental expense for office equipment totaled $165, $74, $46 and $480, respectively. Rental expense for office equipment and furniture is included in Occupancy and Equipment Rental on the Combined/Consolidated Statements of Operations.</w:t>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140" w:type="dxa"/>
            <w:vAlign w:val="bottom"/>
            <w:gridSpan w:val="2"/>
          </w:tcPr>
          <w:p>
            <w:pPr>
              <w:spacing w:after="0"/>
              <w:rPr>
                <w:sz w:val="20"/>
                <w:szCs w:val="20"/>
                <w:color w:val="auto"/>
              </w:rPr>
            </w:pPr>
            <w:r>
              <w:rPr>
                <w:rFonts w:ascii="Arial" w:cs="Arial" w:eastAsia="Arial" w:hAnsi="Arial"/>
                <w:sz w:val="18"/>
                <w:szCs w:val="18"/>
                <w:color w:val="auto"/>
                <w:w w:val="89"/>
              </w:rPr>
              <w:t>As of December 31, 2007, the approximate aggregate minimum future payments required on the operating leases are as follows: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109,478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156,013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Capital Leases </w:t>
      </w:r>
      <w:r>
        <w:rPr>
          <w:rFonts w:ascii="Arial" w:cs="Arial" w:eastAsia="Arial" w:hAnsi="Arial"/>
          <w:sz w:val="18"/>
          <w:szCs w:val="18"/>
          <w:color w:val="auto"/>
        </w:rPr>
        <w:t>– The Company has entered into various capital leases for office equipment. As of December 31, 2007, the leases had an aggregate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balance of $95, all of which is classified as current. Interest expense on capital leases for the twelve months ended December 31, 2005, 2006 and 2007 was $29, $20 and $9,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net investment in these leases, which is included in Furniture, Equipment and Leasehold Improvements, Net, as of December 31, 2006 and 2007, was $207 and $84, respectively.</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Capitalized Office Equipment Leases</w:t>
            </w:r>
          </w:p>
        </w:tc>
        <w:tc>
          <w:tcPr>
            <w:tcW w:w="5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$ 718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4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(634)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5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400" w:type="dxa"/>
            <w:vAlign w:val="bottom"/>
            <w:vMerge w:val="restart"/>
          </w:tcPr>
          <w:p>
            <w:pPr>
              <w:jc w:val="right"/>
              <w:ind w:right="3092"/>
              <w:spacing w:after="0"/>
              <w:rPr>
                <w:sz w:val="20"/>
                <w:szCs w:val="20"/>
                <w:color w:val="auto"/>
              </w:rPr>
            </w:pPr>
            <w:r>
              <w:rPr>
                <w:rFonts w:ascii="Arial" w:cs="Arial" w:eastAsia="Arial" w:hAnsi="Arial"/>
                <w:sz w:val="18"/>
                <w:szCs w:val="18"/>
                <w:color w:val="auto"/>
              </w:rPr>
              <w:t>81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6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9100" w:type="dxa"/>
            <w:vAlign w:val="bottom"/>
          </w:tcPr>
          <w:p>
            <w:pPr>
              <w:jc w:val="center"/>
              <w:ind w:left="392"/>
              <w:spacing w:after="0"/>
              <w:rPr>
                <w:sz w:val="20"/>
                <w:szCs w:val="20"/>
                <w:color w:val="auto"/>
              </w:rPr>
            </w:pPr>
            <w:r>
              <w:rPr>
                <w:rFonts w:ascii="Arial" w:cs="Arial" w:eastAsia="Arial" w:hAnsi="Arial"/>
                <w:sz w:val="18"/>
                <w:szCs w:val="18"/>
                <w:b w:val="1"/>
                <w:bCs w:val="1"/>
                <w:color w:val="auto"/>
                <w:w w:val="96"/>
              </w:rPr>
              <w:t>EVERCORE PARTNERS INC.</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460" w:type="dxa"/>
            <w:vAlign w:val="bottom"/>
          </w:tcPr>
          <w:p>
            <w:pPr>
              <w:spacing w:after="0"/>
              <w:rPr>
                <w:sz w:val="24"/>
                <w:szCs w:val="24"/>
                <w:color w:val="auto"/>
              </w:rPr>
            </w:pPr>
          </w:p>
        </w:tc>
        <w:tc>
          <w:tcPr>
            <w:tcW w:w="9100" w:type="dxa"/>
            <w:vAlign w:val="bottom"/>
          </w:tcPr>
          <w:p>
            <w:pPr>
              <w:jc w:val="center"/>
              <w:ind w:left="392"/>
              <w:spacing w:after="0"/>
              <w:rPr>
                <w:sz w:val="20"/>
                <w:szCs w:val="20"/>
                <w:color w:val="auto"/>
              </w:rPr>
            </w:pPr>
            <w:r>
              <w:rPr>
                <w:rFonts w:ascii="Arial" w:cs="Arial" w:eastAsia="Arial" w:hAnsi="Arial"/>
                <w:sz w:val="18"/>
                <w:szCs w:val="18"/>
                <w:b w:val="1"/>
                <w:bCs w:val="1"/>
                <w:color w:val="auto"/>
                <w:w w:val="98"/>
              </w:rPr>
              <w:t>NOTES TO COMBINED/CONSOLIDATED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100" w:type="dxa"/>
            <w:vAlign w:val="bottom"/>
          </w:tcPr>
          <w:p>
            <w:pPr>
              <w:jc w:val="center"/>
              <w:ind w:left="392"/>
              <w:spacing w:after="0"/>
              <w:rPr>
                <w:sz w:val="20"/>
                <w:szCs w:val="20"/>
                <w:color w:val="auto"/>
              </w:rPr>
            </w:pPr>
            <w:r>
              <w:rPr>
                <w:rFonts w:ascii="Arial" w:cs="Arial" w:eastAsia="Arial" w:hAnsi="Arial"/>
                <w:sz w:val="18"/>
                <w:szCs w:val="18"/>
                <w:b w:val="1"/>
                <w:bCs w:val="1"/>
                <w:color w:val="auto"/>
                <w:w w:val="96"/>
              </w:rPr>
              <w:t>FINANCIAL STATEMENTS—(Continued)</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100" w:type="dxa"/>
            <w:vAlign w:val="bottom"/>
          </w:tcPr>
          <w:p>
            <w:pPr>
              <w:jc w:val="center"/>
              <w:ind w:left="412"/>
              <w:spacing w:after="0"/>
              <w:rPr>
                <w:sz w:val="20"/>
                <w:szCs w:val="20"/>
                <w:color w:val="auto"/>
              </w:rPr>
            </w:pPr>
            <w:r>
              <w:rPr>
                <w:rFonts w:ascii="Arial" w:cs="Arial" w:eastAsia="Arial" w:hAnsi="Arial"/>
                <w:sz w:val="18"/>
                <w:szCs w:val="18"/>
                <w:color w:val="auto"/>
                <w:w w:val="86"/>
              </w:rPr>
              <w:t>(dollars in thousands, except per share amounts, unless otherwise noted)</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560" w:type="dxa"/>
            <w:vAlign w:val="bottom"/>
            <w:gridSpan w:val="2"/>
          </w:tcPr>
          <w:p>
            <w:pPr>
              <w:spacing w:after="0"/>
              <w:rPr>
                <w:sz w:val="20"/>
                <w:szCs w:val="20"/>
                <w:color w:val="auto"/>
              </w:rPr>
            </w:pPr>
            <w:r>
              <w:rPr>
                <w:rFonts w:ascii="Arial" w:cs="Arial" w:eastAsia="Arial" w:hAnsi="Arial"/>
                <w:sz w:val="18"/>
                <w:szCs w:val="18"/>
                <w:color w:val="auto"/>
                <w:w w:val="95"/>
              </w:rPr>
              <w:t>As of December 31, 2007, the approximate aggregate minimum future payments required on the capital leases are as follows: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9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Less Interest Discount</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Total Present Value of Future Minimum Lease Payments</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Long-term Portion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At December 31, 2007, the Company has unfunded commitments for capital contributions of $9.1 million to the Private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and Evercore Mexico Capital Partners II, L.P. (“EMCP II”). These commitments primarily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normal course of business, from time to time the Company and its affiliates may be involved in judicial, regulatory and arbitration proceedings concerning matters arising in connection with the conduct of its businesses. In addition, Mexican, United Kingdom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or its directors, officers or employees.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Company contests liability and/or the amount of damages as appropriate in each pending matter. In view of the inherent difficulty of predicting the outcome of such matters, particularly in cases where claimants seek substantial or indeterminate damages or where investigations and proceedings are in the early stages, the Company cannot predict with certainty the loss or range of loss, if any, related to such matters, how or if such matters will be resolved, when they will ultimately be resolved, or what the eventual settlement, fine, penalty or other relief, if any, might be. Subject to the foregoing, and except for the pending matter described in the paragraphs below, the Company believes, based on current knowledge and after consultation with counsel, that the outcome of the pending matters will not have a material adverse effect on the consolidated financial condition of the Company, although the outcome of such matters could be material to the Company’s operating results and cash flows for a particular future period, depending on, among other things, the level of the Company’s revenues or income for such period. Legal reserves are established in accordance with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(“SFAS 5”). Once established, reserves are adjusted when there is more information available or when an event occurs requiring a change.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Additionally, in the past, the Company or its present personnel have been named as a defendant in civil litigation matters involving present or former clients.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Regulatory Authorities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EGL is a U.S. registered broker-dealer and is subject to the net capital requirements of Rule 15c3-1 under the Exchange Act. Rule 15c3-1 requires the maintenance of net capital, as defined, which shall be the greater of $5 or 6 2/3% of aggregate indebtedness, as defined. EGL’s regulatory net capital as of December 31, 2006 and 2007 was $11,229 and $16,937, respectively, which exceeded the minimum net capital requirement by $10,874 and $15,718, respectively. Certain other non-U.S. subsidiaries are subject to various securities and banking regulations and capital adequacy requirements promulgated by the regulatory and exchange authorities of the countries in which they operate. These subsidiaries have consistently operated in excess of their local capital adequacy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Income Taxes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Prior to August 10, 2006, the Company had not been subject to U.S. federal income tax, but had been subject to the New York City UBT and New York City general corporate tax on its U.S. earnings, and certain non-income tax fees in other jurisdictions where the Company had registered offices and conducted business. As a result of the Reorganization and IPO, the operating business entities of the Company were restructured and a portion of the Company’s income is subject to U.S. federal, state, local and foreign income taxes and is taxed at the prevailing corporate tax rates. Taxes Payable as of December 31, 2006 and 2007, were $5,822 and $3,961,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the provision for income taxes reflected on the Combined/Consolidated Statements of Operations for the twelve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the periods January 1, 2006 through August 9, 2006 and August 10, 2006 through December 31, 2006 and the twelve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consist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Combined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7"/>
              </w:rPr>
              <w:t>Combined</w:t>
            </w: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84"/>
              </w:rPr>
              <w:t>For the Period</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5"/>
              </w:rPr>
              <w:t>Consolidated</w:t>
            </w: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For the Twelve</w:t>
            </w:r>
          </w:p>
        </w:tc>
        <w:tc>
          <w:tcPr>
            <w:tcW w:w="7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For the Twelve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6"/>
              </w:rPr>
              <w:t>through</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 2005</w:t>
            </w:r>
          </w:p>
        </w:tc>
        <w:tc>
          <w:tcPr>
            <w:tcW w:w="7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August 9, 2006</w:t>
            </w:r>
          </w:p>
        </w:tc>
        <w:tc>
          <w:tcPr>
            <w:tcW w:w="900" w:type="dxa"/>
            <w:vAlign w:val="bottom"/>
          </w:tcPr>
          <w:p>
            <w:pPr>
              <w:spacing w:after="0"/>
              <w:rPr>
                <w:sz w:val="14"/>
                <w:szCs w:val="14"/>
                <w:color w:val="auto"/>
              </w:rPr>
            </w:pPr>
          </w:p>
        </w:tc>
        <w:tc>
          <w:tcPr>
            <w:tcW w:w="20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7"/>
              </w:rPr>
              <w:t>December 31, 2006</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9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SUCCESSOR</w:t>
            </w:r>
          </w:p>
        </w:tc>
        <w:tc>
          <w:tcPr>
            <w:tcW w:w="94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940"/>
              <w:spacing w:after="0"/>
              <w:rPr>
                <w:sz w:val="20"/>
                <w:szCs w:val="20"/>
                <w:color w:val="auto"/>
              </w:rPr>
            </w:pPr>
            <w:r>
              <w:rPr>
                <w:rFonts w:ascii="Arial" w:cs="Arial" w:eastAsia="Arial" w:hAnsi="Arial"/>
                <w:sz w:val="18"/>
                <w:szCs w:val="18"/>
                <w:color w:val="auto"/>
              </w:rPr>
              <w:t>1,954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State and Local</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3,444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right"/>
              <w:ind w:right="940"/>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7,536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8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and Local</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Total Deferred</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6,030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restart"/>
          </w:tcPr>
          <w:p>
            <w:pPr>
              <w:jc w:val="right"/>
              <w:ind w:right="432"/>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The effective tax rates for the period January 1, 2006 through August 9, 2006 was 3.5% and for the period August 10, 2006 through December 31, 2006 was 23.4%, compared to 5.1% for the calendar year ended 2005. The effective tax rate for the twelve months ended December 31, 2007 was (22.6%). A reconciliation between the statutory federal income tax rate and the Company’s effective tax rate for the twelve months ended December 31, 2005, the periods January 1, 2006 through August 9, 2006 and August 10, 2006 through December 31, 2006 and the twelve months ended December 31, 2007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6"/>
              </w:rPr>
              <w:t>January 1,</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2006</w:t>
            </w:r>
          </w:p>
        </w:tc>
        <w:tc>
          <w:tcPr>
            <w:tcW w:w="980" w:type="dxa"/>
            <w:vAlign w:val="bottom"/>
          </w:tcPr>
          <w:p>
            <w:pPr>
              <w:spacing w:after="0"/>
              <w:rPr>
                <w:sz w:val="12"/>
                <w:szCs w:val="12"/>
                <w:color w:val="auto"/>
              </w:rPr>
            </w:pPr>
          </w:p>
        </w:tc>
        <w:tc>
          <w:tcPr>
            <w:tcW w:w="17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August 10,</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through</w:t>
            </w:r>
          </w:p>
        </w:tc>
        <w:tc>
          <w:tcPr>
            <w:tcW w:w="17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2006 through</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060" w:type="dxa"/>
            <w:vAlign w:val="bottom"/>
            <w:gridSpan w:val="2"/>
          </w:tcPr>
          <w:p>
            <w:pPr>
              <w:jc w:val="right"/>
              <w:ind w:right="1180"/>
              <w:spacing w:after="0" w:line="149" w:lineRule="exact"/>
              <w:rPr>
                <w:sz w:val="20"/>
                <w:szCs w:val="20"/>
                <w:color w:val="auto"/>
              </w:rPr>
            </w:pPr>
            <w:r>
              <w:rPr>
                <w:rFonts w:ascii="Arial" w:cs="Arial" w:eastAsia="Arial" w:hAnsi="Arial"/>
                <w:sz w:val="14"/>
                <w:szCs w:val="14"/>
                <w:b w:val="1"/>
                <w:bCs w:val="1"/>
                <w:color w:val="auto"/>
              </w:rPr>
              <w:t>Year Ended</w:t>
            </w:r>
          </w:p>
        </w:tc>
        <w:tc>
          <w:tcPr>
            <w:tcW w:w="16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August 9,</w:t>
            </w:r>
          </w:p>
        </w:tc>
        <w:tc>
          <w:tcPr>
            <w:tcW w:w="17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20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5"/>
              </w:rPr>
              <w:t>December 31, 2005</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9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96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December 31, 2007</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Federal Statutory Tax Rates</w:t>
            </w:r>
          </w:p>
        </w:tc>
        <w:tc>
          <w:tcPr>
            <w:tcW w:w="1100" w:type="dxa"/>
            <w:vAlign w:val="bottom"/>
            <w:tcBorders>
              <w:top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U.S. Statutory Tax Rate</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35.0%</w:t>
            </w: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35.0%</w:t>
            </w: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35.0%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Due to State and Local Taxes</w:t>
            </w:r>
          </w:p>
        </w:tc>
        <w:tc>
          <w:tcPr>
            <w:tcW w:w="20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5.1%</w:t>
            </w: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3.5%</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6.8%</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Rate Benefits as a Limited Liability company</w:t>
            </w:r>
          </w:p>
        </w:tc>
        <w:tc>
          <w:tcPr>
            <w:tcW w:w="2060" w:type="dxa"/>
            <w:vAlign w:val="bottom"/>
            <w:gridSpan w:val="2"/>
          </w:tcPr>
          <w:p>
            <w:pPr>
              <w:jc w:val="right"/>
              <w:ind w:right="760"/>
              <w:spacing w:after="0"/>
              <w:rPr>
                <w:sz w:val="20"/>
                <w:szCs w:val="20"/>
                <w:color w:val="auto"/>
              </w:rPr>
            </w:pPr>
            <w:r>
              <w:rPr>
                <w:rFonts w:ascii="Arial" w:cs="Arial" w:eastAsia="Arial" w:hAnsi="Arial"/>
                <w:sz w:val="18"/>
                <w:szCs w:val="18"/>
                <w:color w:val="auto"/>
              </w:rPr>
              <w:t>(35.0)%</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(35.0)%</w:t>
            </w: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(29.8)%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Taxes</w:t>
            </w:r>
          </w:p>
        </w:tc>
        <w:tc>
          <w:tcPr>
            <w:tcW w:w="20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0.0%</w:t>
            </w: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0.0%</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11.4%</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Non-Deductible Equity Compensation</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0.0%</w:t>
            </w: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0.0%</w:t>
            </w: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Adjustments</w:t>
            </w:r>
          </w:p>
        </w:tc>
        <w:tc>
          <w:tcPr>
            <w:tcW w:w="20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0.0%</w:t>
            </w: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0.0%</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11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5.1%</w:t>
            </w: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3.5%</w:t>
            </w: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23.4%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effective tax rate was significantly impacted by the reorganization resulting from the IPO on August 10, 2006, whereby a significant percentage of the income was subject to corporate level federal, state and city taxes. Prior to the IPO, the Company was organized as a series of partnerships and flow through entities and was only subject to city taxes. The change between 2006 and 2007 is largely a result of a nondeductible equity compensation expense that was charged in 2007.</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U.S. and non-U.S. components of Income (Loss) before income tax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January 1,</w:t>
            </w:r>
          </w:p>
        </w:tc>
        <w:tc>
          <w:tcPr>
            <w:tcW w:w="8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August 10,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83"/>
              </w:rPr>
              <w:t>2006</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9"/>
              </w:rPr>
              <w:t>2006</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Year Ended</w:t>
            </w:r>
          </w:p>
        </w:tc>
        <w:tc>
          <w:tcPr>
            <w:tcW w:w="6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through</w:t>
            </w:r>
          </w:p>
        </w:tc>
        <w:tc>
          <w:tcPr>
            <w:tcW w:w="8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through</w:t>
            </w:r>
          </w:p>
        </w:tc>
        <w:tc>
          <w:tcPr>
            <w:tcW w:w="32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August 9,</w:t>
            </w:r>
          </w:p>
        </w:tc>
        <w:tc>
          <w:tcPr>
            <w:tcW w:w="11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2006</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18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66,524</w:t>
            </w:r>
          </w:p>
        </w:tc>
        <w:tc>
          <w:tcPr>
            <w:tcW w:w="1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$ 68,319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Non-U.S.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9,742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 Expense(a)</w:t>
            </w:r>
          </w:p>
        </w:tc>
        <w:tc>
          <w:tcPr>
            <w:tcW w:w="18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66,524</w:t>
            </w:r>
          </w:p>
        </w:tc>
        <w:tc>
          <w:tcPr>
            <w:tcW w:w="1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$ 68,319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9,816</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Net of Minority Interest.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ind w:left="420"/>
              <w:spacing w:after="0"/>
              <w:rPr>
                <w:sz w:val="20"/>
                <w:szCs w:val="20"/>
                <w:color w:val="auto"/>
              </w:rPr>
            </w:pPr>
            <w:r>
              <w:rPr>
                <w:rFonts w:ascii="Arial" w:cs="Arial" w:eastAsia="Arial" w:hAnsi="Arial"/>
                <w:sz w:val="18"/>
                <w:szCs w:val="18"/>
                <w:color w:val="auto"/>
              </w:rPr>
              <w:t>Step up in tax basis due to the exchange of Evercore LP Partnership Units for Shares of Class A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Deferred Tax Asset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gridSpan w:val="2"/>
            <w:vMerge w:val="restart"/>
          </w:tcPr>
          <w:p>
            <w:pPr>
              <w:spacing w:after="0"/>
              <w:rPr>
                <w:sz w:val="20"/>
                <w:szCs w:val="20"/>
                <w:color w:val="auto"/>
              </w:rPr>
            </w:pPr>
            <w:r>
              <w:rPr>
                <w:rFonts w:ascii="Arial" w:cs="Arial" w:eastAsia="Arial" w:hAnsi="Arial"/>
                <w:sz w:val="18"/>
                <w:szCs w:val="18"/>
                <w:color w:val="auto"/>
              </w:rPr>
              <w:t>Long-term Deferred Tax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494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907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Step up in tax basis due to the exchange of Evercore LP Partnership Units for Shares of Class A Common Stock</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8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373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1,774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54,877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gridSpan w:val="2"/>
            <w:vMerge w:val="restart"/>
          </w:tcPr>
          <w:p>
            <w:pPr>
              <w:spacing w:after="0"/>
              <w:rPr>
                <w:sz w:val="20"/>
                <w:szCs w:val="20"/>
                <w:color w:val="auto"/>
              </w:rPr>
            </w:pPr>
            <w:r>
              <w:rPr>
                <w:rFonts w:ascii="Arial" w:cs="Arial" w:eastAsia="Arial" w:hAnsi="Arial"/>
                <w:sz w:val="18"/>
                <w:szCs w:val="18"/>
                <w:color w:val="auto"/>
              </w:rPr>
              <w:t>Long-term Deferred Tax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and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107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gridSpan w:val="2"/>
            <w:vMerge w:val="restart"/>
          </w:tcPr>
          <w:p>
            <w:pPr>
              <w:spacing w:after="0"/>
              <w:rPr>
                <w:sz w:val="20"/>
                <w:szCs w:val="20"/>
                <w:color w:val="auto"/>
              </w:rPr>
            </w:pPr>
            <w:r>
              <w:rPr>
                <w:rFonts w:ascii="Arial" w:cs="Arial" w:eastAsia="Arial" w:hAnsi="Arial"/>
                <w:sz w:val="18"/>
                <w:szCs w:val="18"/>
                <w:color w:val="auto"/>
              </w:rPr>
              <w:t>Total Long-term Deferred Tax Liabilities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140"/>
              <w:spacing w:after="0"/>
              <w:rPr>
                <w:sz w:val="20"/>
                <w:szCs w:val="20"/>
                <w:color w:val="auto"/>
              </w:rPr>
            </w:pPr>
            <w:r>
              <w:rPr>
                <w:rFonts w:ascii="Arial" w:cs="Arial" w:eastAsia="Arial" w:hAnsi="Arial"/>
                <w:sz w:val="18"/>
                <w:szCs w:val="18"/>
                <w:color w:val="auto"/>
                <w:w w:val="79"/>
              </w:rPr>
              <w:t>107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2006 and 2007, the Company recognized net deferred tax assets related to differences between the financial reporting basis and the tax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basis of the net assets of the Company, which totaled $1,667 and $52,947, respectively. As discussed in Note 10, during 2007, Members exchanged a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Evercore LP partnership units for shares of Class A common stock of the Company. This exchange resulted in an increase in the tax basis of the tangible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intangible assets of Evercore LP, which triggered a tax receivable agreement that was entered into at the time of the Formation Transaction between the Company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the Members. The agreement provides for the Members to retain 85% of the tax benefits resulting from the exchange and for the Company to retain 15%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such benefits. The triggering of the tax receivable agreement resulted in an increase in Deferred Tax Asset – Current, Deferred Tax Asset – Non-Current, Payable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Employees and Related Parties, Amounts Due to Related Parties Pursuant to Tax Receivable Agreement and Additional Paid-in-Capital of $1,455, $44,206,</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$1,237, $37,575 and $6,849, respectively, on the Company’s Consolidated Statement of Financial Condition as of December 31, 2007. In addition, the increase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gross deferred tax assets from December 31, 2006 to December 31, 2007 was also attributable to the tax effect of a $6,829 increase due to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deductions for financial reporting purposes associated with RSUs and restricted stock that vested during the period and $2,420 related to the amortization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intangible assets associated with the Braveheart and Protego acquisitions. The $3,278 increase in deferred tax liabilities was primarily due to a $2,496 increase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 due to the tax basis difference in investments and goodwill amortization that is deductible for tax purposes.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Based on the Company’s historical taxable income and its expected future earnings, management has determined that the deferred tax assets are more likely than not to be realized.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discussed in Note 2, the Company applied the provisions of FIN 48 on January 1, 2007. The cumulative effect of the Company’s adoption of FIN 48 was a charge of $671 and $252 to the January 1, 2007 Minority Interest and Retained Earnings balances, respectively.</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A reconciliation of the changes in tax positions for the year ended December 31, 2007 is as follows:</w:t>
            </w:r>
          </w:p>
        </w:tc>
        <w:tc>
          <w:tcPr>
            <w:tcW w:w="50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90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at January 1, 2007</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79"/>
              </w:rPr>
              <w:t>$ 1,114</w:t>
            </w:r>
          </w:p>
        </w:tc>
      </w:tr>
      <w:tr>
        <w:trPr>
          <w:trHeight w:val="216"/>
        </w:trPr>
        <w:tc>
          <w:tcPr>
            <w:tcW w:w="46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681</w:t>
            </w: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740</w:t>
            </w:r>
          </w:p>
        </w:tc>
      </w:tr>
      <w:tr>
        <w:trPr>
          <w:trHeight w:val="216"/>
        </w:trPr>
        <w:tc>
          <w:tcPr>
            <w:tcW w:w="46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at December 31, 2007</w:t>
            </w: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2,535</w:t>
            </w:r>
          </w:p>
        </w:tc>
      </w:tr>
      <w:tr>
        <w:trPr>
          <w:trHeight w:val="20"/>
        </w:trPr>
        <w:tc>
          <w:tcPr>
            <w:tcW w:w="46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Included in the balance of unrecognized tax benefits at December 31, 2007, are $2,192 of tax benefits that, if recognized, would affect the effective tax rate. The Company recognizes interest accrued related to unrecognized tax benefits and penalties as income tax expense. Related to the unrecognized tax benefits noted above, the Company accrued penalties of $386 and interest of $319 during 2007 and in total, as of December 31, 2007, has recognized a liability for penalties of $760 and interest of $511.</w:t>
      </w:r>
    </w:p>
    <w:p>
      <w:pPr>
        <w:spacing w:after="0" w:line="143"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The Company does not anticipate a significant change in unrecognized tax positions as a result of the settlement of income tax audits and the expiration of statute of limitations for examining the Company’s income tax returns during the next year.</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is subject to taxation in the U.S. and various state, local and foreign jurisdictions. The Company’s tax years for 2003, 2004, 2005 and 2006 are subject to examination by the taxing authorities. With a few exceptions, the Company is no longer subject to U.S. federal, state, local or foreign examinations by taxing authorities for years before 2003.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Concentrations of Credit Risk</w:t>
      </w:r>
    </w:p>
    <w:p>
      <w:pPr>
        <w:spacing w:after="0" w:line="96"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Financial instruments that are exposed to concentrations of credit risk consist primarily of cash and cash equivalents, foreign government obligations and receivables from clients. The Company has placed its Cash and Cash Equivalents in interest-bearing deposits in U.S. banks and U.S. investment banks that meet certain rating and capital requirements. The Company’s foreign subsidiaries maintain Cash and Cash Equivalents in interest bearing accounts at large commercial banking institutions domiciled in their respective countries of operation. Concentrations of credit risk are limited due to the quality of the Company’s clients.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December 31, 2007, the Company has securities purchased under agreements to resell of $58,834 for which the Company has received collateral with a fair value of $58,641 at December 31, 2007. Additionally, the Company has securities sold under agreements to repurchase of $285,864 at December 31, 2007, for which the Company has pledged collateral with a fair value of $285,508 at December 31, 2007. To reduce the exposure to concentrations of credit from Securities Purchased Under Agreements to Resell, the Company has established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risk management procedure to monitor the exposure. The collateral for the receivables is primarily secured by Mexican government bonds and the Company monitors the collateral pledged under these agreements against their contract value from inception to maturity date.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Accounts Receivable consists primarily of advisory fees and expense reimbursements billed to our clients. Receivables are reported net of any allowance for doubtful accounts. The Company maintains an allowance for bad debts to provide coverage for probable losses from our customer receivables and derive the estimate through specific identification for the allowance for doubtful accounts and an assessment of the client’s creditworthiness. At December 31, 2006 and 2007 total receivables amounted to $55,247 and $48,420, net of an allowance. The Advisory and Investment Management receivables collection periods generally are within 90 days of invoice. The collection period for restructuring transactions and private equity fee receivables may exceed 90 days. The Company recorded bad debt expense of approximately $0 and $391 in the years ended December 31, 2006 and 2007,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Operating Results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Business Segments </w:t>
      </w:r>
      <w:r>
        <w:rPr>
          <w:rFonts w:ascii="Arial" w:cs="Arial" w:eastAsia="Arial" w:hAnsi="Arial"/>
          <w:sz w:val="18"/>
          <w:szCs w:val="18"/>
          <w:color w:val="auto"/>
        </w:rPr>
        <w:t>– The Company’s business results are categorized into the following two segments: Advisory and Investment Management.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providing advice on mergers, acquisitions, divestitures, leveraged buyouts, restructurings, and similar corporate finance matters. Investment Management includes the management of outside capital invested in the Private Equity Funds, the management of outside capital by PCB, the Company’s principal investments in the Private Equity Funds and the Company’s share of the results of EAM and the Company’s direct investments in EAM managed products.</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Company’s segment information for the twelve months ended December 31, 2005, the periods January 1, 2006 through August 9, 2006 and August 10, 2006 through December 31, 2006 and the twelve months ended December 31, 2007 is prepared using the following methodology:</w:t>
      </w:r>
    </w:p>
    <w:p>
      <w:pPr>
        <w:spacing w:after="0" w:line="4"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or for certain assets shared across segments, these assets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 gains and losses, interest income, and interest expense are allocated between the segments based on the segment in which the underlying asset or liability is held.</w:t>
      </w:r>
    </w:p>
    <w:p>
      <w:pPr>
        <w:spacing w:after="0" w:line="132"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Each segment’s Operating Expenses include: a) employee compensation and benefits expenses that are incurred directly in support of the segments and b) non-compensation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 Other Expenses include stock-based compensation costs associated with Event-based awards, plus amortization of intangibles associated with the acquisition of Protego and Braveheart.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evaluates segment results based on net revenue and operating income, both including and excluding the impact of the Other Expenses.</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Corporate level Operating Expenses represent operating expenses not specifically attributable to a segment. These expenses primarily include professional fees relating to the preparation of the Company’s historical financial statements that were not directly attributable to the IPO, costs associated with the Line of Credit and costs of operating as a public entity.</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believes that the following information provides a reasonable representation of each segment’s contribution to net revenue, operating expenses, other expenses, operating income and identifiable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full year ended December 31, 2007, one client accounted for 10% of the Company’s consolidated revenues.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1"/>
              </w:rPr>
              <w:t>Combined</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i w:val="1"/>
                <w:iCs w:val="1"/>
                <w:color w:val="auto"/>
                <w:w w:val="84"/>
              </w:rPr>
              <w:t>Combined</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3"/>
              </w:rPr>
              <w:t>Consolidated</w:t>
            </w: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i w:val="1"/>
                <w:iCs w:val="1"/>
                <w:color w:val="auto"/>
                <w:w w:val="81"/>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7"/>
              </w:rPr>
              <w:t>Twelve Months</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jc w:val="right"/>
              <w:ind w:right="916"/>
              <w:spacing w:after="0" w:line="142" w:lineRule="exact"/>
              <w:rPr>
                <w:sz w:val="20"/>
                <w:szCs w:val="20"/>
                <w:color w:val="auto"/>
              </w:rPr>
            </w:pPr>
            <w:r>
              <w:rPr>
                <w:rFonts w:ascii="Arial" w:cs="Arial" w:eastAsia="Arial" w:hAnsi="Arial"/>
                <w:sz w:val="14"/>
                <w:szCs w:val="14"/>
                <w:b w:val="1"/>
                <w:bCs w:val="1"/>
                <w:color w:val="auto"/>
                <w:w w:val="84"/>
              </w:rPr>
              <w:t>For the Period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Twelve Months</w:t>
            </w: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3"/>
          </w:tcPr>
          <w:p>
            <w:pPr>
              <w:jc w:val="center"/>
              <w:ind w:right="292"/>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452"/>
              <w:spacing w:after="0" w:line="149" w:lineRule="exact"/>
              <w:rPr>
                <w:sz w:val="20"/>
                <w:szCs w:val="20"/>
                <w:color w:val="auto"/>
              </w:rPr>
            </w:pPr>
            <w:r>
              <w:rPr>
                <w:rFonts w:ascii="Arial" w:cs="Arial" w:eastAsia="Arial" w:hAnsi="Arial"/>
                <w:sz w:val="14"/>
                <w:szCs w:val="14"/>
                <w:b w:val="1"/>
                <w:bCs w:val="1"/>
                <w:color w:val="auto"/>
                <w:w w:val="86"/>
              </w:rPr>
              <w:t>through</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2005</w:t>
            </w:r>
          </w:p>
        </w:tc>
        <w:tc>
          <w:tcPr>
            <w:tcW w:w="380" w:type="dxa"/>
            <w:vAlign w:val="bottom"/>
          </w:tcPr>
          <w:p>
            <w:pPr>
              <w:spacing w:after="0"/>
              <w:rPr>
                <w:sz w:val="14"/>
                <w:szCs w:val="14"/>
                <w:color w:val="auto"/>
              </w:rPr>
            </w:pPr>
          </w:p>
        </w:tc>
        <w:tc>
          <w:tcPr>
            <w:tcW w:w="1360" w:type="dxa"/>
            <w:vAlign w:val="bottom"/>
            <w:gridSpan w:val="3"/>
          </w:tcPr>
          <w:p>
            <w:pPr>
              <w:jc w:val="center"/>
              <w:ind w:right="312"/>
              <w:spacing w:after="0"/>
              <w:rPr>
                <w:sz w:val="20"/>
                <w:szCs w:val="20"/>
                <w:color w:val="auto"/>
              </w:rPr>
            </w:pPr>
            <w:r>
              <w:rPr>
                <w:rFonts w:ascii="Arial" w:cs="Arial" w:eastAsia="Arial" w:hAnsi="Arial"/>
                <w:sz w:val="14"/>
                <w:szCs w:val="14"/>
                <w:b w:val="1"/>
                <w:bCs w:val="1"/>
                <w:color w:val="auto"/>
                <w:w w:val="86"/>
              </w:rPr>
              <w:t>August 9, 2006</w:t>
            </w:r>
          </w:p>
        </w:tc>
        <w:tc>
          <w:tcPr>
            <w:tcW w:w="36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December 31, 2006</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2007</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PREDECESSOR</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SUCCESSOR</w:t>
            </w:r>
          </w:p>
        </w:tc>
        <w:tc>
          <w:tcPr>
            <w:tcW w:w="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2"/>
              </w:rPr>
              <w:t>SUCCESSOR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Net Revenues (1)</w:t>
            </w: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111,012</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96,582</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88,703</w:t>
            </w: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299,710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Expenses (2)</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36,605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29,812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440"/>
              <w:spacing w:after="0"/>
              <w:rPr>
                <w:sz w:val="20"/>
                <w:szCs w:val="20"/>
                <w:color w:val="auto"/>
              </w:rPr>
            </w:pPr>
            <w:r>
              <w:rPr>
                <w:rFonts w:ascii="Arial" w:cs="Arial" w:eastAsia="Arial" w:hAnsi="Arial"/>
                <w:sz w:val="18"/>
                <w:szCs w:val="18"/>
                <w:color w:val="auto"/>
              </w:rPr>
              <w:t>Other Expenses (3)</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Segment Income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74,407</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66,770</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ind w:left="440"/>
              <w:spacing w:after="0"/>
              <w:rPr>
                <w:sz w:val="20"/>
                <w:szCs w:val="20"/>
                <w:color w:val="auto"/>
              </w:rPr>
            </w:pPr>
            <w:r>
              <w:rPr>
                <w:rFonts w:ascii="Arial" w:cs="Arial" w:eastAsia="Arial" w:hAnsi="Arial"/>
                <w:sz w:val="18"/>
                <w:szCs w:val="18"/>
                <w:color w:val="auto"/>
              </w:rPr>
              <w:t>Identifiable Segment Assets (4)</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61,181</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84,926</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182,120</w:t>
            </w: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347,357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Net Revenues (1)</w:t>
            </w: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14,623</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17,043</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7,386</w:t>
            </w: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Expenses (2)</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12,165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10,810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440"/>
              <w:spacing w:after="0"/>
              <w:rPr>
                <w:sz w:val="20"/>
                <w:szCs w:val="20"/>
                <w:color w:val="auto"/>
              </w:rPr>
            </w:pPr>
            <w:r>
              <w:rPr>
                <w:rFonts w:ascii="Arial" w:cs="Arial" w:eastAsia="Arial" w:hAnsi="Arial"/>
                <w:sz w:val="18"/>
                <w:szCs w:val="18"/>
                <w:color w:val="auto"/>
              </w:rPr>
              <w:t>Other Expenses (3)</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Segment Income (Loss)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2,458</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6,233</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(44,219)</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440"/>
              <w:spacing w:after="0"/>
              <w:rPr>
                <w:sz w:val="20"/>
                <w:szCs w:val="20"/>
                <w:color w:val="auto"/>
              </w:rPr>
            </w:pPr>
            <w:r>
              <w:rPr>
                <w:rFonts w:ascii="Arial" w:cs="Arial" w:eastAsia="Arial" w:hAnsi="Arial"/>
                <w:sz w:val="18"/>
                <w:szCs w:val="18"/>
                <w:color w:val="auto"/>
              </w:rPr>
              <w:t>Identifiable Segment Assets (4)</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20,275</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420,703</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119,383</w:t>
            </w: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341,739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Corporate Level Operating Expenses</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10,333</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4,678</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 (1)</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125,635</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113,625</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Operating Expenses (2)</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59,103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45,300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63,279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Expenses (3)</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tcPr>
          <w:p>
            <w:pPr>
              <w:ind w:left="440"/>
              <w:spacing w:after="0"/>
              <w:rPr>
                <w:sz w:val="20"/>
                <w:szCs w:val="20"/>
                <w:color w:val="auto"/>
              </w:rPr>
            </w:pPr>
            <w:r>
              <w:rPr>
                <w:rFonts w:ascii="Arial" w:cs="Arial" w:eastAsia="Arial" w:hAnsi="Arial"/>
                <w:sz w:val="18"/>
                <w:szCs w:val="18"/>
                <w:color w:val="auto"/>
              </w:rPr>
              <w:t>Segment Income (Loss)</w:t>
            </w: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66,532</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68,325</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25,807</w:t>
            </w:r>
          </w:p>
        </w:tc>
        <w:tc>
          <w:tcPr>
            <w:tcW w:w="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(54,935)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Identifiable Segment Assets (4)</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81,456</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505,629</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301,503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revenues include Interest Income and Other Revenue as set forth in the table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i w:val="1"/>
                <w:iCs w:val="1"/>
                <w:color w:val="auto"/>
                <w:w w:val="84"/>
              </w:rPr>
              <w:t>Combined</w:t>
            </w: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i w:val="1"/>
                <w:iCs w:val="1"/>
                <w:color w:val="auto"/>
                <w:w w:val="84"/>
              </w:rPr>
              <w:t>Combined</w:t>
            </w: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84"/>
              </w:rPr>
              <w:t>For the Period</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i w:val="1"/>
                <w:iCs w:val="1"/>
                <w:color w:val="auto"/>
                <w:w w:val="83"/>
              </w:rPr>
              <w:t>Consolidated</w:t>
            </w: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i w:val="1"/>
                <w:iCs w:val="1"/>
                <w:color w:val="auto"/>
                <w:w w:val="83"/>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w w:val="87"/>
              </w:rPr>
              <w:t>Twelve Months</w:t>
            </w:r>
          </w:p>
        </w:tc>
        <w:tc>
          <w:tcPr>
            <w:tcW w:w="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Twelve Months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1, 2006</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Ended</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through</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6"/>
              </w:rPr>
              <w:t>through</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 2005</w:t>
            </w:r>
          </w:p>
        </w:tc>
        <w:tc>
          <w:tcPr>
            <w:tcW w:w="9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August 9, 2006</w:t>
            </w:r>
          </w:p>
        </w:tc>
        <w:tc>
          <w:tcPr>
            <w:tcW w:w="9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 2006</w:t>
            </w:r>
          </w:p>
        </w:tc>
        <w:tc>
          <w:tcPr>
            <w:tcW w:w="88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90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PREDECESSOR</w:t>
            </w:r>
          </w:p>
        </w:tc>
        <w:tc>
          <w:tcPr>
            <w:tcW w:w="9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92"/>
              </w:rPr>
              <w:t>SUCCESSOR</w:t>
            </w:r>
          </w:p>
        </w:tc>
        <w:tc>
          <w:tcPr>
            <w:tcW w:w="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24"/>
              <w:spacing w:after="0" w:line="142" w:lineRule="exact"/>
              <w:rPr>
                <w:sz w:val="20"/>
                <w:szCs w:val="20"/>
                <w:color w:val="auto"/>
              </w:rPr>
            </w:pPr>
            <w:r>
              <w:rPr>
                <w:rFonts w:ascii="Arial" w:cs="Arial" w:eastAsia="Arial" w:hAnsi="Arial"/>
                <w:sz w:val="14"/>
                <w:szCs w:val="14"/>
                <w:b w:val="1"/>
                <w:bCs w:val="1"/>
                <w:color w:val="auto"/>
                <w:w w:val="92"/>
              </w:rPr>
              <w:t>SUCCESSOR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Investment Management</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7,578</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 and Other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expenses include depreciation expense as set forth in the table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i w:val="1"/>
                <w:iCs w:val="1"/>
                <w:color w:val="auto"/>
                <w:w w:val="84"/>
              </w:rPr>
              <w:t>Combined</w:t>
            </w:r>
          </w:p>
        </w:tc>
        <w:tc>
          <w:tcPr>
            <w:tcW w:w="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i w:val="1"/>
                <w:iCs w:val="1"/>
                <w:color w:val="auto"/>
                <w:w w:val="81"/>
              </w:rPr>
              <w:t>Combined</w:t>
            </w:r>
          </w:p>
        </w:tc>
        <w:tc>
          <w:tcPr>
            <w:tcW w:w="60" w:type="dxa"/>
            <w:vAlign w:val="bottom"/>
          </w:tcPr>
          <w:p>
            <w:pPr>
              <w:spacing w:after="0"/>
              <w:rPr>
                <w:sz w:val="14"/>
                <w:szCs w:val="14"/>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6"/>
              </w:rPr>
              <w:t>For the Period</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i w:val="1"/>
                <w:iCs w:val="1"/>
                <w:color w:val="auto"/>
                <w:w w:val="83"/>
              </w:rPr>
              <w:t>Consolidated</w:t>
            </w: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i w:val="1"/>
                <w:iCs w:val="1"/>
                <w:color w:val="auto"/>
                <w:w w:val="83"/>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85"/>
              </w:rPr>
              <w:t>Twelve Months</w:t>
            </w:r>
          </w:p>
        </w:tc>
        <w:tc>
          <w:tcPr>
            <w:tcW w:w="9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Twelve Months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4"/>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Ended</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through</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 2005</w:t>
            </w:r>
          </w:p>
        </w:tc>
        <w:tc>
          <w:tcPr>
            <w:tcW w:w="94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August 9, 2006</w:t>
            </w:r>
          </w:p>
        </w:tc>
        <w:tc>
          <w:tcPr>
            <w:tcW w:w="8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 2006</w:t>
            </w:r>
          </w:p>
        </w:tc>
        <w:tc>
          <w:tcPr>
            <w:tcW w:w="94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PREDECESSOR</w:t>
            </w:r>
          </w:p>
        </w:tc>
        <w:tc>
          <w:tcPr>
            <w:tcW w:w="94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24"/>
              <w:spacing w:after="0" w:line="142" w:lineRule="exact"/>
              <w:rPr>
                <w:sz w:val="20"/>
                <w:szCs w:val="20"/>
                <w:color w:val="auto"/>
              </w:rPr>
            </w:pPr>
            <w:r>
              <w:rPr>
                <w:rFonts w:ascii="Arial" w:cs="Arial" w:eastAsia="Arial" w:hAnsi="Arial"/>
                <w:sz w:val="14"/>
                <w:szCs w:val="14"/>
                <w:b w:val="1"/>
                <w:bCs w:val="1"/>
                <w:color w:val="auto"/>
                <w:w w:val="92"/>
              </w:rPr>
              <w:t>SUCCESSOR</w:t>
            </w:r>
          </w:p>
        </w:tc>
        <w:tc>
          <w:tcPr>
            <w:tcW w:w="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24"/>
              <w:spacing w:after="0" w:line="142" w:lineRule="exact"/>
              <w:rPr>
                <w:sz w:val="20"/>
                <w:szCs w:val="20"/>
                <w:color w:val="auto"/>
              </w:rPr>
            </w:pPr>
            <w:r>
              <w:rPr>
                <w:rFonts w:ascii="Arial" w:cs="Arial" w:eastAsia="Arial" w:hAnsi="Arial"/>
                <w:sz w:val="14"/>
                <w:szCs w:val="14"/>
                <w:b w:val="1"/>
                <w:bCs w:val="1"/>
                <w:color w:val="auto"/>
                <w:w w:val="92"/>
              </w:rPr>
              <w:t>SUCCESSOR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Investment Management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expenses include stock-based compensation costs associated with Event-based awards plus amortization of intangibles associated with the acquisition of Protego and Braveheart, as set forth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1"/>
              </w:rPr>
              <w:t>Combined</w:t>
            </w: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i w:val="1"/>
                <w:iCs w:val="1"/>
                <w:color w:val="auto"/>
                <w:w w:val="84"/>
              </w:rPr>
              <w:t>Combined</w:t>
            </w:r>
          </w:p>
        </w:tc>
        <w:tc>
          <w:tcPr>
            <w:tcW w:w="92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86"/>
              </w:rPr>
              <w:t>For the Period</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1"/>
              </w:rPr>
              <w:t>Consolidated</w:t>
            </w: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i w:val="1"/>
                <w:iCs w:val="1"/>
                <w:color w:val="auto"/>
                <w:w w:val="83"/>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Twelve Months</w:t>
            </w:r>
          </w:p>
        </w:tc>
        <w:tc>
          <w:tcPr>
            <w:tcW w:w="9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Twelve Months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6"/>
              </w:rPr>
              <w:t>through</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through</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December 31, 2005</w:t>
            </w:r>
          </w:p>
        </w:tc>
        <w:tc>
          <w:tcPr>
            <w:tcW w:w="9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August 9, 2006</w:t>
            </w:r>
          </w:p>
        </w:tc>
        <w:tc>
          <w:tcPr>
            <w:tcW w:w="9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December 31, 2006</w:t>
            </w:r>
          </w:p>
        </w:tc>
        <w:tc>
          <w:tcPr>
            <w:tcW w:w="92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90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PREDECESSOR</w:t>
            </w:r>
          </w:p>
        </w:tc>
        <w:tc>
          <w:tcPr>
            <w:tcW w:w="9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SUCCESSOR</w:t>
            </w:r>
          </w:p>
        </w:tc>
        <w:tc>
          <w:tcPr>
            <w:tcW w:w="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92"/>
              </w:rPr>
              <w:t>SUCCESSOR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Advisory—Event-based Awards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Advisory Intangible Asset Amortization</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Advisory Other Expenses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Investment Management—Event-based Awards</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Management Other Expenses</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Total Other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7,003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141,031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4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Goodwill has been included in the Advisory Segment only since at the dates of the acquisitions, Braveheart and Protego were principally Advisory businesses.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Geographic Information </w:t>
      </w:r>
      <w:r>
        <w:rPr>
          <w:rFonts w:ascii="Arial" w:cs="Arial" w:eastAsia="Arial" w:hAnsi="Arial"/>
          <w:sz w:val="18"/>
          <w:szCs w:val="18"/>
          <w:color w:val="auto"/>
        </w:rPr>
        <w:t>– The Company manages its business based on the profitability of the enterprise as a whole.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net revenues were derived from clients and Private Equity Funds located in the following geographical areas: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i w:val="1"/>
                <w:iCs w:val="1"/>
                <w:color w:val="auto"/>
                <w:w w:val="84"/>
              </w:rPr>
              <w:t>Combined</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i w:val="1"/>
                <w:iCs w:val="1"/>
                <w:color w:val="auto"/>
                <w:w w:val="81"/>
              </w:rPr>
              <w:t>Combined</w:t>
            </w:r>
          </w:p>
        </w:tc>
        <w:tc>
          <w:tcPr>
            <w:tcW w:w="8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2"/>
              </w:rPr>
              <w:t>For the Period</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i w:val="1"/>
                <w:iCs w:val="1"/>
                <w:color w:val="auto"/>
                <w:w w:val="81"/>
              </w:rPr>
              <w:t>Consolidated</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i w:val="1"/>
                <w:iCs w:val="1"/>
                <w:color w:val="auto"/>
                <w:w w:val="83"/>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7"/>
              </w:rPr>
              <w:t>Twelve Months</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Twelve Months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2"/>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6"/>
              </w:rPr>
              <w:t>through</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through</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December 31, 2005</w:t>
            </w:r>
          </w:p>
        </w:tc>
        <w:tc>
          <w:tcPr>
            <w:tcW w:w="4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August 9, 2006</w:t>
            </w:r>
          </w:p>
        </w:tc>
        <w:tc>
          <w:tcPr>
            <w:tcW w:w="840" w:type="dxa"/>
            <w:vAlign w:val="bottom"/>
          </w:tcPr>
          <w:p>
            <w:pPr>
              <w:spacing w:after="0"/>
              <w:rPr>
                <w:sz w:val="14"/>
                <w:szCs w:val="14"/>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December 31, 2006</w:t>
            </w:r>
          </w:p>
        </w:tc>
        <w:tc>
          <w:tcPr>
            <w:tcW w:w="42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2"/>
              <w:spacing w:after="0" w:line="142" w:lineRule="exact"/>
              <w:rPr>
                <w:sz w:val="20"/>
                <w:szCs w:val="20"/>
                <w:color w:val="auto"/>
              </w:rPr>
            </w:pPr>
            <w:r>
              <w:rPr>
                <w:rFonts w:ascii="Arial" w:cs="Arial" w:eastAsia="Arial" w:hAnsi="Arial"/>
                <w:sz w:val="14"/>
                <w:szCs w:val="14"/>
                <w:b w:val="1"/>
                <w:bCs w:val="1"/>
                <w:color w:val="auto"/>
                <w:w w:val="90"/>
              </w:rPr>
              <w:t>SUCCESSOR</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92"/>
              </w:rPr>
              <w:t>SUCCESSOR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127,513</w:t>
            </w:r>
          </w:p>
        </w:tc>
        <w:tc>
          <w:tcPr>
            <w:tcW w:w="4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93,234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63,267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 and Other</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(3,055)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23,475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Latin America</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7,508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125,426</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112,982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94,250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Excludes Interest Income and Other Revenue and Interest Expense.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Evercore Partners Inc. (Parent Company Only)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Equity Investment in Subsidiary</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118,396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157,859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118,396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218,249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Payable to Related Party</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37,575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Amounts Due Pursuant to Tax Receivable Agreement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Taxes Payable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Notes Payable to Related Parties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5,919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w w:val="95"/>
              </w:rPr>
              <w:t>Class A, par value $0.01 per share (1,000,000,000 shares authorized, 6,359,558 and 11,261,100 issued at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500"/>
              <w:spacing w:after="0"/>
              <w:rPr>
                <w:sz w:val="20"/>
                <w:szCs w:val="20"/>
                <w:color w:val="auto"/>
              </w:rPr>
            </w:pPr>
            <w:r>
              <w:rPr>
                <w:rFonts w:ascii="Arial" w:cs="Arial" w:eastAsia="Arial" w:hAnsi="Arial"/>
                <w:sz w:val="18"/>
                <w:szCs w:val="18"/>
                <w:color w:val="auto"/>
                <w:w w:val="88"/>
              </w:rPr>
              <w:t>December 31, 2006 and 2007, respectively, and 6,359,558 and 11,229,197 outstanding on December 31, 2006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1500"/>
              <w:spacing w:after="0"/>
              <w:rPr>
                <w:sz w:val="20"/>
                <w:szCs w:val="20"/>
                <w:color w:val="auto"/>
              </w:rPr>
            </w:pPr>
            <w:r>
              <w:rPr>
                <w:rFonts w:ascii="Arial" w:cs="Arial" w:eastAsia="Arial" w:hAnsi="Arial"/>
                <w:sz w:val="18"/>
                <w:szCs w:val="18"/>
                <w:color w:val="auto"/>
              </w:rPr>
              <w:t>and 2007, respectively)</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Class B, par value $0.01 per share (1,000,000 shares authorized, 51 issued and outstanding)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108,564</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208,846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Retained Earnings (Deficit)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3,786</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(35,612)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Treasury Stock at Cost (31,903 shares on December 31, 2007)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112,477</w:t>
            </w: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172,976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118,396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218,249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 to C to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8"/>
              </w:rPr>
              <w:t>For the Period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6"/>
              </w:rPr>
              <w:t>August 10, 2006</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10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(date of inception)</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For the twelve</w:t>
            </w:r>
          </w:p>
        </w:tc>
      </w:tr>
      <w:tr>
        <w:trPr>
          <w:trHeight w:val="149"/>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Months Ended</w:t>
            </w:r>
          </w:p>
        </w:tc>
      </w:t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10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7"/>
              </w:rPr>
              <w:t>December 31, 2006</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2007</w:t>
            </w: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79"/>
              <w:spacing w:after="0"/>
              <w:rPr>
                <w:sz w:val="20"/>
                <w:szCs w:val="20"/>
                <w:color w:val="auto"/>
              </w:rPr>
            </w:pPr>
            <w:r>
              <w:rPr>
                <w:rFonts w:ascii="Arial" w:cs="Arial" w:eastAsia="Arial" w:hAnsi="Arial"/>
                <w:sz w:val="18"/>
                <w:szCs w:val="18"/>
                <w:color w:val="auto"/>
                <w:w w:val="99"/>
              </w:rPr>
              <w:t>—</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1"/>
        </w:trPr>
        <w:tc>
          <w:tcPr>
            <w:tcW w:w="8160" w:type="dxa"/>
            <w:vAlign w:val="bottom"/>
            <w:gridSpan w:val="2"/>
          </w:tcPr>
          <w:p>
            <w:pPr>
              <w:spacing w:after="0"/>
              <w:rPr>
                <w:sz w:val="20"/>
                <w:szCs w:val="20"/>
                <w:color w:val="auto"/>
              </w:rPr>
            </w:pPr>
            <w:r>
              <w:rPr>
                <w:rFonts w:ascii="Arial" w:cs="Arial" w:eastAsia="Arial" w:hAnsi="Arial"/>
                <w:sz w:val="18"/>
                <w:szCs w:val="18"/>
                <w:color w:val="auto"/>
              </w:rPr>
              <w:t>Equity in Income (Loss) of Subsidiary</w:t>
            </w:r>
          </w:p>
        </w:tc>
        <w:tc>
          <w:tcPr>
            <w:tcW w:w="100" w:type="dxa"/>
            <w:vAlign w:val="bottom"/>
          </w:tcPr>
          <w:p>
            <w:pPr>
              <w:spacing w:after="0"/>
              <w:rPr>
                <w:sz w:val="19"/>
                <w:szCs w:val="19"/>
                <w:color w:val="auto"/>
              </w:rPr>
            </w:pPr>
          </w:p>
        </w:tc>
        <w:tc>
          <w:tcPr>
            <w:tcW w:w="1000" w:type="dxa"/>
            <w:vAlign w:val="bottom"/>
          </w:tcPr>
          <w:p>
            <w:pPr>
              <w:jc w:val="center"/>
              <w:ind w:left="519"/>
              <w:spacing w:after="0"/>
              <w:rPr>
                <w:sz w:val="20"/>
                <w:szCs w:val="20"/>
                <w:color w:val="auto"/>
              </w:rPr>
            </w:pPr>
            <w:r>
              <w:rPr>
                <w:rFonts w:ascii="Arial" w:cs="Arial" w:eastAsia="Arial" w:hAnsi="Arial"/>
                <w:sz w:val="18"/>
                <w:szCs w:val="18"/>
                <w:color w:val="auto"/>
                <w:w w:val="88"/>
              </w:rPr>
              <w:t>6,705</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(29,765)</w:t>
            </w:r>
          </w:p>
        </w:tc>
      </w:tr>
      <w:tr>
        <w:trPr>
          <w:trHeight w:val="218"/>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left="519"/>
              <w:spacing w:after="0"/>
              <w:rPr>
                <w:sz w:val="20"/>
                <w:szCs w:val="20"/>
                <w:color w:val="auto"/>
              </w:rPr>
            </w:pPr>
            <w:r>
              <w:rPr>
                <w:rFonts w:ascii="Arial" w:cs="Arial" w:eastAsia="Arial" w:hAnsi="Arial"/>
                <w:sz w:val="18"/>
                <w:szCs w:val="18"/>
                <w:color w:val="auto"/>
                <w:w w:val="88"/>
              </w:rPr>
              <w:t>2,919</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60" w:type="dxa"/>
            <w:vAlign w:val="bottom"/>
            <w:shd w:val="clear" w:color="auto" w:fill="CCEEFF"/>
          </w:tcPr>
          <w:p>
            <w:pPr>
              <w:spacing w:after="0"/>
              <w:rPr>
                <w:sz w:val="18"/>
                <w:szCs w:val="18"/>
                <w:color w:val="auto"/>
              </w:rPr>
            </w:pP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center"/>
              <w:ind w:left="519"/>
              <w:spacing w:after="0"/>
              <w:rPr>
                <w:sz w:val="20"/>
                <w:szCs w:val="20"/>
                <w:color w:val="auto"/>
              </w:rPr>
            </w:pPr>
            <w:r>
              <w:rPr>
                <w:rFonts w:ascii="Arial" w:cs="Arial" w:eastAsia="Arial" w:hAnsi="Arial"/>
                <w:sz w:val="18"/>
                <w:szCs w:val="18"/>
                <w:color w:val="auto"/>
                <w:w w:val="88"/>
              </w:rPr>
              <w:t>3,786</w:t>
            </w:r>
          </w:p>
        </w:tc>
        <w:tc>
          <w:tcPr>
            <w:tcW w:w="10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(34,495)</w:t>
            </w: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 to C to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For the Period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6"/>
              </w:rPr>
              <w:t>August 10, 2006</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2140" w:type="dxa"/>
            <w:vAlign w:val="bottom"/>
            <w:gridSpan w:val="3"/>
          </w:tcPr>
          <w:p>
            <w:pPr>
              <w:jc w:val="center"/>
              <w:ind w:right="1060"/>
              <w:spacing w:after="0" w:line="149" w:lineRule="exact"/>
              <w:rPr>
                <w:sz w:val="20"/>
                <w:szCs w:val="20"/>
                <w:color w:val="auto"/>
              </w:rPr>
            </w:pPr>
            <w:r>
              <w:rPr>
                <w:rFonts w:ascii="Arial" w:cs="Arial" w:eastAsia="Arial" w:hAnsi="Arial"/>
                <w:sz w:val="14"/>
                <w:szCs w:val="14"/>
                <w:b w:val="1"/>
                <w:bCs w:val="1"/>
                <w:color w:val="auto"/>
                <w:w w:val="85"/>
              </w:rPr>
              <w:t>(date of inception)</w:t>
            </w:r>
          </w:p>
        </w:tc>
        <w:tc>
          <w:tcPr>
            <w:tcW w:w="10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For the Twelve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14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85"/>
              </w:rPr>
              <w:t>December 31, 2006</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1060"/>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Undistributed Income of Subsidiary</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(6,705)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(Increase) Decrease in Operating Assets: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Increase (Decrease) in Operating Liabilities: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Uncombined Affiliates</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80" w:type="dxa"/>
            <w:vAlign w:val="bottom"/>
          </w:tcPr>
          <w:p>
            <w:pPr>
              <w:spacing w:after="0"/>
              <w:rPr>
                <w:sz w:val="18"/>
                <w:szCs w:val="18"/>
                <w:color w:val="auto"/>
              </w:rPr>
            </w:pPr>
          </w:p>
        </w:tc>
        <w:tc>
          <w:tcPr>
            <w:tcW w:w="2060" w:type="dxa"/>
            <w:vAlign w:val="bottom"/>
            <w:gridSpan w:val="2"/>
          </w:tcPr>
          <w:p>
            <w:pPr>
              <w:jc w:val="right"/>
              <w:ind w:right="1060"/>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 to Related Parties</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2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tcPr>
          <w:p>
            <w:pPr>
              <w:spacing w:after="0"/>
              <w:rPr>
                <w:sz w:val="19"/>
                <w:szCs w:val="19"/>
                <w:color w:val="auto"/>
              </w:rPr>
            </w:pPr>
          </w:p>
        </w:tc>
        <w:tc>
          <w:tcPr>
            <w:tcW w:w="2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Investment in Subsidiary</w:t>
            </w:r>
          </w:p>
        </w:tc>
        <w:tc>
          <w:tcPr>
            <w:tcW w:w="80" w:type="dxa"/>
            <w:vAlign w:val="bottom"/>
          </w:tcPr>
          <w:p>
            <w:pPr>
              <w:spacing w:after="0"/>
              <w:rPr>
                <w:sz w:val="18"/>
                <w:szCs w:val="18"/>
                <w:color w:val="auto"/>
              </w:rPr>
            </w:pPr>
          </w:p>
        </w:tc>
        <w:tc>
          <w:tcPr>
            <w:tcW w:w="2060" w:type="dxa"/>
            <w:vAlign w:val="bottom"/>
            <w:gridSpan w:val="2"/>
          </w:tcPr>
          <w:p>
            <w:pPr>
              <w:jc w:val="right"/>
              <w:ind w:right="1000"/>
              <w:spacing w:after="0"/>
              <w:rPr>
                <w:sz w:val="20"/>
                <w:szCs w:val="20"/>
                <w:color w:val="auto"/>
              </w:rPr>
            </w:pPr>
            <w:r>
              <w:rPr>
                <w:rFonts w:ascii="Arial" w:cs="Arial" w:eastAsia="Arial" w:hAnsi="Arial"/>
                <w:sz w:val="18"/>
                <w:szCs w:val="18"/>
                <w:color w:val="auto"/>
              </w:rPr>
              <w:t>(88,590)</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(23,766)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(88,590)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IPO and Follow-On Offerings</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88,590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8"/>
                <w:szCs w:val="18"/>
                <w:color w:val="auto"/>
              </w:rPr>
            </w:pPr>
          </w:p>
        </w:tc>
        <w:tc>
          <w:tcPr>
            <w:tcW w:w="2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FIN 48 Adjustment</w:t>
            </w:r>
          </w:p>
        </w:tc>
        <w:tc>
          <w:tcPr>
            <w:tcW w:w="8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88,590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 to C to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COMBINED/CONSOLIDATED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Organization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Evercore Partners Inc. (the “Company”) was incorporated as a Delaware corporation on July 21, 2005. The Company did not begin meaningful preparations until the reorganization discussed below. Therefore no financial statements are presented for periods before 2006. Pursuant to a reorganization into a holding company structure, the Company became a holding company and its sole asset is a controlling equity interest in Evercore LP. As the sole general partner of Evercore LP, the Company operates and controls all of the business and affairs of Evercore LP and, through Evercore LP and its subsidiaries, continues to conduct the business now conducted by these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Significant Accounting Policies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Statements of Financial Condition, Operations and Cash Flows have been prepared in accordance with U.S. GAAP.</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Equity in Income of Subsidiary. </w:t>
      </w:r>
      <w:r>
        <w:rPr>
          <w:rFonts w:ascii="Arial" w:cs="Arial" w:eastAsia="Arial" w:hAnsi="Arial"/>
          <w:sz w:val="18"/>
          <w:szCs w:val="18"/>
          <w:color w:val="auto"/>
        </w:rPr>
        <w:t>The Equity in Income of Subsidiary represents the Company’s share of income from Evercore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Stockholders’ Equity</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is authorized to issue 1,000,000,000 shares of Class A common stock, par value $0.01 per share, and 1,000,000 shares of Class B common stock, par value $0.01 per share. All shares of Class A common stock and Class B common stock are identical. The Company has issued 11,261,100 shares of Class A common stock. The Company has issued 51 shares of Class B common stock in exchange for $1.00, all of which were held by Evercore LP at December 31, 2007. The Company also purchased 31,903 Class A common shares of Treasury Stock from an employee at $30.35 per share during 2007. The Company accounts for purchases of Treasury Stock at cost and includes the Treasury Stock as a separate component of Stockholders’ Equity until such time as the Treasury Stock is retired. The result of the above transaction was an increase in Treasury Stock of $968 on the Company’s Condensed Statement of Financial Condition as of December 31, 2007.</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459" w:right="3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Combined/Consolidated Quarterly Results of Operations (unaudited)</w:t>
      </w:r>
    </w:p>
    <w:p>
      <w:pPr>
        <w:spacing w:after="0" w:line="96"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The following represents the Company’s unaudited quarterly results for the years ended December 31, 2006 and 2007. These quarterly results were prepared in accordance with U.S. GAAP and reflect all adjustments that are, in the opinion of management, necessary for a fair statement of the results.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8"/>
              </w:rPr>
              <w:t>For the Period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For the Period</w:t>
            </w:r>
          </w:p>
        </w:tc>
        <w:tc>
          <w:tcPr>
            <w:tcW w:w="300" w:type="dxa"/>
            <w:vAlign w:val="bottom"/>
          </w:tcPr>
          <w:p>
            <w:pPr>
              <w:spacing w:after="0"/>
              <w:rPr>
                <w:sz w:val="12"/>
                <w:szCs w:val="12"/>
                <w:color w:val="auto"/>
              </w:rPr>
            </w:pPr>
          </w:p>
        </w:tc>
        <w:tc>
          <w:tcPr>
            <w:tcW w:w="17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August 10, 2006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320" w:type="dxa"/>
            <w:vAlign w:val="bottom"/>
          </w:tcPr>
          <w:p>
            <w:pPr>
              <w:spacing w:after="0"/>
              <w:rPr>
                <w:sz w:val="12"/>
                <w:szCs w:val="12"/>
                <w:color w:val="auto"/>
              </w:rPr>
            </w:pPr>
          </w:p>
        </w:tc>
        <w:tc>
          <w:tcPr>
            <w:tcW w:w="11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520" w:type="dxa"/>
            <w:vAlign w:val="bottom"/>
          </w:tcPr>
          <w:p>
            <w:pPr>
              <w:spacing w:after="0"/>
              <w:rPr>
                <w:sz w:val="12"/>
                <w:szCs w:val="12"/>
                <w:color w:val="auto"/>
              </w:rPr>
            </w:pPr>
          </w:p>
        </w:tc>
        <w:tc>
          <w:tcPr>
            <w:tcW w:w="140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July 1, 2006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1060"/>
              <w:spacing w:after="0" w:line="149" w:lineRule="exact"/>
              <w:rPr>
                <w:sz w:val="20"/>
                <w:szCs w:val="20"/>
                <w:color w:val="auto"/>
              </w:rPr>
            </w:pPr>
            <w:r>
              <w:rPr>
                <w:rFonts w:ascii="Arial" w:cs="Arial" w:eastAsia="Arial" w:hAnsi="Arial"/>
                <w:sz w:val="14"/>
                <w:szCs w:val="14"/>
                <w:b w:val="1"/>
                <w:bCs w:val="1"/>
                <w:color w:val="auto"/>
                <w:w w:val="86"/>
              </w:rPr>
              <w:t>through</w:t>
            </w:r>
          </w:p>
        </w:tc>
        <w:tc>
          <w:tcPr>
            <w:tcW w:w="1340" w:type="dxa"/>
            <w:vAlign w:val="bottom"/>
            <w:gridSpan w:val="5"/>
          </w:tcPr>
          <w:p>
            <w:pPr>
              <w:jc w:val="right"/>
              <w:ind w:right="380"/>
              <w:spacing w:after="0" w:line="149" w:lineRule="exact"/>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through</w:t>
            </w:r>
          </w:p>
        </w:tc>
        <w:tc>
          <w:tcPr>
            <w:tcW w:w="300" w:type="dxa"/>
            <w:vAlign w:val="bottom"/>
          </w:tcPr>
          <w:p>
            <w:pPr>
              <w:spacing w:after="0"/>
              <w:rPr>
                <w:sz w:val="12"/>
                <w:szCs w:val="12"/>
                <w:color w:val="auto"/>
              </w:rPr>
            </w:pPr>
          </w:p>
        </w:tc>
        <w:tc>
          <w:tcPr>
            <w:tcW w:w="1780" w:type="dxa"/>
            <w:vAlign w:val="bottom"/>
            <w:gridSpan w:val="5"/>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March 31, 2006</w:t>
            </w:r>
          </w:p>
        </w:tc>
        <w:tc>
          <w:tcPr>
            <w:tcW w:w="32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June 30, 2006</w:t>
            </w:r>
          </w:p>
        </w:tc>
        <w:tc>
          <w:tcPr>
            <w:tcW w:w="520" w:type="dxa"/>
            <w:vAlign w:val="bottom"/>
          </w:tcPr>
          <w:p>
            <w:pPr>
              <w:spacing w:after="0"/>
              <w:rPr>
                <w:sz w:val="14"/>
                <w:szCs w:val="14"/>
                <w:color w:val="auto"/>
              </w:rPr>
            </w:pPr>
          </w:p>
        </w:tc>
        <w:tc>
          <w:tcPr>
            <w:tcW w:w="14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4"/>
              </w:rPr>
              <w:t>August 9, 2006(a)</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86"/>
              </w:rPr>
              <w:t>2006(a)</w:t>
            </w:r>
          </w:p>
        </w:tc>
        <w:tc>
          <w:tcPr>
            <w:tcW w:w="134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PREDECESSOR</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PREDECESSOR</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PREDECESSOR</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SUCCESSOR</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Borders>
              <w:top w:val="single" w:sz="8" w:color="auto"/>
              <w:bottom w:val="single" w:sz="8" w:color="auto"/>
            </w:tcBorders>
            <w:gridSpan w:val="3"/>
          </w:tcPr>
          <w:p>
            <w:pPr>
              <w:jc w:val="right"/>
              <w:ind w:right="56"/>
              <w:spacing w:after="0" w:line="142" w:lineRule="exact"/>
              <w:rPr>
                <w:sz w:val="20"/>
                <w:szCs w:val="20"/>
                <w:color w:val="auto"/>
              </w:rPr>
            </w:pPr>
            <w:r>
              <w:rPr>
                <w:rFonts w:ascii="Arial" w:cs="Arial" w:eastAsia="Arial" w:hAnsi="Arial"/>
                <w:sz w:val="14"/>
                <w:szCs w:val="14"/>
                <w:b w:val="1"/>
                <w:bCs w:val="1"/>
                <w:color w:val="auto"/>
              </w:rPr>
              <w:t>SUCCESSOR</w:t>
            </w:r>
          </w:p>
        </w:tc>
        <w:tc>
          <w:tcPr>
            <w:tcW w:w="2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45,626</w:t>
            </w: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24,509</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17,226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78,863(b)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18,706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8,668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right"/>
              <w:ind w:right="640"/>
              <w:spacing w:after="0"/>
              <w:rPr>
                <w:sz w:val="20"/>
                <w:szCs w:val="20"/>
                <w:color w:val="auto"/>
              </w:rPr>
            </w:pPr>
            <w:r>
              <w:rPr>
                <w:rFonts w:ascii="Arial" w:cs="Arial" w:eastAsia="Arial" w:hAnsi="Arial"/>
                <w:sz w:val="18"/>
                <w:szCs w:val="18"/>
                <w:color w:val="auto"/>
              </w:rPr>
              <w:t>15,214(c)</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55,068(c)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26,920</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15,841</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2,012</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23,795</w:t>
            </w: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979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640"/>
              <w:spacing w:after="0"/>
              <w:rPr>
                <w:sz w:val="20"/>
                <w:szCs w:val="20"/>
                <w:color w:val="auto"/>
              </w:rPr>
            </w:pPr>
            <w:r>
              <w:rPr>
                <w:rFonts w:ascii="Arial" w:cs="Arial" w:eastAsia="Arial" w:hAnsi="Arial"/>
                <w:sz w:val="18"/>
                <w:szCs w:val="18"/>
                <w:color w:val="auto"/>
              </w:rPr>
              <w:t>297(d)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5,733(d)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1,417(e)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14,575(e)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25,948</w:t>
            </w: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24,653</w:t>
            </w:r>
          </w:p>
        </w:tc>
        <w:tc>
          <w:tcPr>
            <w:tcW w:w="100" w:type="dxa"/>
            <w:vAlign w:val="bottom"/>
          </w:tcPr>
          <w:p>
            <w:pPr>
              <w:spacing w:after="0"/>
              <w:rPr>
                <w:sz w:val="19"/>
                <w:szCs w:val="19"/>
                <w:color w:val="auto"/>
              </w:rPr>
            </w:pPr>
          </w:p>
        </w:tc>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15,358</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298</w:t>
            </w:r>
          </w:p>
        </w:tc>
        <w:tc>
          <w:tcPr>
            <w:tcW w:w="5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N/A</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0.06</w:t>
            </w:r>
          </w:p>
        </w:tc>
        <w:tc>
          <w:tcPr>
            <w:tcW w:w="5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Dividends Declared Per Share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N/A</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9"/>
              </w:rPr>
              <w:t>Three Months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88"/>
              </w:rPr>
              <w:t>March 31, 2007</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 2007</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2007</w:t>
            </w:r>
          </w:p>
        </w:tc>
        <w:tc>
          <w:tcPr>
            <w:tcW w:w="2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w w:val="87"/>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SUCCESSOR</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0"/>
              </w:rPr>
              <w:t>SUCCESSOR</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0"/>
              </w:rPr>
              <w:t>SUCCESSOR</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89,496</w:t>
            </w:r>
          </w:p>
        </w:tc>
        <w:tc>
          <w:tcPr>
            <w:tcW w:w="8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65,912</w:t>
            </w:r>
          </w:p>
        </w:tc>
        <w:tc>
          <w:tcPr>
            <w:tcW w:w="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72,399</w:t>
            </w:r>
          </w:p>
        </w:tc>
        <w:tc>
          <w:tcPr>
            <w:tcW w:w="5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65,400</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169,558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62,035</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(Loss) Before Income Taxes and Minority Interest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24,096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5"/>
              </w:rPr>
              <w:t>(103,646)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4,936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643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3,217</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14,940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(60,115)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3"/>
          </w:tcPr>
          <w:p>
            <w:pPr>
              <w:ind w:left="5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4,220</w:t>
            </w:r>
          </w:p>
        </w:tc>
        <w:tc>
          <w:tcPr>
            <w:tcW w:w="8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(44,174)</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2,319</w:t>
            </w:r>
          </w:p>
        </w:tc>
        <w:tc>
          <w:tcPr>
            <w:tcW w:w="52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3"/>
          </w:tcPr>
          <w:p>
            <w:pPr>
              <w:ind w:left="5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8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(4.68)</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52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8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(4.68)</w:t>
            </w:r>
          </w:p>
        </w:tc>
        <w:tc>
          <w:tcPr>
            <w:tcW w:w="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4"/>
          </w:tcPr>
          <w:p>
            <w:pPr>
              <w:spacing w:after="0"/>
              <w:rPr>
                <w:sz w:val="20"/>
                <w:szCs w:val="20"/>
                <w:color w:val="auto"/>
              </w:rPr>
            </w:pPr>
            <w:r>
              <w:rPr>
                <w:rFonts w:ascii="Arial" w:cs="Arial" w:eastAsia="Arial" w:hAnsi="Arial"/>
                <w:sz w:val="18"/>
                <w:szCs w:val="18"/>
                <w:color w:val="auto"/>
              </w:rPr>
              <w:t>Dividends Declared Per Share of Class A Common Stock</w:t>
            </w:r>
          </w:p>
        </w:tc>
        <w:tc>
          <w:tcPr>
            <w:tcW w:w="620" w:type="dxa"/>
            <w:vAlign w:val="bottom"/>
            <w:gridSpan w:val="3"/>
          </w:tcPr>
          <w:p>
            <w:pPr>
              <w:ind w:left="5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8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0.10</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52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 Note 1 for a discussion of the Company’s Reorganization.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 in revenue largely due to the impact of the Company’s acquisitions. See Note 4 for a discussion of business developments.</w:t>
      </w:r>
    </w:p>
    <w:p>
      <w:pPr>
        <w:spacing w:after="0" w:line="76"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compensation payments to Senior Managing Directors that had not been included in compensation prior to the Company’s IPO. See Note 15 for a discussion associated with compensation and benefits.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 Note 18 for a discussion of income taxes.</w:t>
      </w:r>
    </w:p>
    <w:p>
      <w:pPr>
        <w:spacing w:after="0" w:line="76"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Post-IPO minority interest represents the interest of the Members of Evercore LP and the portion of PCB not owned by the Company. See Note 13 for a discussion on minority interest.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annual report, our disclosure controls and procedures (as defined in Rule 13a-15(e) under the Exchange Act) are effective, in all material respects,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identified in Exchange Act Rules 13a-15(f).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pertain to the maintenance of records that, in reasonable detail, accurately and fairly reflect the transactions and dispositions of the assets of the company;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provide reasonable assurance regarding preventions or timely detection of unauthorized acquisitions, use, or disposition of the company’s assets that could have a material effect on the financial statements.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making the assessment, management used the framework in “Internal Control – Integrated Framework” promulgated by the Committee of Sponsoring Organizations of the Treadway Commission, commonly referred to as the “COSO” criteria. Based on that evaluation, our Chief Executive Officer and Chief Financial Officer have concluded that our internal controls over financial reporting were effective as of December 31, 2007.</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has audited and issued a report on the Company’s internal control over financial reporting, as included below.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Evercore Partners Inc.:</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Evercore Partners Inc. and subsidiaries (the “Company”) as of December 31, 2007,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2007,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2007 of the Company and our report dated March 11, 2008 expressed an unqualified opinion on those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2006, our management had identified material weaknesses in our internal control over financial reporting, as defined in the standards established by the Public Company Accounting Oversight Board. During 2006 we identified areas of material weaknesses in our internal control over financial reporting that included a lack of an enterprise-wide, executive-driven internal control environment that documents key processes related to financial reporting and the lack of a formal, regular process designed to identify key financial reporting risks. In addition, management concluded that there was a material weakness in internal control over financial reporting related to the fact that we lacked a sufficient complement of personnel with experience to comply with U.S. GAAP and SEC reporting requirements.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2007, we have remediated the material weakness in the Company’s internal control over financial reporting that existed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2006. Our remediation during 2006 and 2007 included: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2006 and 2007, we:</w:t>
      </w:r>
    </w:p>
    <w:p>
      <w:pPr>
        <w:spacing w:after="0" w:line="90" w:lineRule="exact"/>
        <w:rPr>
          <w:sz w:val="20"/>
          <w:szCs w:val="20"/>
          <w:color w:val="auto"/>
        </w:rPr>
      </w:pPr>
    </w:p>
    <w:p>
      <w:pPr>
        <w:ind w:left="900" w:right="60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Augmented and hired additional accounting and finance resources and professionals, including a new Chief Financial Officer, Controller and Sarbanes-Oxley compliance officer, within our accounting and finance organization;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assessed the design of our internal control environment and established appropriate internal controls to achieve Section 404 compliance;</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established a number of formal committees to ensure proper protocols regarding control performance and changes to our risk profile, and enhanced our policies and processes related to financial reporting;</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implemented new procedures and began monitoring that all repurchases and reverse repurchase agreements at PCB were accounted for in accordance with U.S. GAAP;</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engaged a professional consulting firm to assist us in providing additional financial and accounting services to review the financial activities and transactions within Protego;</w:t>
      </w:r>
    </w:p>
    <w:p>
      <w:pPr>
        <w:spacing w:after="0" w:line="5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established new policies and procedures to ensure that all U.S. GAAP and SEC matters as they arise are evaluated by the appropriate level of personnel;</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enhanced our training efforts to help ensure our key accounting and financial professionals can identify complex accounting matters as they arise;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enhanced our internal audit process to monitor financial reporting activities.</w:t>
      </w:r>
    </w:p>
    <w:p>
      <w:pPr>
        <w:spacing w:after="0" w:line="9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Other than the changes discussed above, we have not made any changes that have materially affected, or are reasonably likely to materially affect, our internal control over financial reporting (as defined in Rule 13a-15(f) under the Exchange Act). The statements contained in Exhibits 31.1and 31.2 to this Form 10-K should be considered in light of, and read together with, the information set forth in this Item 9A.</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regarding directors and executive officers set forth under the caption “Election of Directors” and “Executive Officers” in the Proxy Statement is incorporated herein by reference.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regarding compliance with Section 16(a) of the Exchange Act set forth under the caption “Section 16(a) Beneficial Ownership Reporting Compliance” in the Proxy Statement is incorporated herein by reference.</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regarding our Code of Business Conduct and Ethics, our audit committee and our audit committee financial expert under the caption “Corporate Governance” in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information contained in the sections captioned “Executive Compensation” and “Directors’ Compensation” of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information contained in the sections captioned “Security Ownership of Certain Beneficial Owners and Management” of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information contained in the sections captioned “Related Party Transactions and Other Information” and “Corporate Governance-Director Independence” in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information regarding our independent registered public accounting firm fees and services in the section captioned “Principal Accountant Fees and Services” of the Proxy Statement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80"/>
          </w:cols>
          <w:pgMar w:left="240" w:top="459" w:right="3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combined/consolidated financial statements required to be filed in the Form 10-K are listed in Part II, Item 8 hereof.</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Data Schedules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schedules have been omitted because they are not applicable, not required, or the information required is included in the financial statements or notes thereto.</w:t>
      </w:r>
    </w:p>
    <w:p>
      <w:pPr>
        <w:spacing w:after="0" w:line="248" w:lineRule="exact"/>
        <w:rPr>
          <w:sz w:val="20"/>
          <w:szCs w:val="20"/>
          <w:color w:val="auto"/>
        </w:rPr>
      </w:pPr>
    </w:p>
    <w:p>
      <w:pPr>
        <w:jc w:val="both"/>
        <w:ind w:right="10240" w:firstLine="8"/>
        <w:spacing w:after="0" w:line="445" w:lineRule="auto"/>
        <w:tabs>
          <w:tab w:leader="none" w:pos="446"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Exhibits Exhibit Index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80" w:type="dxa"/>
            <w:vAlign w:val="bottom"/>
          </w:tcPr>
          <w:p>
            <w:pPr>
              <w:spacing w:after="0"/>
              <w:rPr>
                <w:sz w:val="14"/>
                <w:szCs w:val="14"/>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3.1</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Amended and Restated Certificate of Incorporation of the Registrant(1)</w:t>
            </w: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rPr>
              <w:t>3.2</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Amended and Restated Bylaws of the Registrant(1)</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Amended and Restated Limited Partnership Agreement of Evercore LP, dated as of August 7, 2006(2)</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Supplement to Amended and Restated Limited Partnership Agreement of Evercore LP, dated as of August 7, 2006(2)</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10.2</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Tax Receivable Agreement, dated as of August 10, 2006(2)</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10.3</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Registration Rights Agreement, dated as of August 10, 2006(2)</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10.4</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w w:val="89"/>
              </w:rPr>
              <w:t>Contribution and Sale Agreement, dated as of May 12, 2006, among Evercore LP, Evercore Partners Inc., Roger C. Altman, Austin M. Beutner,</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Pedro Aspe and the Other Parties Named Therein(1)</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10.5</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w w:val="87"/>
              </w:rPr>
              <w:t>Contribution and Sale Agreement, dated as of May 12, 2006, among Evercore LP, Evercore Partners Inc. and Banco Inbursa, S.A., Institucion de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Banca Multiple, Grupo Financiero Inbursa, as Trustee of Inbursa Trust F1338(1)</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Employment Agreement between the Registrant and Roger C. Altman(2)</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10.7</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Employment Agreement between the Registrant and Austin M. Beutner(2)</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10.8</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Employment Agreement between the Registrant and Pedro Aspe(2)</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10.9</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Employment Agreement between the Registrant and Robert B. Walsh(6)</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Evercore Partners Inc. 2006 Stock Incentive Plan(1)</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Evercore Partners Inc. 2006 Stock Incentive Plan(3)</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10.12</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Evercore Partners Inc. 2006 Annual Incentive Plan(1)</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10.13</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Employment Agreement between the Registrant and Adam B. Frankel(1)</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Form of Indemnification Agreement between the Registrant and each of its director nominees(1)</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rPr>
              <w:t>Evercore Partners II L.L.C. Limited Liability Company Agreement(1)</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10.16</w:t>
            </w:r>
          </w:p>
        </w:tc>
        <w:tc>
          <w:tcPr>
            <w:tcW w:w="10780" w:type="dxa"/>
            <w:vAlign w:val="bottom"/>
            <w:gridSpan w:val="3"/>
          </w:tcPr>
          <w:p>
            <w:pPr>
              <w:ind w:left="620"/>
              <w:spacing w:after="0"/>
              <w:rPr>
                <w:sz w:val="20"/>
                <w:szCs w:val="20"/>
                <w:color w:val="auto"/>
              </w:rPr>
            </w:pPr>
            <w:r>
              <w:rPr>
                <w:rFonts w:ascii="Arial" w:cs="Arial" w:eastAsia="Arial" w:hAnsi="Arial"/>
                <w:sz w:val="18"/>
                <w:szCs w:val="18"/>
                <w:color w:val="auto"/>
                <w:w w:val="99"/>
              </w:rPr>
              <w:t>Sale and Purchase Agreement among the Shareholders of Braveheart Financial Services Limited and Evercore Partners Inc.(1)</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0" w:type="dxa"/>
            <w:vAlign w:val="bottom"/>
          </w:tcPr>
          <w:p>
            <w:pPr>
              <w:ind w:left="5040"/>
              <w:spacing w:after="0"/>
              <w:rPr>
                <w:sz w:val="20"/>
                <w:szCs w:val="20"/>
                <w:color w:val="auto"/>
              </w:rPr>
            </w:pPr>
            <w:r>
              <w:rPr>
                <w:rFonts w:ascii="Arial" w:cs="Arial" w:eastAsia="Arial" w:hAnsi="Arial"/>
                <w:sz w:val="18"/>
                <w:szCs w:val="18"/>
                <w:color w:val="auto"/>
              </w:rPr>
              <w:t>100</w:t>
            </w:r>
          </w:p>
        </w:tc>
        <w:tc>
          <w:tcPr>
            <w:tcW w:w="70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024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0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68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Closing Agreement, dated December 19, 2006, among Evercore Partners Inc. and Bernard J. Taylor and Julian P. Oakley(4)</w:t>
            </w: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Amendment No. 1 to the Amended and Restated Limited Partnership Agreement of Evercore LP, dated as of May 9, 2007(5)</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 of Restricted Stock Award Agreement(6)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 of Restricted Stock Unit Award Agreement(6)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8"/>
              </w:rPr>
              <w:t>Letter Agreement, dated as of June 29, 2007, among David E. Wezdenko, Evercore LP, Evercore Partners II L.L.C. and Evercore Partners Inc.(7)</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7"/>
              </w:rPr>
              <w:t>Service Agreement between Bernard J. Taylor and Braveheart Financial Services Limited, dated as of July 31, 2006 (filed herewith)</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2007 Form Restricted Stock Unit Award Agreement (filed herewith)</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180" w:right="540" w:hanging="1172"/>
        <w:spacing w:after="0" w:line="268"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included as a separate exhibit—earnings per share can be determined from Note 14 to the combined/consolidated financial statements included in Item 8—Financial Statements and Supplemental Data.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14</w:t>
            </w:r>
          </w:p>
        </w:tc>
        <w:tc>
          <w:tcPr>
            <w:tcW w:w="10640" w:type="dxa"/>
            <w:vAlign w:val="bottom"/>
          </w:tcPr>
          <w:p>
            <w:pPr>
              <w:ind w:left="440"/>
              <w:spacing w:after="0"/>
              <w:rPr>
                <w:sz w:val="20"/>
                <w:szCs w:val="20"/>
                <w:color w:val="auto"/>
              </w:rPr>
            </w:pPr>
            <w:r>
              <w:rPr>
                <w:rFonts w:ascii="Arial" w:cs="Arial" w:eastAsia="Arial" w:hAnsi="Arial"/>
                <w:sz w:val="18"/>
                <w:szCs w:val="18"/>
                <w:color w:val="auto"/>
              </w:rPr>
              <w:t>Code of ethics included on Registrant’s website-www.evercore.com.</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21.1</w:t>
            </w:r>
          </w:p>
        </w:tc>
        <w:tc>
          <w:tcPr>
            <w:tcW w:w="10640" w:type="dxa"/>
            <w:vAlign w:val="bottom"/>
          </w:tcPr>
          <w:p>
            <w:pPr>
              <w:ind w:left="440"/>
              <w:spacing w:after="0"/>
              <w:rPr>
                <w:sz w:val="20"/>
                <w:szCs w:val="20"/>
                <w:color w:val="auto"/>
              </w:rPr>
            </w:pPr>
            <w:r>
              <w:rPr>
                <w:rFonts w:ascii="Arial" w:cs="Arial" w:eastAsia="Arial" w:hAnsi="Arial"/>
                <w:sz w:val="18"/>
                <w:szCs w:val="18"/>
                <w:color w:val="auto"/>
              </w:rPr>
              <w:t>Subsidiaries of the Registrant (filed herewith)</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10640" w:type="dxa"/>
            <w:vAlign w:val="bottom"/>
          </w:tcPr>
          <w:p>
            <w:pPr>
              <w:ind w:left="440"/>
              <w:spacing w:after="0"/>
              <w:rPr>
                <w:sz w:val="20"/>
                <w:szCs w:val="20"/>
                <w:color w:val="auto"/>
              </w:rPr>
            </w:pPr>
            <w:r>
              <w:rPr>
                <w:rFonts w:ascii="Arial" w:cs="Arial" w:eastAsia="Arial" w:hAnsi="Arial"/>
                <w:sz w:val="18"/>
                <w:szCs w:val="18"/>
                <w:color w:val="auto"/>
              </w:rPr>
              <w:t>Consent of Deloitte &amp; Touche LLP (filed herewith)</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24.1</w:t>
            </w:r>
          </w:p>
        </w:tc>
        <w:tc>
          <w:tcPr>
            <w:tcW w:w="10640" w:type="dxa"/>
            <w:vAlign w:val="bottom"/>
          </w:tcPr>
          <w:p>
            <w:pPr>
              <w:ind w:left="440"/>
              <w:spacing w:after="0"/>
              <w:rPr>
                <w:sz w:val="20"/>
                <w:szCs w:val="20"/>
                <w:color w:val="auto"/>
              </w:rPr>
            </w:pPr>
            <w:r>
              <w:rPr>
                <w:rFonts w:ascii="Arial" w:cs="Arial" w:eastAsia="Arial" w:hAnsi="Arial"/>
                <w:sz w:val="18"/>
                <w:szCs w:val="18"/>
                <w:color w:val="auto"/>
              </w:rPr>
              <w:t>Power of Attorney (included on signature page hereto)</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tcPr>
          <w:p>
            <w:pPr>
              <w:ind w:left="440"/>
              <w:spacing w:after="0"/>
              <w:rPr>
                <w:sz w:val="20"/>
                <w:szCs w:val="20"/>
                <w:color w:val="auto"/>
              </w:rPr>
            </w:pPr>
            <w:r>
              <w:rPr>
                <w:rFonts w:ascii="Arial" w:cs="Arial" w:eastAsia="Arial" w:hAnsi="Arial"/>
                <w:sz w:val="18"/>
                <w:szCs w:val="18"/>
                <w:color w:val="auto"/>
              </w:rPr>
              <w:t>Certification of the co-Chief Executive Officer pursuant to Rule 13a-14(a) (filed herewith)</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tcPr>
          <w:p>
            <w:pPr>
              <w:ind w:left="44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10640" w:type="dxa"/>
            <w:vAlign w:val="bottom"/>
          </w:tcPr>
          <w:p>
            <w:pPr>
              <w:ind w:left="440"/>
              <w:spacing w:after="0"/>
              <w:rPr>
                <w:sz w:val="20"/>
                <w:szCs w:val="20"/>
                <w:color w:val="auto"/>
              </w:rPr>
            </w:pPr>
            <w:r>
              <w:rPr>
                <w:rFonts w:ascii="Arial" w:cs="Arial" w:eastAsia="Arial" w:hAnsi="Arial"/>
                <w:sz w:val="18"/>
                <w:szCs w:val="18"/>
                <w:color w:val="auto"/>
                <w:w w:val="90"/>
              </w:rPr>
              <w:t>Certification of the co-Chief Executive Officer pursuant to 18 U.S.C. Section 1350, as adopted pursuant to Section 906 of the Sarbanes-Oxley</w:t>
            </w:r>
          </w:p>
        </w:tc>
      </w:tr>
      <w:tr>
        <w:trPr>
          <w:trHeight w:val="222"/>
        </w:trPr>
        <w:tc>
          <w:tcPr>
            <w:tcW w:w="74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Arial" w:cs="Arial" w:eastAsia="Arial" w:hAnsi="Arial"/>
                <w:sz w:val="18"/>
                <w:szCs w:val="18"/>
                <w:color w:val="auto"/>
              </w:rPr>
              <w:t>Act of 2002 (furnished herewith)</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10640" w:type="dxa"/>
            <w:vAlign w:val="bottom"/>
          </w:tcPr>
          <w:p>
            <w:pPr>
              <w:ind w:left="440"/>
              <w:spacing w:after="0"/>
              <w:rPr>
                <w:sz w:val="20"/>
                <w:szCs w:val="20"/>
                <w:color w:val="auto"/>
              </w:rPr>
            </w:pPr>
            <w:r>
              <w:rPr>
                <w:rFonts w:ascii="Arial" w:cs="Arial" w:eastAsia="Arial" w:hAnsi="Arial"/>
                <w:sz w:val="18"/>
                <w:szCs w:val="18"/>
                <w:color w:val="auto"/>
                <w:w w:val="88"/>
              </w:rPr>
              <w:t>Certification of the Chief Financial Officer pursuant to 18 U.S.C. Section 1350, as adopted pursuant to Section 906 of the Sarbanes-Oxley Act of</w:t>
            </w:r>
          </w:p>
        </w:tc>
      </w:tr>
      <w:tr>
        <w:trPr>
          <w:trHeight w:val="222"/>
        </w:trPr>
        <w:tc>
          <w:tcPr>
            <w:tcW w:w="74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Arial" w:cs="Arial" w:eastAsia="Arial" w:hAnsi="Arial"/>
                <w:sz w:val="18"/>
                <w:szCs w:val="18"/>
                <w:color w:val="auto"/>
              </w:rPr>
              <w:t>2002 (furnished herewith)</w:t>
            </w:r>
          </w:p>
        </w:tc>
      </w:tr>
    </w:tbl>
    <w:p>
      <w:pPr>
        <w:spacing w:after="0" w:line="75" w:lineRule="exact"/>
        <w:rPr>
          <w:sz w:val="20"/>
          <w:szCs w:val="20"/>
          <w:color w:val="auto"/>
        </w:rPr>
      </w:pPr>
    </w:p>
    <w:p>
      <w:pPr>
        <w:ind w:left="900" w:right="4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 -1 (Registration No. 333 -134087), as amended, originally filed with the SEC on May 12, 2006.</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(Commission File No. 001 -32975), for the period ended June 30, 2006.</w:t>
      </w:r>
    </w:p>
    <w:p>
      <w:pPr>
        <w:spacing w:after="0" w:line="50" w:lineRule="exact"/>
        <w:rPr>
          <w:rFonts w:ascii="Arial" w:cs="Arial" w:eastAsia="Arial" w:hAnsi="Arial"/>
          <w:sz w:val="18"/>
          <w:szCs w:val="18"/>
          <w:color w:val="auto"/>
        </w:rPr>
      </w:pPr>
    </w:p>
    <w:p>
      <w:pPr>
        <w:ind w:left="900" w:right="102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(Commission File No. 001 -32975), for the period ended September 30, 2006.</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with the Securities and Exchange Commission on December 21, 2006.</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(Commission File No. 001 -32975), for the period ended March 31,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001 -32975), filed with the SEC on June 8, 2007.</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001 -32975), filed with the SEC on July 6, 2007.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6860"/>
        <w:spacing w:after="0"/>
        <w:tabs>
          <w:tab w:leader="none" w:pos="8280" w:val="left"/>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B.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Robert B. Walsh</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March 11, 2008</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of the officers and directors of Evercore Partners Inc. whose signature appears below, in so signing, also makes, constitutes and appoints each of Roger C. Altman, Austin M. Beutner, Robert B. Walsh and Adam B. Frankel, and each of them, his true and lawful attorneys-in-fact, with full power and substitution, for him in any and all capacities, to execute and cause to be filed with the SEC any and all amendments to the Report on Form 10-K, with exhibits thereto and other documents connected therewith and to perform any acts necessary to be done in order to file such documents, and hereby ratifies and confirms all that said attorneys-in-fact or their substitute or substitutes may do or cause to be done by virtue hereof.</w:t>
      </w:r>
    </w:p>
    <w:p>
      <w:pPr>
        <w:spacing w:after="0" w:line="1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Pursuant to the requirements of the Exchange Act, this report has been signed below by the following persons on behalf of the registrant and in the capacities on the 11 day of March,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920" w:type="dxa"/>
            <w:vAlign w:val="bottom"/>
          </w:tcPr>
          <w:p>
            <w:pPr>
              <w:spacing w:after="0"/>
              <w:rPr>
                <w:sz w:val="14"/>
                <w:szCs w:val="14"/>
                <w:color w:val="auto"/>
              </w:rPr>
            </w:pPr>
          </w:p>
        </w:tc>
        <w:tc>
          <w:tcPr>
            <w:tcW w:w="5900" w:type="dxa"/>
            <w:vAlign w:val="bottom"/>
            <w:gridSpan w:val="3"/>
          </w:tcPr>
          <w:p>
            <w:pPr>
              <w:ind w:left="3640"/>
              <w:spacing w:after="0"/>
              <w:rPr>
                <w:sz w:val="20"/>
                <w:szCs w:val="20"/>
                <w:color w:val="auto"/>
              </w:rPr>
            </w:pPr>
            <w:r>
              <w:rPr>
                <w:rFonts w:ascii="Arial" w:cs="Arial" w:eastAsia="Arial" w:hAnsi="Arial"/>
                <w:sz w:val="14"/>
                <w:szCs w:val="14"/>
                <w:b w:val="1"/>
                <w:bCs w:val="1"/>
                <w:color w:val="auto"/>
              </w:rPr>
              <w:t>Title</w:t>
            </w:r>
          </w:p>
        </w:tc>
      </w:tr>
      <w:tr>
        <w:trPr>
          <w:trHeight w:val="20"/>
        </w:trPr>
        <w:tc>
          <w:tcPr>
            <w:tcW w:w="1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6"/>
        </w:trPr>
        <w:tc>
          <w:tcPr>
            <w:tcW w:w="14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83"/>
              </w:rPr>
              <w:t>/s/</w:t>
            </w:r>
          </w:p>
        </w:tc>
        <w:tc>
          <w:tcPr>
            <w:tcW w:w="30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OGER</w:t>
            </w:r>
            <w:r>
              <w:rPr>
                <w:rFonts w:ascii="Arial" w:cs="Arial" w:eastAsia="Arial" w:hAnsi="Arial"/>
                <w:sz w:val="18"/>
                <w:szCs w:val="18"/>
                <w:color w:val="auto"/>
              </w:rPr>
              <w:t xml:space="preserve"> C. A</w:t>
            </w:r>
            <w:r>
              <w:rPr>
                <w:rFonts w:ascii="Arial" w:cs="Arial" w:eastAsia="Arial" w:hAnsi="Arial"/>
                <w:sz w:val="14"/>
                <w:szCs w:val="14"/>
                <w:color w:val="auto"/>
              </w:rPr>
              <w:t>LTMAN</w:t>
            </w:r>
          </w:p>
        </w:tc>
        <w:tc>
          <w:tcPr>
            <w:tcW w:w="5900" w:type="dxa"/>
            <w:vAlign w:val="bottom"/>
            <w:gridSpan w:val="3"/>
          </w:tcPr>
          <w:p>
            <w:pPr>
              <w:ind w:left="580"/>
              <w:spacing w:after="0"/>
              <w:rPr>
                <w:sz w:val="20"/>
                <w:szCs w:val="20"/>
                <w:color w:val="auto"/>
              </w:rPr>
            </w:pPr>
            <w:r>
              <w:rPr>
                <w:rFonts w:ascii="Arial" w:cs="Arial" w:eastAsia="Arial" w:hAnsi="Arial"/>
                <w:sz w:val="18"/>
                <w:szCs w:val="18"/>
                <w:color w:val="auto"/>
                <w:w w:val="90"/>
              </w:rPr>
              <w:t>Co-Chairman and Co-Chief Executive Officer (Principal Executive Officer)</w:t>
            </w: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9"/>
              </w:rPr>
              <w:t>Roger C. Altman</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/s/</w:t>
            </w:r>
          </w:p>
        </w:tc>
        <w:tc>
          <w:tcPr>
            <w:tcW w:w="282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w w:val="94"/>
              </w:rPr>
              <w:t>P</w:t>
            </w:r>
            <w:r>
              <w:rPr>
                <w:rFonts w:ascii="Arial" w:cs="Arial" w:eastAsia="Arial" w:hAnsi="Arial"/>
                <w:sz w:val="14"/>
                <w:szCs w:val="14"/>
                <w:color w:val="auto"/>
                <w:w w:val="94"/>
              </w:rPr>
              <w:t>EDRO</w:t>
            </w:r>
            <w:r>
              <w:rPr>
                <w:rFonts w:ascii="Arial" w:cs="Arial" w:eastAsia="Arial" w:hAnsi="Arial"/>
                <w:sz w:val="18"/>
                <w:szCs w:val="18"/>
                <w:color w:val="auto"/>
                <w:w w:val="94"/>
              </w:rPr>
              <w:t xml:space="preserve"> A</w:t>
            </w:r>
            <w:r>
              <w:rPr>
                <w:rFonts w:ascii="Arial" w:cs="Arial" w:eastAsia="Arial" w:hAnsi="Arial"/>
                <w:sz w:val="14"/>
                <w:szCs w:val="14"/>
                <w:color w:val="auto"/>
                <w:w w:val="94"/>
              </w:rPr>
              <w:t>SPE</w:t>
            </w:r>
          </w:p>
        </w:tc>
        <w:tc>
          <w:tcPr>
            <w:tcW w:w="5900" w:type="dxa"/>
            <w:vAlign w:val="bottom"/>
            <w:gridSpan w:val="3"/>
          </w:tcPr>
          <w:p>
            <w:pPr>
              <w:ind w:left="580"/>
              <w:spacing w:after="0"/>
              <w:rPr>
                <w:sz w:val="20"/>
                <w:szCs w:val="20"/>
                <w:color w:val="auto"/>
              </w:rPr>
            </w:pPr>
            <w:r>
              <w:rPr>
                <w:rFonts w:ascii="Arial" w:cs="Arial" w:eastAsia="Arial" w:hAnsi="Arial"/>
                <w:sz w:val="18"/>
                <w:szCs w:val="18"/>
                <w:color w:val="auto"/>
              </w:rPr>
              <w:t>Co-Chairman</w:t>
            </w: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4"/>
              </w:rPr>
              <w:t>Pedro Aspe</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419"/>
        </w:trPr>
        <w:tc>
          <w:tcPr>
            <w:tcW w:w="446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RANCOIS DE</w:t>
            </w:r>
            <w:r>
              <w:rPr>
                <w:rFonts w:ascii="Arial" w:cs="Arial" w:eastAsia="Arial" w:hAnsi="Arial"/>
                <w:sz w:val="18"/>
                <w:szCs w:val="18"/>
                <w:color w:val="auto"/>
              </w:rPr>
              <w:t xml:space="preserve"> S</w:t>
            </w:r>
            <w:r>
              <w:rPr>
                <w:rFonts w:ascii="Arial" w:cs="Arial" w:eastAsia="Arial" w:hAnsi="Arial"/>
                <w:sz w:val="14"/>
                <w:szCs w:val="14"/>
                <w:color w:val="auto"/>
              </w:rPr>
              <w:t>T</w:t>
            </w:r>
            <w:r>
              <w:rPr>
                <w:rFonts w:ascii="Arial" w:cs="Arial" w:eastAsia="Arial" w:hAnsi="Arial"/>
                <w:sz w:val="18"/>
                <w:szCs w:val="18"/>
                <w:color w:val="auto"/>
              </w:rPr>
              <w:t>. P</w:t>
            </w:r>
            <w:r>
              <w:rPr>
                <w:rFonts w:ascii="Arial" w:cs="Arial" w:eastAsia="Arial" w:hAnsi="Arial"/>
                <w:sz w:val="14"/>
                <w:szCs w:val="14"/>
                <w:color w:val="auto"/>
              </w:rPr>
              <w:t>HALLE</w:t>
            </w:r>
          </w:p>
        </w:tc>
        <w:tc>
          <w:tcPr>
            <w:tcW w:w="59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400" w:type="dxa"/>
            <w:vAlign w:val="bottom"/>
          </w:tcPr>
          <w:p>
            <w:pPr>
              <w:spacing w:after="0"/>
              <w:rPr>
                <w:sz w:val="14"/>
                <w:szCs w:val="14"/>
                <w:color w:val="auto"/>
              </w:rPr>
            </w:pPr>
          </w:p>
        </w:tc>
        <w:tc>
          <w:tcPr>
            <w:tcW w:w="306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86"/>
              </w:rPr>
              <w:t>Francois de St. Phalle</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419"/>
        </w:trPr>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3060" w:type="dxa"/>
            <w:vAlign w:val="bottom"/>
            <w:tcBorders>
              <w:bottom w:val="single" w:sz="8" w:color="auto"/>
            </w:tcBorders>
            <w:gridSpan w:val="4"/>
          </w:tcPr>
          <w:p>
            <w:pPr>
              <w:jc w:val="center"/>
              <w:ind w:right="134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AIL</w:t>
            </w:r>
            <w:r>
              <w:rPr>
                <w:rFonts w:ascii="Arial" w:cs="Arial" w:eastAsia="Arial" w:hAnsi="Arial"/>
                <w:sz w:val="18"/>
                <w:szCs w:val="18"/>
                <w:color w:val="auto"/>
              </w:rPr>
              <w:t xml:space="preserve"> B</w:t>
            </w:r>
            <w:r>
              <w:rPr>
                <w:rFonts w:ascii="Arial" w:cs="Arial" w:eastAsia="Arial" w:hAnsi="Arial"/>
                <w:sz w:val="14"/>
                <w:szCs w:val="14"/>
                <w:color w:val="auto"/>
              </w:rPr>
              <w:t>LOCK</w:t>
            </w:r>
            <w:r>
              <w:rPr>
                <w:rFonts w:ascii="Arial" w:cs="Arial" w:eastAsia="Arial" w:hAnsi="Arial"/>
                <w:sz w:val="18"/>
                <w:szCs w:val="18"/>
                <w:color w:val="auto"/>
              </w:rPr>
              <w:t xml:space="preserve"> H</w:t>
            </w:r>
            <w:r>
              <w:rPr>
                <w:rFonts w:ascii="Arial" w:cs="Arial" w:eastAsia="Arial" w:hAnsi="Arial"/>
                <w:sz w:val="14"/>
                <w:szCs w:val="14"/>
                <w:color w:val="auto"/>
              </w:rPr>
              <w:t>ARRIS</w:t>
            </w:r>
          </w:p>
        </w:tc>
        <w:tc>
          <w:tcPr>
            <w:tcW w:w="59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92"/>
              </w:rPr>
              <w:t>Gail Block Harris</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419"/>
        </w:trPr>
        <w:tc>
          <w:tcPr>
            <w:tcW w:w="164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jc w:val="center"/>
              <w:ind w:right="1560"/>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URT</w:t>
            </w:r>
            <w:r>
              <w:rPr>
                <w:rFonts w:ascii="Arial" w:cs="Arial" w:eastAsia="Arial" w:hAnsi="Arial"/>
                <w:sz w:val="18"/>
                <w:szCs w:val="18"/>
                <w:color w:val="auto"/>
                <w:w w:val="95"/>
              </w:rPr>
              <w:t xml:space="preserve"> H</w:t>
            </w:r>
            <w:r>
              <w:rPr>
                <w:rFonts w:ascii="Arial" w:cs="Arial" w:eastAsia="Arial" w:hAnsi="Arial"/>
                <w:sz w:val="14"/>
                <w:szCs w:val="14"/>
                <w:color w:val="auto"/>
                <w:w w:val="95"/>
              </w:rPr>
              <w:t>ESSLER</w:t>
            </w:r>
          </w:p>
        </w:tc>
        <w:tc>
          <w:tcPr>
            <w:tcW w:w="59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8"/>
              </w:rPr>
              <w:t>Curt Hessler</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419"/>
        </w:trPr>
        <w:tc>
          <w:tcPr>
            <w:tcW w:w="14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3060" w:type="dxa"/>
            <w:vAlign w:val="bottom"/>
            <w:tcBorders>
              <w:bottom w:val="single" w:sz="8" w:color="auto"/>
            </w:tcBorders>
            <w:gridSpan w:val="4"/>
          </w:tcPr>
          <w:p>
            <w:pPr>
              <w:jc w:val="center"/>
              <w:ind w:right="13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NTHONY</w:t>
            </w:r>
            <w:r>
              <w:rPr>
                <w:rFonts w:ascii="Arial" w:cs="Arial" w:eastAsia="Arial" w:hAnsi="Arial"/>
                <w:sz w:val="18"/>
                <w:szCs w:val="18"/>
                <w:color w:val="auto"/>
              </w:rPr>
              <w:t xml:space="preserve"> N. P</w:t>
            </w:r>
            <w:r>
              <w:rPr>
                <w:rFonts w:ascii="Arial" w:cs="Arial" w:eastAsia="Arial" w:hAnsi="Arial"/>
                <w:sz w:val="14"/>
                <w:szCs w:val="14"/>
                <w:color w:val="auto"/>
              </w:rPr>
              <w:t>RITZKER</w:t>
            </w:r>
          </w:p>
        </w:tc>
        <w:tc>
          <w:tcPr>
            <w:tcW w:w="59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90"/>
              </w:rPr>
              <w:t>Anthony N. Pritzker</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419"/>
        </w:trPr>
        <w:tc>
          <w:tcPr>
            <w:tcW w:w="14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83"/>
              </w:rPr>
              <w:t>/s/</w:t>
            </w:r>
          </w:p>
        </w:tc>
        <w:tc>
          <w:tcPr>
            <w:tcW w:w="3060" w:type="dxa"/>
            <w:vAlign w:val="bottom"/>
            <w:tcBorders>
              <w:bottom w:val="single" w:sz="8" w:color="auto"/>
            </w:tcBorders>
            <w:gridSpan w:val="4"/>
          </w:tcPr>
          <w:p>
            <w:pPr>
              <w:jc w:val="center"/>
              <w:ind w:right="132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B. W</w:t>
            </w:r>
            <w:r>
              <w:rPr>
                <w:rFonts w:ascii="Arial" w:cs="Arial" w:eastAsia="Arial" w:hAnsi="Arial"/>
                <w:sz w:val="14"/>
                <w:szCs w:val="14"/>
                <w:color w:val="auto"/>
                <w:w w:val="97"/>
              </w:rPr>
              <w:t>ALSH</w:t>
            </w:r>
          </w:p>
        </w:tc>
        <w:tc>
          <w:tcPr>
            <w:tcW w:w="5900" w:type="dxa"/>
            <w:vAlign w:val="bottom"/>
            <w:gridSpan w:val="3"/>
          </w:tcPr>
          <w:p>
            <w:pPr>
              <w:ind w:left="580"/>
              <w:spacing w:after="0"/>
              <w:rPr>
                <w:sz w:val="20"/>
                <w:szCs w:val="20"/>
                <w:color w:val="auto"/>
              </w:rPr>
            </w:pPr>
            <w:r>
              <w:rPr>
                <w:rFonts w:ascii="Arial" w:cs="Arial" w:eastAsia="Arial" w:hAnsi="Arial"/>
                <w:sz w:val="18"/>
                <w:szCs w:val="18"/>
                <w:color w:val="auto"/>
              </w:rPr>
              <w:t>Chief Financial Officer (Principal Financial Officer)</w:t>
            </w: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88"/>
              </w:rPr>
              <w:t>Robert B. Walsh</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/s/</w:t>
            </w:r>
          </w:p>
        </w:tc>
        <w:tc>
          <w:tcPr>
            <w:tcW w:w="282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AUL</w:t>
            </w:r>
            <w:r>
              <w:rPr>
                <w:rFonts w:ascii="Arial" w:cs="Arial" w:eastAsia="Arial" w:hAnsi="Arial"/>
                <w:sz w:val="18"/>
                <w:szCs w:val="18"/>
                <w:color w:val="auto"/>
                <w:w w:val="97"/>
              </w:rPr>
              <w:t xml:space="preserve"> P</w:t>
            </w:r>
            <w:r>
              <w:rPr>
                <w:rFonts w:ascii="Arial" w:cs="Arial" w:eastAsia="Arial" w:hAnsi="Arial"/>
                <w:sz w:val="14"/>
                <w:szCs w:val="14"/>
                <w:color w:val="auto"/>
                <w:w w:val="97"/>
              </w:rPr>
              <w:t>ENSA</w:t>
            </w:r>
          </w:p>
        </w:tc>
        <w:tc>
          <w:tcPr>
            <w:tcW w:w="5900" w:type="dxa"/>
            <w:vAlign w:val="bottom"/>
            <w:gridSpan w:val="3"/>
          </w:tcPr>
          <w:p>
            <w:pPr>
              <w:ind w:left="580"/>
              <w:spacing w:after="0"/>
              <w:rPr>
                <w:sz w:val="20"/>
                <w:szCs w:val="20"/>
                <w:color w:val="auto"/>
              </w:rPr>
            </w:pPr>
            <w:r>
              <w:rPr>
                <w:rFonts w:ascii="Arial" w:cs="Arial" w:eastAsia="Arial" w:hAnsi="Arial"/>
                <w:sz w:val="18"/>
                <w:szCs w:val="18"/>
                <w:color w:val="auto"/>
              </w:rPr>
              <w:t>Controller (Principal Accounting Officer)</w:t>
            </w: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85"/>
              </w:rPr>
              <w:t>Paul Pensa</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50"/>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40" w:type="dxa"/>
            <w:vAlign w:val="bottom"/>
          </w:tcPr>
          <w:p>
            <w:pPr>
              <w:ind w:left="112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260"/>
          </w:cols>
          <w:pgMar w:left="240" w:top="459" w:right="3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10.22</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31 July 2006</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BRAVEHEART FINANCIAL SERVICES LIMITED</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BERNARD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194945</wp:posOffset>
            </wp:positionV>
            <wp:extent cx="15176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203835</wp:posOffset>
            </wp:positionV>
            <wp:extent cx="15176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1258570</wp:posOffset>
            </wp:positionH>
            <wp:positionV relativeFrom="paragraph">
              <wp:posOffset>417830</wp:posOffset>
            </wp:positionV>
            <wp:extent cx="322453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24530" cy="29146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28"/>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6460" w:type="dxa"/>
            <w:vAlign w:val="bottom"/>
            <w:gridSpan w:val="3"/>
          </w:tcPr>
          <w:p>
            <w:pPr>
              <w:jc w:val="right"/>
              <w:ind w:right="5240"/>
              <w:spacing w:after="0"/>
              <w:rPr>
                <w:sz w:val="20"/>
                <w:szCs w:val="20"/>
                <w:color w:val="auto"/>
              </w:rPr>
            </w:pPr>
            <w:r>
              <w:rPr>
                <w:rFonts w:ascii="Arial" w:cs="Arial" w:eastAsia="Arial" w:hAnsi="Arial"/>
                <w:sz w:val="18"/>
                <w:szCs w:val="18"/>
                <w:b w:val="1"/>
                <w:bCs w:val="1"/>
                <w:color w:val="auto"/>
              </w:rPr>
              <w:t>CONTENTS</w:t>
            </w:r>
          </w:p>
        </w:tc>
      </w:tr>
      <w:tr>
        <w:trPr>
          <w:trHeight w:val="353"/>
        </w:trPr>
        <w:tc>
          <w:tcPr>
            <w:tcW w:w="560" w:type="dxa"/>
            <w:vAlign w:val="bottom"/>
          </w:tcPr>
          <w:p>
            <w:pPr>
              <w:spacing w:after="0"/>
              <w:rPr>
                <w:sz w:val="20"/>
                <w:szCs w:val="20"/>
                <w:color w:val="auto"/>
              </w:rPr>
            </w:pPr>
            <w:r>
              <w:rPr>
                <w:rFonts w:ascii="Arial" w:cs="Arial" w:eastAsia="Arial" w:hAnsi="Arial"/>
                <w:sz w:val="14"/>
                <w:szCs w:val="14"/>
                <w:b w:val="1"/>
                <w:bCs w:val="1"/>
                <w:color w:val="auto"/>
                <w:w w:val="93"/>
              </w:rPr>
              <w:t>CLAUSE</w:t>
            </w:r>
          </w:p>
        </w:tc>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r>
      <w:tr>
        <w:trPr>
          <w:trHeight w:val="216"/>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DEFINITIONS</w:t>
            </w:r>
          </w:p>
        </w:tc>
        <w:tc>
          <w:tcPr>
            <w:tcW w:w="606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316"/>
        </w:trPr>
        <w:tc>
          <w:tcPr>
            <w:tcW w:w="560" w:type="dxa"/>
            <w:vAlign w:val="bottom"/>
          </w:tcPr>
          <w:p>
            <w:pPr>
              <w:spacing w:after="0"/>
              <w:rPr>
                <w:sz w:val="20"/>
                <w:szCs w:val="20"/>
                <w:color w:val="auto"/>
              </w:rPr>
            </w:pPr>
            <w:r>
              <w:rPr>
                <w:rFonts w:ascii="Arial" w:cs="Arial" w:eastAsia="Arial" w:hAnsi="Arial"/>
                <w:sz w:val="18"/>
                <w:szCs w:val="18"/>
                <w:color w:val="auto"/>
              </w:rPr>
              <w:t>2.</w:t>
            </w:r>
          </w:p>
        </w:tc>
        <w:tc>
          <w:tcPr>
            <w:tcW w:w="4420" w:type="dxa"/>
            <w:vAlign w:val="bottom"/>
            <w:gridSpan w:val="2"/>
          </w:tcPr>
          <w:p>
            <w:pPr>
              <w:spacing w:after="0"/>
              <w:rPr>
                <w:sz w:val="20"/>
                <w:szCs w:val="20"/>
                <w:color w:val="auto"/>
              </w:rPr>
            </w:pPr>
            <w:r>
              <w:rPr>
                <w:rFonts w:ascii="Arial" w:cs="Arial" w:eastAsia="Arial" w:hAnsi="Arial"/>
                <w:sz w:val="18"/>
                <w:szCs w:val="18"/>
                <w:color w:val="auto"/>
              </w:rPr>
              <w:t>TERM AND JOB DESCRIPTION</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3.</w:t>
            </w:r>
          </w:p>
        </w:tc>
        <w:tc>
          <w:tcPr>
            <w:tcW w:w="4420" w:type="dxa"/>
            <w:vAlign w:val="bottom"/>
            <w:gridSpan w:val="2"/>
          </w:tcPr>
          <w:p>
            <w:pPr>
              <w:spacing w:after="0"/>
              <w:rPr>
                <w:sz w:val="20"/>
                <w:szCs w:val="20"/>
                <w:color w:val="auto"/>
              </w:rPr>
            </w:pPr>
            <w:r>
              <w:rPr>
                <w:rFonts w:ascii="Arial" w:cs="Arial" w:eastAsia="Arial" w:hAnsi="Arial"/>
                <w:sz w:val="18"/>
                <w:szCs w:val="18"/>
                <w:color w:val="auto"/>
              </w:rPr>
              <w:t>DUTIES</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4.</w:t>
            </w:r>
          </w:p>
        </w:tc>
        <w:tc>
          <w:tcPr>
            <w:tcW w:w="4420" w:type="dxa"/>
            <w:vAlign w:val="bottom"/>
            <w:gridSpan w:val="2"/>
          </w:tcPr>
          <w:p>
            <w:pPr>
              <w:spacing w:after="0"/>
              <w:rPr>
                <w:sz w:val="20"/>
                <w:szCs w:val="20"/>
                <w:color w:val="auto"/>
              </w:rPr>
            </w:pPr>
            <w:r>
              <w:rPr>
                <w:rFonts w:ascii="Arial" w:cs="Arial" w:eastAsia="Arial" w:hAnsi="Arial"/>
                <w:sz w:val="18"/>
                <w:szCs w:val="18"/>
                <w:color w:val="auto"/>
              </w:rPr>
              <w:t>SALARY AND BONUS</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5.</w:t>
            </w:r>
          </w:p>
        </w:tc>
        <w:tc>
          <w:tcPr>
            <w:tcW w:w="44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6.</w:t>
            </w:r>
          </w:p>
        </w:tc>
        <w:tc>
          <w:tcPr>
            <w:tcW w:w="4420" w:type="dxa"/>
            <w:vAlign w:val="bottom"/>
            <w:gridSpan w:val="2"/>
          </w:tcPr>
          <w:p>
            <w:pPr>
              <w:spacing w:after="0"/>
              <w:rPr>
                <w:sz w:val="20"/>
                <w:szCs w:val="20"/>
                <w:color w:val="auto"/>
              </w:rPr>
            </w:pPr>
            <w:r>
              <w:rPr>
                <w:rFonts w:ascii="Arial" w:cs="Arial" w:eastAsia="Arial" w:hAnsi="Arial"/>
                <w:sz w:val="18"/>
                <w:szCs w:val="18"/>
                <w:color w:val="auto"/>
              </w:rPr>
              <w:t>PENSION AND OTHER WELFARE BENEFITS</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7.</w:t>
            </w:r>
          </w:p>
        </w:tc>
        <w:tc>
          <w:tcPr>
            <w:tcW w:w="4420" w:type="dxa"/>
            <w:vAlign w:val="bottom"/>
            <w:gridSpan w:val="2"/>
          </w:tcPr>
          <w:p>
            <w:pPr>
              <w:spacing w:after="0"/>
              <w:rPr>
                <w:sz w:val="20"/>
                <w:szCs w:val="20"/>
                <w:color w:val="auto"/>
              </w:rPr>
            </w:pPr>
            <w:r>
              <w:rPr>
                <w:rFonts w:ascii="Arial" w:cs="Arial" w:eastAsia="Arial" w:hAnsi="Arial"/>
                <w:sz w:val="18"/>
                <w:szCs w:val="18"/>
                <w:color w:val="auto"/>
              </w:rPr>
              <w:t>HOLIDAY</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8.</w:t>
            </w:r>
          </w:p>
        </w:tc>
        <w:tc>
          <w:tcPr>
            <w:tcW w:w="4420" w:type="dxa"/>
            <w:vAlign w:val="bottom"/>
            <w:gridSpan w:val="2"/>
          </w:tcPr>
          <w:p>
            <w:pPr>
              <w:spacing w:after="0"/>
              <w:rPr>
                <w:sz w:val="20"/>
                <w:szCs w:val="20"/>
                <w:color w:val="auto"/>
              </w:rPr>
            </w:pPr>
            <w:r>
              <w:rPr>
                <w:rFonts w:ascii="Arial" w:cs="Arial" w:eastAsia="Arial" w:hAnsi="Arial"/>
                <w:sz w:val="18"/>
                <w:szCs w:val="18"/>
                <w:color w:val="auto"/>
              </w:rPr>
              <w:t>OTHER BENEFITS</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9.</w:t>
            </w:r>
          </w:p>
        </w:tc>
        <w:tc>
          <w:tcPr>
            <w:tcW w:w="4420" w:type="dxa"/>
            <w:vAlign w:val="bottom"/>
            <w:gridSpan w:val="2"/>
          </w:tcPr>
          <w:p>
            <w:pPr>
              <w:spacing w:after="0"/>
              <w:rPr>
                <w:sz w:val="20"/>
                <w:szCs w:val="20"/>
                <w:color w:val="auto"/>
              </w:rPr>
            </w:pPr>
            <w:r>
              <w:rPr>
                <w:rFonts w:ascii="Arial" w:cs="Arial" w:eastAsia="Arial" w:hAnsi="Arial"/>
                <w:sz w:val="18"/>
                <w:szCs w:val="18"/>
                <w:color w:val="auto"/>
              </w:rPr>
              <w:t>SICKNESS AND OTHER INCAPACITY</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w:t>
            </w:r>
          </w:p>
        </w:tc>
        <w:tc>
          <w:tcPr>
            <w:tcW w:w="4420" w:type="dxa"/>
            <w:vAlign w:val="bottom"/>
            <w:gridSpan w:val="2"/>
          </w:tcPr>
          <w:p>
            <w:pPr>
              <w:spacing w:after="0"/>
              <w:rPr>
                <w:sz w:val="20"/>
                <w:szCs w:val="20"/>
                <w:color w:val="auto"/>
              </w:rPr>
            </w:pPr>
            <w:r>
              <w:rPr>
                <w:rFonts w:ascii="Arial" w:cs="Arial" w:eastAsia="Arial" w:hAnsi="Arial"/>
                <w:sz w:val="18"/>
                <w:szCs w:val="18"/>
                <w:color w:val="auto"/>
              </w:rPr>
              <w:t>TERMINATION</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11.</w:t>
            </w:r>
          </w:p>
        </w:tc>
        <w:tc>
          <w:tcPr>
            <w:tcW w:w="4420" w:type="dxa"/>
            <w:vAlign w:val="bottom"/>
            <w:gridSpan w:val="2"/>
          </w:tcPr>
          <w:p>
            <w:pPr>
              <w:spacing w:after="0"/>
              <w:rPr>
                <w:sz w:val="20"/>
                <w:szCs w:val="20"/>
                <w:color w:val="auto"/>
              </w:rPr>
            </w:pPr>
            <w:r>
              <w:rPr>
                <w:rFonts w:ascii="Arial" w:cs="Arial" w:eastAsia="Arial" w:hAnsi="Arial"/>
                <w:sz w:val="18"/>
                <w:szCs w:val="18"/>
                <w:color w:val="auto"/>
              </w:rPr>
              <w:t>SUSPENSION</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12.</w:t>
            </w:r>
          </w:p>
        </w:tc>
        <w:tc>
          <w:tcPr>
            <w:tcW w:w="4420" w:type="dxa"/>
            <w:vAlign w:val="bottom"/>
            <w:gridSpan w:val="2"/>
          </w:tcPr>
          <w:p>
            <w:pPr>
              <w:spacing w:after="0"/>
              <w:rPr>
                <w:sz w:val="20"/>
                <w:szCs w:val="20"/>
                <w:color w:val="auto"/>
              </w:rPr>
            </w:pPr>
            <w:r>
              <w:rPr>
                <w:rFonts w:ascii="Arial" w:cs="Arial" w:eastAsia="Arial" w:hAnsi="Arial"/>
                <w:sz w:val="18"/>
                <w:szCs w:val="18"/>
                <w:color w:val="auto"/>
              </w:rPr>
              <w:t>RESTRICTIONS</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13.</w:t>
            </w:r>
          </w:p>
        </w:tc>
        <w:tc>
          <w:tcPr>
            <w:tcW w:w="4420" w:type="dxa"/>
            <w:vAlign w:val="bottom"/>
            <w:gridSpan w:val="2"/>
          </w:tcPr>
          <w:p>
            <w:pPr>
              <w:spacing w:after="0"/>
              <w:rPr>
                <w:sz w:val="20"/>
                <w:szCs w:val="20"/>
                <w:color w:val="auto"/>
              </w:rPr>
            </w:pPr>
            <w:r>
              <w:rPr>
                <w:rFonts w:ascii="Arial" w:cs="Arial" w:eastAsia="Arial" w:hAnsi="Arial"/>
                <w:sz w:val="18"/>
                <w:szCs w:val="18"/>
                <w:color w:val="auto"/>
              </w:rPr>
              <w:t>DATA PROTECTION</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14.</w:t>
            </w:r>
          </w:p>
        </w:tc>
        <w:tc>
          <w:tcPr>
            <w:tcW w:w="44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15.</w:t>
            </w:r>
          </w:p>
        </w:tc>
        <w:tc>
          <w:tcPr>
            <w:tcW w:w="4420" w:type="dxa"/>
            <w:vAlign w:val="bottom"/>
            <w:gridSpan w:val="2"/>
          </w:tcPr>
          <w:p>
            <w:pPr>
              <w:spacing w:after="0"/>
              <w:rPr>
                <w:sz w:val="20"/>
                <w:szCs w:val="20"/>
                <w:color w:val="auto"/>
              </w:rPr>
            </w:pPr>
            <w:r>
              <w:rPr>
                <w:rFonts w:ascii="Arial" w:cs="Arial" w:eastAsia="Arial" w:hAnsi="Arial"/>
                <w:sz w:val="18"/>
                <w:szCs w:val="18"/>
                <w:color w:val="auto"/>
              </w:rPr>
              <w:t>GENERAL</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r>
      <w:tr>
        <w:trPr>
          <w:trHeight w:val="324"/>
        </w:trPr>
        <w:tc>
          <w:tcPr>
            <w:tcW w:w="4980" w:type="dxa"/>
            <w:vAlign w:val="bottom"/>
            <w:gridSpan w:val="3"/>
          </w:tcPr>
          <w:p>
            <w:pPr>
              <w:spacing w:after="0"/>
              <w:rPr>
                <w:sz w:val="20"/>
                <w:szCs w:val="20"/>
                <w:color w:val="auto"/>
              </w:rPr>
            </w:pPr>
            <w:r>
              <w:rPr>
                <w:rFonts w:ascii="Arial" w:cs="Arial" w:eastAsia="Arial" w:hAnsi="Arial"/>
                <w:sz w:val="18"/>
                <w:szCs w:val="18"/>
                <w:color w:val="auto"/>
              </w:rPr>
              <w:t>APPENDIX A : OUTSIDE ACTIVITIES</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r>
      <w:tr>
        <w:trPr>
          <w:trHeight w:val="324"/>
        </w:trPr>
        <w:tc>
          <w:tcPr>
            <w:tcW w:w="4980" w:type="dxa"/>
            <w:vAlign w:val="bottom"/>
            <w:gridSpan w:val="3"/>
          </w:tcPr>
          <w:p>
            <w:pPr>
              <w:spacing w:after="0"/>
              <w:rPr>
                <w:sz w:val="20"/>
                <w:szCs w:val="20"/>
                <w:color w:val="auto"/>
              </w:rPr>
            </w:pPr>
            <w:r>
              <w:rPr>
                <w:rFonts w:ascii="Arial" w:cs="Arial" w:eastAsia="Arial" w:hAnsi="Arial"/>
                <w:sz w:val="18"/>
                <w:szCs w:val="18"/>
                <w:color w:val="auto"/>
                <w:w w:val="98"/>
              </w:rPr>
              <w:t>APPENDIX B : ROLE IN THE GOVERNANCE OF EVERCORE</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r>
    </w:tbl>
    <w:p>
      <w:pPr>
        <w:jc w:val="right"/>
        <w:ind w:right="2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31 July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ind w:left="460" w:right="540" w:hanging="452"/>
        <w:spacing w:after="0" w:line="275"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BRAVEHEART FINANCIAL SERVICES LIMITED</w:t>
      </w:r>
      <w:r>
        <w:rPr>
          <w:rFonts w:ascii="Arial" w:cs="Arial" w:eastAsia="Arial" w:hAnsi="Arial"/>
          <w:sz w:val="18"/>
          <w:szCs w:val="18"/>
          <w:color w:val="auto"/>
        </w:rPr>
        <w:t>, (which it is proposed will be renamed Evercore Europe Limited after the Effective Date)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incorporated under the laws of England and Wales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w:t>
      </w:r>
    </w:p>
    <w:p>
      <w:pPr>
        <w:spacing w:after="0" w:line="38"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BERNARD J. TAYLOR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You</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1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the following expressions have the following meanings: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in relation to either the Company or Evercore LP, any entity which controls, is controlled by or is under common control with the Company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Evercore LP, as the case may be, including any holding company or companies of the Company or Evercore LP and any subsidiary or subsidiaries of the Company or Evercore LP or any such holding company where “holding company” and “subsidiary” shall have the meanings assigned to them respectively by the Companies Act 1985;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 or a duly constituted committee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Braveheart Acquisition </w:t>
      </w:r>
      <w:r>
        <w:rPr>
          <w:rFonts w:ascii="Arial" w:cs="Arial" w:eastAsia="Arial" w:hAnsi="Arial"/>
          <w:sz w:val="18"/>
          <w:szCs w:val="18"/>
          <w:color w:val="auto"/>
        </w:rPr>
        <w:t>means the proposed acquisition of the Company by Evercore Partners Inc., or an Affiliate thereof;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means the date of legal closing of the Braveheart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Employment </w:t>
      </w:r>
      <w:r>
        <w:rPr>
          <w:rFonts w:ascii="Arial" w:cs="Arial" w:eastAsia="Arial" w:hAnsi="Arial"/>
          <w:sz w:val="18"/>
          <w:szCs w:val="18"/>
          <w:color w:val="auto"/>
        </w:rPr>
        <w:t>means your employment with the Company in accordance with the terms and conditions of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Evercore </w:t>
      </w:r>
      <w:r>
        <w:rPr>
          <w:rFonts w:ascii="Arial" w:cs="Arial" w:eastAsia="Arial" w:hAnsi="Arial"/>
          <w:sz w:val="18"/>
          <w:szCs w:val="18"/>
          <w:color w:val="auto"/>
        </w:rPr>
        <w:t>means Evercore Partners Inc. and its Affiliates and successors;</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 xml:space="preserve">Group </w:t>
      </w:r>
      <w:r>
        <w:rPr>
          <w:rFonts w:ascii="Arial" w:cs="Arial" w:eastAsia="Arial" w:hAnsi="Arial"/>
          <w:sz w:val="18"/>
          <w:szCs w:val="18"/>
          <w:color w:val="auto"/>
        </w:rPr>
        <w:t>means, after completion of the Braveheart Acquisition, the group of companies comprising Evercore Partners Inc. and its Affiliates (including,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avoidance of doubt, the Company and its Affiliates);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Initial Fixed Period </w:t>
      </w:r>
      <w:r>
        <w:rPr>
          <w:rFonts w:ascii="Arial" w:cs="Arial" w:eastAsia="Arial" w:hAnsi="Arial"/>
          <w:sz w:val="16"/>
          <w:szCs w:val="16"/>
          <w:color w:val="auto"/>
        </w:rPr>
        <w:t>means the period commencing on the Effective Date and ending on the date that is the second anniversary after the Effective Date;</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 xml:space="preserve">Relevant Date </w:t>
      </w:r>
      <w:r>
        <w:rPr>
          <w:rFonts w:ascii="Arial" w:cs="Arial" w:eastAsia="Arial" w:hAnsi="Arial"/>
          <w:sz w:val="18"/>
          <w:szCs w:val="18"/>
          <w:color w:val="auto"/>
        </w:rPr>
        <w:t>means, during the Employment, any date falling during such time, and, for the period of time during the Restricted Period that falls after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termination of the Employment, the effective date of termination of the Employment.</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Restricted Period </w:t>
      </w:r>
      <w:r>
        <w:rPr>
          <w:rFonts w:ascii="Arial" w:cs="Arial" w:eastAsia="Arial" w:hAnsi="Arial"/>
          <w:sz w:val="16"/>
          <w:szCs w:val="16"/>
          <w:color w:val="auto"/>
        </w:rPr>
        <w:t>means the six months immediately following (a) the date of any termination of the Executive’s employment with the Company by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or without cause reduced by the number of days that you are suspended in accordance with Clause 11 and (b) if earlier than the date referenced in Clause</w:t>
      </w:r>
    </w:p>
    <w:p>
      <w:pPr>
        <w:ind w:right="220" w:firstLine="8"/>
        <w:spacing w:after="0" w:line="323" w:lineRule="auto"/>
        <w:tabs>
          <w:tab w:leader="none" w:pos="239" w:val="left"/>
        </w:tabs>
        <w:numPr>
          <w:ilvl w:val="0"/>
          <w:numId w:val="58"/>
        </w:numPr>
        <w:rPr>
          <w:rFonts w:ascii="Arial" w:cs="Arial" w:eastAsia="Arial" w:hAnsi="Arial"/>
          <w:sz w:val="16"/>
          <w:szCs w:val="16"/>
          <w:color w:val="auto"/>
        </w:rPr>
      </w:pPr>
      <w:r>
        <w:rPr>
          <w:rFonts w:ascii="Arial" w:cs="Arial" w:eastAsia="Arial" w:hAnsi="Arial"/>
          <w:sz w:val="16"/>
          <w:szCs w:val="16"/>
          <w:color w:val="auto"/>
        </w:rPr>
        <w:t>hereof, the date that notice is given by the Executive to the Company of the Executive’s resignation from the Company for any reason (other than due to the Executive’s death), which date shall be no later than thirty business days prior to the effective date of any such resignation.</w:t>
      </w:r>
    </w:p>
    <w:p>
      <w:pPr>
        <w:spacing w:after="0" w:line="208"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 AND</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OB</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ESCRIPTION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2.1 You will be employed by the Company from the Effective Date. You will act as Chief Executive of the Company.</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2.2 Following legal closing of the Braveheart Acquisition, it is intended that the Company will be renamed Evercore Europe Limited and that you will be Chief Executive of the Company. It is intended that your role in the governance of Evercore will be as set out in Appendix B.</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2.3 The Employment shall continue for the Initial Fixed Period unless or until terminated by either party giving to the other not less than three months’ notice, such notice to expire at any time on or after the last day of the Initial Fixed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4" w:right="239" w:bottom="1440" w:gutter="0" w:footer="0" w:header="0"/>
        </w:sectPr>
      </w:pPr>
    </w:p>
    <w:bookmarkStart w:id="107" w:name="page108"/>
    <w:bookmarkEnd w:id="107"/>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w:t>
      </w:r>
      <w:r>
        <w:rPr>
          <w:rFonts w:ascii="Arial" w:cs="Arial" w:eastAsia="Arial" w:hAnsi="Arial"/>
          <w:sz w:val="14"/>
          <w:szCs w:val="14"/>
          <w:b w:val="1"/>
          <w:bCs w:val="1"/>
          <w:color w:val="auto"/>
        </w:rPr>
        <w:t>UTIES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3.1 During the Employment you will devote your full time and attention during normal business hours and otherwise as reasonably required to the business and affairs of the Company and any Affiliates and comply with the lawful and reasonable directions of the Company and any Affiliates in relation to the performance of your duties.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3.2 Without prejudice to the provisions of Clause 3.1, following the Effective Date, your principal responsibilities during the Employment will include:</w:t>
      </w:r>
    </w:p>
    <w:p>
      <w:pPr>
        <w:spacing w:after="0" w:line="113"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heading Evercore’s European financial advisory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assisting in the development of Evercore’s private equity investment opportunities in Europe;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assisting in the growth of Evercore’s North American financial advisory and other businesses.</w:t>
      </w:r>
    </w:p>
    <w:p>
      <w:pPr>
        <w:spacing w:after="0" w:line="17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3.3 During the Employment, you will not (without prior written consent of the Board) be directly or indirectly engaged, concerned or interested in any other business activity, trade or occupation. Consent is hereby deemed to have been given to the outside business interests mentioned in Appendix A.</w:t>
      </w:r>
    </w:p>
    <w:p>
      <w:pPr>
        <w:spacing w:after="0" w:line="85"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3.4 You will work such hours as are necessary for the proper performance of your duties. You acknowledge that your working time is unmeasured and not predetermined and that for the purposes of the Working Time Regulations 1999 you are an autonomous decision maker.</w:t>
      </w:r>
    </w:p>
    <w:p>
      <w:pPr>
        <w:spacing w:after="0" w:line="8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3.5 In the course of your duties you will be required to travel, but your office and permanent base will be within the City of London, or one of the following London postal districts: WC1, WC2, W1 or SW1.</w:t>
      </w:r>
    </w:p>
    <w:p>
      <w:pPr>
        <w:spacing w:after="0" w:line="248"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ALARY AND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ONUS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4.1 Your initial basic salary will be £300,000 per annum payable monthly on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of the month or such other day as the Company may determine.</w:t>
      </w:r>
    </w:p>
    <w:p>
      <w:pPr>
        <w:spacing w:after="0" w:line="17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4.2 You will, in addition, be paid a guaranteed cash bonus of not less than US$2,250,000 promptly (and, in any event, no later than bonuses are paid to other Senior Managing Directors of Evercore) after 31 December 2006, or if later, the Effective Date and of not less than US$2,250,000 promptly (and, in any event, no later than bonuses are paid to other Senior Managing Directors of Evercore) after 31 December 2007.</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4.3 The Company will set in place suitable incentive arrangements for you in respect of the period following 31 December 2007. These arrangements will include payment to you of an annual cash bonus dependent on the successful development of the Company. It is anticipated that a bonus pool as set out in Appendix B will be established to sustain the Company’s total employee bonus payments.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4.4 The bonuses in Clauses 4.2 and 4.3 above will not be paid in the event that you terminate your Employment prior to the relevant bonus becoming payable unless you do so in circumstances where, as a result of a breach or series of breaches of contract by the Company, you are entitled to do so summarily and without yourself being in breach of contract (“Constructive Dismissal”).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4.5 If you die in office your dependants will receive the bonus described in Clause 4.2 for the year in which your employment ceases.</w:t>
      </w:r>
    </w:p>
    <w:p>
      <w:pPr>
        <w:spacing w:after="0" w:line="17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4.6 All payments/benefits provided for in this agreement are subject to such deductions in respect of tax, the Executive’s National Insurance contributions or otherwise as the Company shall be required to make by law.</w:t>
      </w:r>
    </w:p>
    <w:p>
      <w:pPr>
        <w:spacing w:after="0" w:line="24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XPENSES</w:t>
      </w:r>
    </w:p>
    <w:p>
      <w:pPr>
        <w:spacing w:after="0" w:line="9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You will be entitled to be reimbursed all reasonable out-of-pocket expenses (including hotel of your choice, first-class travelling and entertainment expenses) which you incur in the performance of your duties, subject to the production of such receipts or other evidence as the Company may reasonably require.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40" w:top="274" w:right="259" w:bottom="1440" w:gutter="0" w:footer="0" w:header="0"/>
        </w:sectPr>
      </w:pPr>
    </w:p>
    <w:bookmarkStart w:id="108" w:name="page109"/>
    <w:bookmarkEnd w:id="108"/>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w:t>
      </w:r>
      <w:r>
        <w:rPr>
          <w:rFonts w:ascii="Arial" w:cs="Arial" w:eastAsia="Arial" w:hAnsi="Arial"/>
          <w:sz w:val="14"/>
          <w:szCs w:val="14"/>
          <w:b w:val="1"/>
          <w:bCs w:val="1"/>
          <w:color w:val="auto"/>
        </w:rPr>
        <w:t>ENSION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ELFARE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Following the Effective Date, you will be entitled to participate in all benefit, welfare and retirement plans and programs as are provided by the Group at a level commensurate with your position of Chief Executive of the Company, such participation to provide full value for your service without bearing the economic burden of any statutory limits or restrictions.</w:t>
      </w:r>
    </w:p>
    <w:p>
      <w:pPr>
        <w:spacing w:after="0" w:line="256"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OLIDAY</w:t>
      </w:r>
    </w:p>
    <w:p>
      <w:pPr>
        <w:spacing w:after="0" w:line="9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You will receive 31 days’ holiday, in addition to bank and public holidays (in each calendar year) with full pay. The right to holiday will accrue pro-rata during each calendar year of the Employment, and you will be entitled to accrued holiday pay on termination of the Employment (which calculations shall be made on the basis that each day of paid holiday is equivalent to 1/260 of your salary).</w:t>
      </w:r>
    </w:p>
    <w:p>
      <w:pPr>
        <w:spacing w:after="0" w:line="256"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8.1 Following the Effective Date, you will be entitled to the free personal use of an appropriate company car (Mercedes S500 or equivalent value) and a driver for travel between home and office and other use connected with business or an appropriate allowance in lieu.</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8.2 Without prejudice to Clause 6 above, following the Effective Date, you will also receive London scale medical healthcare benefits for you, your spouse and children under the age of 21 and such permanent health insurance cover as is normal for a chief executive subject always to the terms of the schemes and provided that such cover can be obtained without exceptional conditions or unusually high premiums.</w:t>
      </w:r>
    </w:p>
    <w:p>
      <w:pPr>
        <w:spacing w:after="0" w:line="14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8.3 If a Senior Managing Director who was a Senior Managing Director of the Purchaser prior to the offering (excluding Roger Altman, Austin Beutner or any Director of Protego) ceases to be employed by the Purchaser, he or she will forfeit his or her equity in Evercore LP which is not treated as vested and it will be re-allocated on a pro rata basis to the other currently employed persons who were Senior Managing Directors of the Purchaser prior to the offering (excluding Roger Altman and Austin Beutner). You will be treated as being included in this group of Senior Managing Directors to the extent you are then currently employed.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8.4 Any equity reallocated to you pursuant to Clause 8.3 shall be issued to you in the form of registered Class A Common Stock.</w:t>
      </w:r>
    </w:p>
    <w:p>
      <w:pPr>
        <w:spacing w:after="0" w:line="287"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ICKNESS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NCAPACITY</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Subject to complying with the Company’s procedures relating to the notification and certification of periods of absence from work, you will continue to be paid your salary (inclusive of any statutory sick pay or social security benefits to which you may be entitled) during any periods of absence from work due to sickness injury or other incapacity up to a maximum of 6 months in any period of 12 months.</w:t>
      </w:r>
    </w:p>
    <w:p>
      <w:pPr>
        <w:spacing w:after="0" w:line="256"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10.1 Either party may terminate the Employment in accordance with Clause 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10.2 The Company may terminate your Employment summarily and without compensation:</w:t>
      </w:r>
    </w:p>
    <w:p>
      <w:pPr>
        <w:spacing w:after="0" w:line="90" w:lineRule="exact"/>
        <w:rPr>
          <w:sz w:val="20"/>
          <w:szCs w:val="20"/>
          <w:color w:val="auto"/>
        </w:rPr>
      </w:pPr>
    </w:p>
    <w:p>
      <w:pPr>
        <w:ind w:left="900" w:right="200" w:hanging="446"/>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you are convicted of, plead guilty to or enter a plea with comparable effect to a plea in a U.S. criminal case of nolo contendere to, a criminal offence involving (a) violence or (b) dishonesty or (c) which results in a custodial sentence and is likely to bring the Company or its Affiliates into disrepute;</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you commit a serious or (after warning) persistent breach of your contract of employment or you commit or cause the Company or any of its Affiliates to commit a serious or (after warning) persistent breach of the applicable rules and regulations of the UK Financial Services Authority; or</w:t>
      </w:r>
    </w:p>
    <w:p>
      <w:pPr>
        <w:spacing w:after="0" w:line="4" w:lineRule="exact"/>
        <w:rPr>
          <w:rFonts w:ascii="Arial" w:cs="Arial" w:eastAsia="Arial" w:hAnsi="Arial"/>
          <w:sz w:val="16"/>
          <w:szCs w:val="16"/>
          <w:color w:val="auto"/>
        </w:rPr>
      </w:pPr>
    </w:p>
    <w:p>
      <w:pPr>
        <w:ind w:left="900" w:right="74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you are disqualified from holding office in the company or any other company under the Insolvency Act 1986 or the Company Directors Disqualification Act 1986.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10.3 Any reasonable delay by the Company in exercising any right of termination shall not constitute a waiver of it.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380"/>
          </w:cols>
          <w:pgMar w:left="240" w:top="274" w:right="279" w:bottom="1440" w:gutter="0" w:footer="0" w:header="0"/>
        </w:sectPr>
      </w:pPr>
    </w:p>
    <w:bookmarkStart w:id="109" w:name="page110"/>
    <w:bookmarkEnd w:id="109"/>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10.4 If your Employment is terminated by the Company otherwise than pursuant to Clause 10.2 above following the Effective Date and prior to the end of the Initial Fixed Period, you will receive compensation equal to the basic salary and the cost of providing the other benefits which you would have been entitled to receive under this Agreement (including any bonuses provided for in Clause 4) for the unexpired portion of the Initial Fixed Period and the notice period referred to at Clause 2.3 if notice had been given (or, if notice has already been given, during the remainder of the notice period), without deduction for accelerated receipt or any mitigation of your loss. These payments/arrangements are, and are conditional upon their being accepted, in full and final settlement of all claims arising under or in connection with your contract of employment or its termination in the Initial Fixed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10.5 On termination of the Employment for whatever reason (and whether in breach of contract or otherwise) you will:</w:t>
      </w:r>
    </w:p>
    <w:p>
      <w:pPr>
        <w:spacing w:after="0" w:line="90" w:lineRule="exact"/>
        <w:rPr>
          <w:sz w:val="20"/>
          <w:szCs w:val="20"/>
          <w:color w:val="auto"/>
        </w:rPr>
      </w:pPr>
    </w:p>
    <w:p>
      <w:pPr>
        <w:ind w:left="460" w:right="340" w:hanging="452"/>
        <w:spacing w:after="0" w:line="332"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immediately deliver to the Company all books, documents, papers, computer records, computer data, credit cards and any other property relating to the business of or belonging to the Company or any other entity in the Group which is in your possession or under your control.</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immediately resign from any office you hold with the Company or any other entity in the Group without any compensation for loss of office.</w:t>
      </w:r>
    </w:p>
    <w:p>
      <w:pPr>
        <w:spacing w:after="0" w:line="310"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USPENSION</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the event that either party gives notice of termination of employment to the other, the Company may suspend you from your duties for a period not exceeding 3 months subject to your continuing to receive your salary and other benefits in accordance with this Agreement.</w:t>
      </w:r>
    </w:p>
    <w:p>
      <w:pPr>
        <w:spacing w:after="0" w:line="248"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Confidentiality</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Executive will not at any time (whether during or after the Executive’s employment with the Company or its Affiliates), other than in the ordinary course of performing services for the Company</w:t>
      </w:r>
    </w:p>
    <w:p>
      <w:pPr>
        <w:spacing w:after="0" w:line="51" w:lineRule="exact"/>
        <w:rPr>
          <w:sz w:val="20"/>
          <w:szCs w:val="20"/>
          <w:color w:val="auto"/>
        </w:rPr>
      </w:pPr>
    </w:p>
    <w:p>
      <w:pPr>
        <w:ind w:left="460" w:right="34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retain or use for the benefit, purposes or account of the Executive or any other person, firm, partnership, joint venture, association, corporation or other business organization, entity or enterprise whatsoever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or</w:t>
      </w:r>
    </w:p>
    <w:p>
      <w:pPr>
        <w:spacing w:after="0" w:line="50"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disclose, divulge, reveal, communicate, share, transfer or provide access to any Person outside the Company or its Affiliates (other than its professional advisers who are bound by confidentiality obligations),</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non-public, proprietary or confidential information obtained by the Executive in connection with the commencement of the Executive’s employment with the Company or at any time thereafter during the course of the Executive’s employment with the Company — including without limitation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approvals — concerning the past, current or future business, activities and operations of the Company, its subsidiaries or Affiliates and/or any third party that has disclosed or provided any of the same to the Company or its Affiliates on a confidential basis (provided that with respect to such third party the Executive knows or reasonably should have known that the third party provided it to the Company or its Affiliates on a confidential basis)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without the prior written authorization of the board of directors of the Company; provided, however, that in any event the Executive shall be permitted to disclose any Confidential Information reasonably necessary</w:t>
      </w:r>
    </w:p>
    <w:p>
      <w:pPr>
        <w:spacing w:after="0" w:line="39"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perform the Executive’s duties while employed with the Company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connection with any litigation or arbitration involving this or any other agreement entered into between the Executive and the Company before, on or after the date of this Agreement in connection with any action or proceeding in respect thereof.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00"/>
          </w:cols>
          <w:pgMar w:left="240" w:top="280" w:right="2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12.2 Confidential Information shall not include any information that is:</w:t>
      </w:r>
    </w:p>
    <w:p>
      <w:pPr>
        <w:spacing w:after="0" w:line="90" w:lineRule="exact"/>
        <w:rPr>
          <w:sz w:val="20"/>
          <w:szCs w:val="20"/>
          <w:color w:val="auto"/>
        </w:rPr>
      </w:pPr>
    </w:p>
    <w:p>
      <w:pPr>
        <w:ind w:left="460" w:right="640" w:hanging="452"/>
        <w:spacing w:after="0" w:line="332"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generally known to the industry or the public other than as a result of the Executive’s breach of this covenant or any breach of other confidentiality obligations by third parties to the extent the Executive knows or reasonably should have known of such breach by such third parties;</w:t>
      </w:r>
    </w:p>
    <w:p>
      <w:pPr>
        <w:spacing w:after="0" w:line="4" w:lineRule="exact"/>
        <w:rPr>
          <w:rFonts w:ascii="Arial" w:cs="Arial" w:eastAsia="Arial" w:hAnsi="Arial"/>
          <w:sz w:val="16"/>
          <w:szCs w:val="16"/>
          <w:color w:val="auto"/>
        </w:rPr>
      </w:pPr>
    </w:p>
    <w:p>
      <w:pPr>
        <w:ind w:left="460" w:right="52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made legitimately available to the Executive by a third party (unless the Executive knows or reasonably should have known that such third party has breached any confidentiality obligation); or</w:t>
      </w:r>
    </w:p>
    <w:p>
      <w:pPr>
        <w:spacing w:after="0" w:line="5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required by law or by any court, arbitrator, mediator or administrative or legislative body (including any committee thereof) with actual or apparent jurisdiction to order the Executive to disclose or make accessible any information; provided that, with respect to Clause (c) the Executive, except as otherwise prohibited by law or regulation, shall give prompt written notice to the Company of such requirement, disclose no more information than is so required, and shall reasonably cooperate with any attempts by the Company, at its sole cost, to obtain a protective order or similar treatment prior to making such disclosure.</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12.3 Except as required by law or otherwise set forth in Clause 12.2(c) above, or unless or until publicly disclosed by the Company, the Executive will not disclose to anyone, other than the Executive’s immediate family and legal, tax or financial advisors, the existence or contents of this Agreement; provided that the Executive may disclose the provisions of this Agreement (i) to any prospective future employer provided they agree to maintain the confidentiality of such terms or (ii) in connection with any litigation or arbitration involving this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12.4 Upon termination of the Executive’s employment with the Company and its Affiliates for any reason, the Executive shall:</w:t>
      </w:r>
    </w:p>
    <w:p>
      <w:pPr>
        <w:spacing w:after="0" w:line="90" w:lineRule="exact"/>
        <w:rPr>
          <w:sz w:val="20"/>
          <w:szCs w:val="20"/>
          <w:color w:val="auto"/>
        </w:rPr>
      </w:pPr>
    </w:p>
    <w:p>
      <w:pPr>
        <w:jc w:val="both"/>
        <w:ind w:left="460" w:right="580" w:hanging="452"/>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cease and not thereafter commence use of any Confidential Information or intellectual property (including without limitation, any patent, invention, copyright, trade secret, trademark, trade name, logo, domain name or other source indicator) if such property is owned or used by the Company, its subsidiaries or Affiliates;</w:t>
      </w:r>
    </w:p>
    <w:p>
      <w:pPr>
        <w:spacing w:after="0" w:line="59"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immediately destroy, delete, or return to the Company, at the Company’s option, all originals and copies in any form or medium (including memoranda, books, papers, plans, computer files, letters and other data) in the Executive’s possession or control (including any of the foregoing stored or located in the Executive’s office, home, laptop or other computer, whether or not Company property) that contain Confidential Information or otherwise relate to the business of the Company and its Affiliates, except that the Executive may retain only those portions of any personal notes, notebooks and diaries that do not contain Confidential Information; and</w:t>
      </w:r>
    </w:p>
    <w:p>
      <w:pPr>
        <w:spacing w:after="0" w:line="61" w:lineRule="exact"/>
        <w:rPr>
          <w:rFonts w:ascii="Arial" w:cs="Arial" w:eastAsia="Arial" w:hAnsi="Arial"/>
          <w:sz w:val="18"/>
          <w:szCs w:val="18"/>
          <w:color w:val="auto"/>
        </w:rPr>
      </w:pPr>
    </w:p>
    <w:p>
      <w:pPr>
        <w:ind w:left="460" w:right="460" w:hanging="452"/>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notify and fully cooperate with the Company regarding the delivery or destruction of any other Confidential Information of which the Executive is or becomes aware to the extent such information is in the Executive’s possession or control. Notwithstanding anything elsewhere to the contrary, the Executive shall be entitled to retain (and not destroy)</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information showing the Executive’s compensation or relating to reimbursement of expenses that the Executive reasonably believes is necessary for tax purposes and</w:t>
      </w:r>
    </w:p>
    <w:p>
      <w:pPr>
        <w:spacing w:after="0" w:line="50" w:lineRule="exact"/>
        <w:rPr>
          <w:rFonts w:ascii="Arial" w:cs="Arial" w:eastAsia="Arial" w:hAnsi="Arial"/>
          <w:sz w:val="18"/>
          <w:szCs w:val="18"/>
          <w:color w:val="auto"/>
        </w:rPr>
      </w:pPr>
    </w:p>
    <w:p>
      <w:pPr>
        <w:ind w:left="900" w:right="60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copies of plans, programs, policies and arrangements of, or other agreements with, the Company addressing the Executive’s compensation or employment or termination thereof.</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color w:val="auto"/>
        </w:rPr>
        <w:t>Non-Competition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term of the Executive’s employment and during the Restricted Period, the Executive will not, directly or indirectly:</w:t>
      </w:r>
    </w:p>
    <w:p>
      <w:pPr>
        <w:spacing w:after="0" w:line="90" w:lineRule="exact"/>
        <w:rPr>
          <w:sz w:val="20"/>
          <w:szCs w:val="20"/>
          <w:color w:val="auto"/>
        </w:rPr>
      </w:pPr>
    </w:p>
    <w:p>
      <w:pPr>
        <w:ind w:left="460" w:right="200" w:hanging="452"/>
        <w:spacing w:after="0" w:line="294"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engage in any business that competes, as of the Relevant Date (as defined below), with the business of the Company or any Affiliates (other than any business engaged in solely by any portfolio company of the Company), including, without limitation, any businesses that the Company or its Affiliates is actively considering conducting at the time of the Executive’s termination of employment, so long as the Executive knows or reasonably should have known about such plan(s) in any geographical area that is within 100 miles of any geographical area where the Company or its Affiliates provides its products or services as of the Relevant Date (a </w:t>
      </w:r>
      <w:r>
        <w:rPr>
          <w:rFonts w:ascii="Arial" w:cs="Arial" w:eastAsia="Arial" w:hAnsi="Arial"/>
          <w:sz w:val="16"/>
          <w:szCs w:val="16"/>
          <w:b w:val="1"/>
          <w:bCs w:val="1"/>
          <w:i w:val="1"/>
          <w:iCs w:val="1"/>
          <w:color w:val="auto"/>
        </w:rPr>
        <w:t>Competitive Business</w:t>
      </w:r>
      <w:r>
        <w:rPr>
          <w:rFonts w:ascii="Arial" w:cs="Arial" w:eastAsia="Arial" w:hAnsi="Arial"/>
          <w:sz w:val="16"/>
          <w:szCs w:val="16"/>
          <w:color w:val="auto"/>
        </w:rPr>
        <w: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280" w:right="259" w:bottom="1440" w:gutter="0" w:footer="0" w:header="0"/>
        </w:sectPr>
      </w:pPr>
    </w:p>
    <w:bookmarkStart w:id="111" w:name="page112"/>
    <w:bookmarkEnd w:id="111"/>
    <w:p>
      <w:pPr>
        <w:ind w:left="460" w:right="86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enter the employ of, or render any services to, any Person (or any division or controlled or controlling affiliate of any Person) who or which is a Competitive Business as of the date the Executive enters such employment or renders such services; or</w:t>
      </w:r>
    </w:p>
    <w:p>
      <w:pPr>
        <w:spacing w:after="0" w:line="50" w:lineRule="exact"/>
        <w:rPr>
          <w:rFonts w:ascii="Arial" w:cs="Arial" w:eastAsia="Arial" w:hAnsi="Arial"/>
          <w:sz w:val="18"/>
          <w:szCs w:val="18"/>
          <w:color w:val="auto"/>
        </w:rPr>
      </w:pPr>
    </w:p>
    <w:p>
      <w:pPr>
        <w:ind w:left="460" w:right="20" w:hanging="452"/>
        <w:spacing w:after="0" w:line="294"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subject to the terms of the Company’s employee investments policy applicable to the Executive during the Restricted Period (which, while employed by the Company shall mean such policy as in effect from time to time and made available to the Executive and, on and after such employment, such policy as in effect on the date immediately prior to the date of termination of the Executive’s employment with the Company), acquire a financial interest in, or otherwise become actively involved with, any Competitive Business which is a Competitive Business as of the date of such acquisition or involvement, directly or indirectly, as an individual, partner, shareholder, officer, director, principal, agent, trustee or consultant.</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12.6 Notwithstanding the provisions of Clause 12.5 above, nothing contained in this Clause 12.6 shall prohibit the Executive from (i) investing, as a passive investor, in any publicly held company provided that the Executive’s beneficial ownership of any class of such publicly held company’s securities does not exceed three percent (3%) of the outstanding securities of such class, (ii) entering the employ of any academic institution or governmental or regulatory instrumentality of any country or any domestic or foreign state, county, city or political subdivision, or (iii) providing services to a subsidiary or affiliate of an entity that controls a separate subsidiary or affiliate that is a Competitive Business, so long as the subsidiary or affiliate for which the Executive may be providing services is not itself a Competitive Business and the Executive is not, as an employee of such subsidiary or affiliate, engaging in activities that would otherwise cause such subsidiary or affiliate to be deemed a Competitive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Non-Solicitation of Clients</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During the Restricted Period, the Executive will not, whether on the Executive’s own behalf or on behalf of or in conjunction with any Person, directly or indirectly solicit or assist in soliciting the business of, any investment from, any opportunity to make an investment in, or any opportunity to act as a financial or restructuring advisor in connection with any transaction involving, any client, prospective client, investor, portfolio company, venture capital investee, or prospective portfolio company, or member of management of any portfolio company or venture capital investee or prospective portfolio company of the Company or any of its Affiliates, in all such cases determined as of the Relevant Date (collectively, the </w:t>
      </w:r>
      <w:r>
        <w:rPr>
          <w:rFonts w:ascii="Arial" w:cs="Arial" w:eastAsia="Arial" w:hAnsi="Arial"/>
          <w:sz w:val="16"/>
          <w:szCs w:val="16"/>
          <w:b w:val="1"/>
          <w:bCs w:val="1"/>
          <w:i w:val="1"/>
          <w:iCs w:val="1"/>
          <w:color w:val="auto"/>
        </w:rPr>
        <w:t>Clients</w:t>
      </w:r>
      <w:r>
        <w:rPr>
          <w:rFonts w:ascii="Arial" w:cs="Arial" w:eastAsia="Arial" w:hAnsi="Arial"/>
          <w:sz w:val="16"/>
          <w:szCs w:val="16"/>
          <w:color w:val="auto"/>
        </w:rPr>
        <w:t>):</w:t>
      </w:r>
    </w:p>
    <w:p>
      <w:pPr>
        <w:spacing w:after="0" w:line="35" w:lineRule="exact"/>
        <w:rPr>
          <w:sz w:val="20"/>
          <w:szCs w:val="20"/>
          <w:color w:val="auto"/>
        </w:rPr>
      </w:pPr>
    </w:p>
    <w:p>
      <w:pPr>
        <w:ind w:left="460" w:right="4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whom the Executive had personal contact or dealings on behalf of the Company or its Affiliates during the two-year period immediately preceding the Executive’s termination of employment;</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whom the employees reporting to the Executive have had personal contact or dealings on behalf of the Company or its Affiliates during the two-year period immediately preceding the Executive’s termination of employment;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whom the Executive had direct or indirect responsibility during the two-year period immediately preceding the Executive’s termination of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b w:val="1"/>
          <w:bCs w:val="1"/>
          <w:color w:val="auto"/>
        </w:rPr>
        <w:t>Non-Interference with Business Relationships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Restricted Period, the Executive will not interfere with, or attempt to interfere with, business relationships (whether formed before, on or after the date of this Agreement) between the Company or any of its Affiliates, on the one hand, and any Client, customers, suppliers, partners, of the Company or any of its Affiliates, on the other hand, in any such case determined as of the Relevant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color w:val="auto"/>
        </w:rPr>
        <w:t>Non-solicitation of employees / non-solicitation of consultants</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During the Employment and during the twelve months immediately following the date of any termination of the Employment with the Company, the Executive will not, whether on the Executive’s own behalf or on behalf of or in conjunction with any Person, directly or indirectly (other than in the ordinary course of the Executive’s employment with the Company on the Company’s behalf):</w:t>
      </w:r>
    </w:p>
    <w:p>
      <w:pPr>
        <w:spacing w:after="0" w:line="59"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solicit or encourage any employee of the Company or its Affiliates to leave the employment of the Company or its Affiliates; or</w:t>
      </w:r>
    </w:p>
    <w:p>
      <w:pPr>
        <w:spacing w:after="0" w:line="9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hire any such employee who was employed by the Company or its Affiliates as of the date of the Executive’s termination of employment with the Company or its Affiliates or who left the employment of the Company or its Affiliates coincident with, or within one year prior to or after, the termination of the Executive’s employment with the Company and its Affiliates;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112" w:name="page113"/>
    <w:bookmarkEnd w:id="112"/>
    <w:p>
      <w:pPr>
        <w:ind w:left="460" w:right="6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solicit or encourage to cease to work with the Company or its Affiliates any consultant that the Executive knows, or reasonably should have known, is then under contract with the Company or its Affiliates.</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It is expressly understood and agreed that although the Executive and the Company consider the restrictions contained in this Clause 12 to be reasonable, if a final judicial determination is made by a court of competent jurisdiction that the time or territory or any other restriction contained in this Agreement is an unenforceable restriction against the Executive, the provisions of this Agreement shall not be rendered void but shall be deemed amended to apply as to such maximum time and territory and to such maximum extent as such court may judicially determine or indicate to be enforceable (provided that in no event shall any such amendment broaden the time period or scope of any restriction herein).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b w:val="1"/>
          <w:bCs w:val="1"/>
          <w:color w:val="auto"/>
        </w:rPr>
        <w:t>Inventions</w:t>
      </w:r>
    </w:p>
    <w:p>
      <w:pPr>
        <w:spacing w:after="0" w:line="96" w:lineRule="exact"/>
        <w:rPr>
          <w:sz w:val="20"/>
          <w:szCs w:val="20"/>
          <w:color w:val="auto"/>
        </w:rPr>
      </w:pPr>
    </w:p>
    <w:p>
      <w:pPr>
        <w:ind w:left="460" w:hanging="452"/>
        <w:spacing w:after="0" w:line="290"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Executive has created, invented, designed, developed, contributed to or improved any inventions, intellectual property, discoveries, copyrightable subject matters or other similar work of intellectual property (including without limitation, research, reports, software, databases, systems or applications, presentations, textual works, content, or audiovisual materials) (</w:t>
      </w:r>
      <w:r>
        <w:rPr>
          <w:rFonts w:ascii="Arial" w:cs="Arial" w:eastAsia="Arial" w:hAnsi="Arial"/>
          <w:sz w:val="16"/>
          <w:szCs w:val="16"/>
          <w:b w:val="1"/>
          <w:bCs w:val="1"/>
          <w:i w:val="1"/>
          <w:iCs w:val="1"/>
          <w:color w:val="auto"/>
        </w:rPr>
        <w:t>Works</w:t>
      </w:r>
      <w:r>
        <w:rPr>
          <w:rFonts w:ascii="Arial" w:cs="Arial" w:eastAsia="Arial" w:hAnsi="Arial"/>
          <w:sz w:val="16"/>
          <w:szCs w:val="16"/>
          <w:color w:val="auto"/>
        </w:rPr>
        <w:t>), either alone or with third parties, prior to the Executive’s employment by the Company, that are relevant to or implicated by such employment (</w:t>
      </w:r>
      <w:r>
        <w:rPr>
          <w:rFonts w:ascii="Arial" w:cs="Arial" w:eastAsia="Arial" w:hAnsi="Arial"/>
          <w:sz w:val="16"/>
          <w:szCs w:val="16"/>
          <w:b w:val="1"/>
          <w:bCs w:val="1"/>
          <w:i w:val="1"/>
          <w:iCs w:val="1"/>
          <w:color w:val="auto"/>
        </w:rPr>
        <w:t>Prior Works</w:t>
      </w:r>
      <w:r>
        <w:rPr>
          <w:rFonts w:ascii="Arial" w:cs="Arial" w:eastAsia="Arial" w:hAnsi="Arial"/>
          <w:sz w:val="16"/>
          <w:szCs w:val="16"/>
          <w:color w:val="auto"/>
        </w:rPr>
        <w:t>), to the extent the Executive has retained or does retain any right in such Prior Work, the Executive hereby grants the Company a perpetual, non-exclusive, royalty-free, worldwide, assignable, sublicensable license under all rights and intellectual property rights (including rights under patent, industrial property, copyright, trademark, trade secret, unfair competition and related laws) therein to the extent of the Executive’s rights in such Prior Work for all purposes in connection with the Company’s current and future business.</w:t>
      </w:r>
    </w:p>
    <w:p>
      <w:pPr>
        <w:spacing w:after="0" w:line="37" w:lineRule="exact"/>
        <w:rPr>
          <w:rFonts w:ascii="Arial" w:cs="Arial" w:eastAsia="Arial" w:hAnsi="Arial"/>
          <w:sz w:val="16"/>
          <w:szCs w:val="16"/>
          <w:color w:val="auto"/>
        </w:rPr>
      </w:pPr>
    </w:p>
    <w:p>
      <w:pPr>
        <w:ind w:left="460" w:right="40" w:hanging="452"/>
        <w:spacing w:after="0" w:line="291"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Executive creates, invents, designs, develops, contributes to or improves any Works, either alone or with third parties, at any time during the Executive’s employment by the Company or its Affiliates and within the scope of such employment and/or with the use of any the Company resources (</w:t>
      </w:r>
      <w:r>
        <w:rPr>
          <w:rFonts w:ascii="Arial" w:cs="Arial" w:eastAsia="Arial" w:hAnsi="Arial"/>
          <w:sz w:val="16"/>
          <w:szCs w:val="16"/>
          <w:b w:val="1"/>
          <w:bCs w:val="1"/>
          <w:i w:val="1"/>
          <w:iCs w:val="1"/>
          <w:color w:val="auto"/>
        </w:rPr>
        <w:t>Company Works</w:t>
      </w:r>
      <w:r>
        <w:rPr>
          <w:rFonts w:ascii="Arial" w:cs="Arial" w:eastAsia="Arial" w:hAnsi="Arial"/>
          <w:sz w:val="16"/>
          <w:szCs w:val="16"/>
          <w:color w:val="auto"/>
        </w:rPr>
        <w:t>), the Executive shall promptly and fully disclose the same to the Company and hereby irrevocably assigns, transfers and conveys, to the maximum extent permitted by applicable law, and at the Company’s sole expense, all rights and intellectual property rights therein (including rights under patent, industrial property, copyright, trademark, trade secret, unfair competition and related laws) to the Company to the extent that ownership of any such rights does not vest originally in the Company or its Affiliates.</w:t>
      </w:r>
    </w:p>
    <w:p>
      <w:pPr>
        <w:spacing w:after="0" w:line="39" w:lineRule="exact"/>
        <w:rPr>
          <w:rFonts w:ascii="Arial" w:cs="Arial" w:eastAsia="Arial" w:hAnsi="Arial"/>
          <w:sz w:val="16"/>
          <w:szCs w:val="16"/>
          <w:color w:val="auto"/>
        </w:rPr>
      </w:pPr>
    </w:p>
    <w:p>
      <w:pPr>
        <w:ind w:left="460" w:right="80" w:hanging="452"/>
        <w:spacing w:after="0" w:line="259"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Executive agrees to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w:t>
      </w:r>
    </w:p>
    <w:p>
      <w:pPr>
        <w:spacing w:after="0" w:line="59" w:lineRule="exact"/>
        <w:rPr>
          <w:rFonts w:ascii="Arial" w:cs="Arial" w:eastAsia="Arial" w:hAnsi="Arial"/>
          <w:sz w:val="18"/>
          <w:szCs w:val="18"/>
          <w:color w:val="auto"/>
        </w:rPr>
      </w:pPr>
    </w:p>
    <w:p>
      <w:pPr>
        <w:ind w:left="460" w:right="60" w:hanging="452"/>
        <w:spacing w:after="0" w:line="291"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Executive shall take all requested actions and execute all requested documents (including any licenses or assignments required by a government contract) at the Company’s expense (but without further remuneration) to assist the Company in validating, maintaining, protecting, enforcing, perfecting, recording, patenting or registering any of the Company’s rights in the Prior Works and Company Works as set forth in this Clause 12.10. If the Company is unable for any other reason to secure the Executive’s signature on any document for this purpose, then the Executive hereby irrevocably designates and appoints the Company and its duly authorized officers and agents as the Executive’s agent and attorney in fact, to act for and in the Executive’s behalf and stead to execute any documents and to do all other lawfully permitted acts in connection with the foregoing.</w:t>
      </w:r>
    </w:p>
    <w:p>
      <w:pPr>
        <w:spacing w:after="0" w:line="39" w:lineRule="exact"/>
        <w:rPr>
          <w:rFonts w:ascii="Arial" w:cs="Arial" w:eastAsia="Arial" w:hAnsi="Arial"/>
          <w:sz w:val="16"/>
          <w:szCs w:val="16"/>
          <w:color w:val="auto"/>
        </w:rPr>
      </w:pPr>
    </w:p>
    <w:p>
      <w:pPr>
        <w:ind w:left="460" w:right="60" w:hanging="452"/>
        <w:spacing w:after="0" w:line="289"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Except as may otherwise be required under Clause 12.10(a) above, the Executive shall not improperly use for the benefit of, bring to any premises of, divulge, disclose, communicate, reveal, transfer or provide access to, or share with the Company any confidential, proprietary or non-public information or intellectual property relating to a former employer or other third party which the Executive knows or reasonably should have known is confidential, proprietary or non-public information or intellectual property of such third party without the prior written permission of such third party. The Executive hereby indemnifies, holds harmless and agrees to defend the Company and its officers, directors, partners, employees, agents and representatives from any breach of the foregoing covenant. The Executive shall comply with all relevant policies and guidelines of the Company, including regarding the protection of confidential information and intellectual property and potential conflicts of interest. The Executive acknowledges that the Company may amend any such policies and guidelines from time to time, and that the Executive remains at all times bound by their most current version.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280" w:right="259" w:bottom="1440" w:gutter="0" w:footer="0" w:header="0"/>
        </w:sectPr>
      </w:pPr>
    </w:p>
    <w:bookmarkStart w:id="113" w:name="page114"/>
    <w:bookmarkEnd w:id="113"/>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of Clause 12.10 shall survive the termination of the Executive’s employment for any reason.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b w:val="1"/>
          <w:bCs w:val="1"/>
          <w:color w:val="auto"/>
        </w:rPr>
        <w:t>Specific Performance</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Executive acknowledges and agrees that in the course of the Executive’s employment with the Company and its Affiliates, the Executive will be provided with access to confidential information, and will be provided with the opportunity to develop relationships with clients, prospective clients, the Executives and other agents of the Company and its Affiliates, and the Executive further acknowledges that such confidential information and relationships are extremely valuable assets of the Company and its Affiliates in which the Company and its Affiliates have invested and will continue to invest substantial time, effort and expense. Accordingly, the Executive acknowledges and agrees that the Company’s remedies at law for a breach or threatened breach of any of the provisions of Clause 12 would be inadequate and, in recognition of this fact, the Executive agrees that, in the event of such a breach or threatened breach, in addition to any remedies at law, the Company shall be entitled to cease making any payments or providing any benefit otherwise required by the Company and seek equitable relief in the form of specific performance, temporary restraining order, temporary or permanent injunction or any other equitable remedy which may then be available; provided, however, that if it is subsequently determined in a final and binding arbitration or litigation that the Executive did not breach any such provision, the Company will, or will cause its applicable Affiliate to, promptly pay any payments or provide any benefits, which the Company may have ceased to pay when originally due and payable, plus an additional amount equal to interest (calculated based on the Barclays Bank base rate plus 2% for the month in which such final determination is made) accrued on the applicable payment or the amount of the benefit, as applicable, beginning from the date such payment or benefit was originally due and payable through the day preceding the date on which such payment or benefit is ultimately paid hereunder.</w:t>
      </w:r>
    </w:p>
    <w:p>
      <w:pPr>
        <w:spacing w:after="0" w:line="236"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ATA</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ROTECTION</w:t>
      </w:r>
    </w:p>
    <w:p>
      <w:pPr>
        <w:spacing w:after="0" w:line="1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You consent to the Company or any Affiliate holding and processing both electronically and manually the data it collects which relates to you for the purposes of the administration and management of its employees and its business and for compliance with applicable procedures, laws, and regulations. You also consent to the transfer of such personal information to other offices the Company may have or to an Affiliate or to other third parties whether or not outside the European Economic Area for administration purposes and other purposes in connection with your employment to the extent it is necessary or desirable for the Company to do so.</w:t>
      </w:r>
    </w:p>
    <w:p>
      <w:pPr>
        <w:spacing w:after="0" w:line="258"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OMMUNICATIONS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Use of the Company’s e-mail system to send or receive personal correspondence may be recorded by the Company on its communications systems where this is in the Company’s legitimate business interests, for example security or disciplinary reasons. Any recordings made shall at all times remain the property of the Company and, if necessary, will be used as evidence in the case of disputes with employees or clients.</w:t>
      </w:r>
    </w:p>
    <w:p>
      <w:pPr>
        <w:spacing w:after="0" w:line="256"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15.1 This Agreement is governed by English law and the parties submit to the exclusive jurisdiction of the English Courts.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15.2 This Agreement may be executed in counterparts, each of which shall constitute an original of 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15.3 For the purpose of the Employment Rights Act 1996, your continuous period of employment will begin on the Effective Date.</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15.4 The Company’s disciplinary rules and procedures, as in force from time to time, shall apply to you. To the extent of any conflict between the Company’s disciplinary rules and procedures and the terms of this Agreement, this Agreement shall prevail.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15.5 There are no collective agreements which directly affect the terms and conditions set out in this Agreement.</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15.6 Upon the termination of your employment (for whatever reason and howsoever arising) you shall immediately repay all outstanding debts or loans due to the Company or any member of the Group and the Company is hereby authorised to deduct from any payment of wages a sum in repayment of all or any part of such debts or loans.</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15.7 You shall render all lawful and reasonable assistance to the Company or any member of the Group as reasonably required by it in resisting, answering or defending any claim, demand or action brought against it both during and after your employment.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80" w:right="239" w:bottom="1440" w:gutter="0" w:footer="0" w:header="0"/>
        </w:sectPr>
      </w:pPr>
    </w:p>
    <w:bookmarkStart w:id="114" w:name="page115"/>
    <w:bookmarkEnd w:id="11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such assistance is rendered after employment, the Company shall pay you a reasonable daily rate and out-of-pocket expenses associated with such assistance.</w:t>
      </w:r>
    </w:p>
    <w:p>
      <w:pPr>
        <w:sectPr>
          <w:pgSz w:w="11900" w:h="16838" w:orient="portrait"/>
          <w:cols w:equalWidth="0" w:num="1">
            <w:col w:w="11220"/>
          </w:cols>
          <w:pgMar w:left="240" w:top="280" w:right="439" w:bottom="1440" w:gutter="0" w:footer="0" w:header="0"/>
        </w:sectPr>
      </w:pPr>
    </w:p>
    <w:p>
      <w:pPr>
        <w:spacing w:after="0" w:line="240" w:lineRule="exact"/>
        <w:rPr>
          <w:sz w:val="20"/>
          <w:szCs w:val="20"/>
          <w:color w:val="auto"/>
        </w:rPr>
      </w:pPr>
    </w:p>
    <w:p>
      <w:pPr>
        <w:ind w:right="1420"/>
        <w:spacing w:after="0" w:line="310" w:lineRule="auto"/>
        <w:rPr>
          <w:sz w:val="20"/>
          <w:szCs w:val="20"/>
          <w:color w:val="auto"/>
        </w:rPr>
      </w:pPr>
      <w:r>
        <w:rPr>
          <w:rFonts w:ascii="Arial" w:cs="Arial" w:eastAsia="Arial" w:hAnsi="Arial"/>
          <w:sz w:val="16"/>
          <w:szCs w:val="16"/>
          <w:b w:val="1"/>
          <w:bCs w:val="1"/>
          <w:color w:val="auto"/>
        </w:rPr>
        <w:t xml:space="preserve">SIGNED </w:t>
      </w:r>
      <w:r>
        <w:rPr>
          <w:rFonts w:ascii="Arial" w:cs="Arial" w:eastAsia="Arial" w:hAnsi="Arial"/>
          <w:sz w:val="16"/>
          <w:szCs w:val="16"/>
          <w:color w:val="auto"/>
        </w:rPr>
        <w:t>as a</w:t>
      </w:r>
      <w:r>
        <w:rPr>
          <w:rFonts w:ascii="Arial" w:cs="Arial" w:eastAsia="Arial" w:hAnsi="Arial"/>
          <w:sz w:val="16"/>
          <w:szCs w:val="16"/>
          <w:b w:val="1"/>
          <w:bCs w:val="1"/>
          <w:color w:val="auto"/>
        </w:rPr>
        <w:t xml:space="preserve"> DEED </w:t>
      </w:r>
      <w:r>
        <w:rPr>
          <w:rFonts w:ascii="Arial" w:cs="Arial" w:eastAsia="Arial" w:hAnsi="Arial"/>
          <w:sz w:val="16"/>
          <w:szCs w:val="16"/>
          <w:color w:val="auto"/>
        </w:rPr>
        <w:t>and</w:t>
      </w:r>
      <w:r>
        <w:rPr>
          <w:rFonts w:ascii="Arial" w:cs="Arial" w:eastAsia="Arial" w:hAnsi="Arial"/>
          <w:sz w:val="16"/>
          <w:szCs w:val="16"/>
          <w:b w:val="1"/>
          <w:bCs w:val="1"/>
          <w:color w:val="auto"/>
        </w:rPr>
        <w:t xml:space="preserve"> DELIVERED </w:t>
      </w:r>
      <w:r>
        <w:rPr>
          <w:rFonts w:ascii="Arial" w:cs="Arial" w:eastAsia="Arial" w:hAnsi="Arial"/>
          <w:sz w:val="16"/>
          <w:szCs w:val="16"/>
          <w:color w:val="auto"/>
        </w:rPr>
        <w:t>by the</w:t>
      </w:r>
      <w:r>
        <w:rPr>
          <w:rFonts w:ascii="Arial" w:cs="Arial" w:eastAsia="Arial" w:hAnsi="Arial"/>
          <w:sz w:val="16"/>
          <w:szCs w:val="16"/>
          <w:b w:val="1"/>
          <w:bCs w:val="1"/>
          <w:color w:val="auto"/>
        </w:rPr>
        <w:t xml:space="preserve"> EXECUTIVE </w:t>
      </w:r>
      <w:r>
        <w:rPr>
          <w:rFonts w:ascii="Arial" w:cs="Arial" w:eastAsia="Arial" w:hAnsi="Arial"/>
          <w:sz w:val="16"/>
          <w:szCs w:val="16"/>
          <w:color w:val="auto"/>
        </w:rPr>
        <w:t>in the presence of:</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sectPr>
          <w:pgSz w:w="11900" w:h="16838" w:orient="portrait"/>
          <w:cols w:equalWidth="0" w:num="2">
            <w:col w:w="3800" w:space="720"/>
            <w:col w:w="6700"/>
          </w:cols>
          <w:pgMar w:left="240" w:top="28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SIGNED </w:t>
      </w:r>
      <w:r>
        <w:rPr>
          <w:rFonts w:ascii="Arial" w:cs="Arial" w:eastAsia="Arial" w:hAnsi="Arial"/>
          <w:sz w:val="16"/>
          <w:szCs w:val="16"/>
          <w:color w:val="auto"/>
        </w:rPr>
        <w:t>for and on behalf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sectPr>
          <w:pgSz w:w="11900" w:h="16838" w:orient="portrait"/>
          <w:cols w:equalWidth="0" w:num="2">
            <w:col w:w="3800" w:space="720"/>
            <w:col w:w="6700"/>
          </w:cols>
          <w:pgMar w:left="240" w:top="280" w:right="439" w:bottom="1440" w:gutter="0" w:footer="0" w:header="0"/>
          <w:type w:val="continuous"/>
        </w:sectPr>
      </w:pPr>
    </w:p>
    <w:p>
      <w:pPr>
        <w:jc w:val="center"/>
        <w:ind w:right="-219"/>
        <w:spacing w:after="0"/>
        <w:rPr>
          <w:sz w:val="20"/>
          <w:szCs w:val="20"/>
          <w:color w:val="auto"/>
        </w:rPr>
      </w:pPr>
      <w:r>
        <w:rPr>
          <w:rFonts w:ascii="Arial" w:cs="Arial" w:eastAsia="Arial" w:hAnsi="Arial"/>
          <w:sz w:val="15"/>
          <w:szCs w:val="15"/>
          <w:color w:val="auto"/>
        </w:rPr>
        <w:t>Page 9</w:t>
      </w:r>
    </w:p>
    <w:p>
      <w:pPr>
        <w:sectPr>
          <w:pgSz w:w="11900" w:h="16838" w:orient="portrait"/>
          <w:cols w:equalWidth="0" w:num="1">
            <w:col w:w="11220"/>
          </w:cols>
          <w:pgMar w:left="240" w:top="280" w:right="439" w:bottom="1440" w:gutter="0" w:footer="0" w:header="0"/>
          <w:type w:val="continuous"/>
        </w:sectPr>
      </w:pPr>
    </w:p>
    <w:bookmarkStart w:id="115" w:name="page116"/>
    <w:bookmarkEnd w:id="115"/>
    <w:p>
      <w:pPr>
        <w:ind w:left="419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 OUTSIDE ACTIVITIES</w:t>
      </w:r>
    </w:p>
    <w:p>
      <w:pPr>
        <w:spacing w:after="0" w:line="218" w:lineRule="exact"/>
        <w:rPr>
          <w:sz w:val="20"/>
          <w:szCs w:val="20"/>
          <w:color w:val="auto"/>
        </w:rPr>
      </w:pPr>
    </w:p>
    <w:p>
      <w:pPr>
        <w:ind w:left="452" w:hanging="452"/>
        <w:spacing w:after="0"/>
        <w:tabs>
          <w:tab w:leader="none" w:pos="452" w:val="left"/>
        </w:tabs>
        <w:numPr>
          <w:ilvl w:val="0"/>
          <w:numId w:val="87"/>
        </w:numPr>
        <w:rPr>
          <w:rFonts w:ascii="Arial" w:cs="Arial" w:eastAsia="Arial" w:hAnsi="Arial"/>
          <w:sz w:val="16"/>
          <w:szCs w:val="16"/>
          <w:color w:val="auto"/>
        </w:rPr>
      </w:pPr>
      <w:r>
        <w:rPr>
          <w:rFonts w:ascii="Arial" w:cs="Arial" w:eastAsia="Arial" w:hAnsi="Arial"/>
          <w:sz w:val="16"/>
          <w:szCs w:val="16"/>
          <w:color w:val="auto"/>
        </w:rPr>
        <w:t>Work at Oxford University including membership of the Council and its committees and Isis Innovation Limited;</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director of various private family companies; and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non-executive director of Oxford Instruments Plc and Ti Automotive Ltd.</w:t>
      </w:r>
    </w:p>
    <w:p>
      <w:pPr>
        <w:spacing w:after="0" w:line="158"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0211"/>
          </w:cols>
          <w:pgMar w:left="248" w:top="274" w:right="1440" w:bottom="1440" w:gutter="0" w:footer="0" w:header="0"/>
        </w:sectPr>
      </w:pPr>
    </w:p>
    <w:bookmarkStart w:id="116" w:name="page117"/>
    <w:bookmarkEnd w:id="116"/>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 ROLE IN THE GOVERNANCE OF EVERCORE</w:t>
      </w:r>
    </w:p>
    <w:p>
      <w:pPr>
        <w:spacing w:after="0" w:line="218" w:lineRule="exact"/>
        <w:rPr>
          <w:sz w:val="20"/>
          <w:szCs w:val="20"/>
          <w:color w:val="auto"/>
        </w:rPr>
      </w:pPr>
    </w:p>
    <w:p>
      <w:pPr>
        <w:ind w:left="452" w:hanging="452"/>
        <w:spacing w:after="0" w:line="310" w:lineRule="auto"/>
        <w:tabs>
          <w:tab w:leader="none" w:pos="452"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For all periods after December 31, 2007, the co-chief executive officers and the Executive will agree upon a business plan for Evercore’s European operations which in any event shall be subject to the final approval of the co-chief executive officers of Evercore. An annual bonus pool for the employees involved in Evercore’s European financial advisory operations (the </w:t>
      </w:r>
      <w:r>
        <w:rPr>
          <w:rFonts w:ascii="Arial" w:cs="Arial" w:eastAsia="Arial" w:hAnsi="Arial"/>
          <w:sz w:val="15"/>
          <w:szCs w:val="15"/>
          <w:b w:val="1"/>
          <w:bCs w:val="1"/>
          <w:i w:val="1"/>
          <w:iCs w:val="1"/>
          <w:color w:val="auto"/>
        </w:rPr>
        <w:t>European Advisory Bonus Pool</w:t>
      </w:r>
      <w:r>
        <w:rPr>
          <w:rFonts w:ascii="Arial" w:cs="Arial" w:eastAsia="Arial" w:hAnsi="Arial"/>
          <w:sz w:val="15"/>
          <w:szCs w:val="15"/>
          <w:color w:val="auto"/>
        </w:rPr>
        <w:t>) will be established based on revenues generated by Evercore’s European financial advisory operations less all operating costs and expenses (including any allocations of common overhead costs and expenses and group development costs and expenses). The European Advisory Bonus Pool will not be subject to minimum or maximum amounts but it is intended that a substantial portion of revenues generated by Evercore’s European financial advisory operations will be available for the European Advisory Bonus Pool. Beginning at 1 January 2008, European employees will be entitled to bonuses based on the performance of Evercore’s European financial advisory operations. Prior to that date, European employees may be granted bonuses based on revenues generated by other Evercore operations.</w:t>
      </w:r>
    </w:p>
    <w:p>
      <w:pPr>
        <w:spacing w:after="0" w:line="27" w:lineRule="exact"/>
        <w:rPr>
          <w:rFonts w:ascii="Arial" w:cs="Arial" w:eastAsia="Arial" w:hAnsi="Arial"/>
          <w:sz w:val="15"/>
          <w:szCs w:val="15"/>
          <w:color w:val="auto"/>
        </w:rPr>
      </w:pPr>
    </w:p>
    <w:p>
      <w:pPr>
        <w:ind w:left="452" w:right="80" w:hanging="452"/>
        <w:spacing w:after="0" w:line="332" w:lineRule="auto"/>
        <w:tabs>
          <w:tab w:leader="none" w:pos="4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Evercore’s management committee will include the Executive. The Management Committee will supervise the day to day business and affairs of Evercore and will make recommendations to the co-chief executive officers of Evercore, who initially will be Roger Altman and Austin Beutner.</w:t>
      </w:r>
    </w:p>
    <w:p>
      <w:pPr>
        <w:spacing w:after="0" w:line="4" w:lineRule="exact"/>
        <w:rPr>
          <w:rFonts w:ascii="Arial" w:cs="Arial" w:eastAsia="Arial" w:hAnsi="Arial"/>
          <w:sz w:val="16"/>
          <w:szCs w:val="16"/>
          <w:color w:val="auto"/>
        </w:rPr>
      </w:pPr>
    </w:p>
    <w:p>
      <w:pPr>
        <w:ind w:left="452" w:right="60" w:hanging="452"/>
        <w:spacing w:after="0" w:line="259" w:lineRule="auto"/>
        <w:tabs>
          <w:tab w:leader="none" w:pos="4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Evercore’s European operations will be governed by a management committee (the </w:t>
      </w:r>
      <w:r>
        <w:rPr>
          <w:rFonts w:ascii="Arial" w:cs="Arial" w:eastAsia="Arial" w:hAnsi="Arial"/>
          <w:sz w:val="18"/>
          <w:szCs w:val="18"/>
          <w:b w:val="1"/>
          <w:bCs w:val="1"/>
          <w:i w:val="1"/>
          <w:iCs w:val="1"/>
          <w:color w:val="auto"/>
        </w:rPr>
        <w:t>Evercore Europe Management Committee</w:t>
      </w:r>
      <w:r>
        <w:rPr>
          <w:rFonts w:ascii="Arial" w:cs="Arial" w:eastAsia="Arial" w:hAnsi="Arial"/>
          <w:sz w:val="18"/>
          <w:szCs w:val="18"/>
          <w:color w:val="auto"/>
        </w:rPr>
        <w:t>) which will be chaired by the Executive and will include selected senior executives of both the financial advisory and private equity businesses. Messrs Altman, Beutner, Camus and Oakley will be members of the Evercore Europe Management Committee.</w:t>
      </w:r>
    </w:p>
    <w:p>
      <w:pPr>
        <w:spacing w:after="0" w:line="59" w:lineRule="exact"/>
        <w:rPr>
          <w:rFonts w:ascii="Arial" w:cs="Arial" w:eastAsia="Arial" w:hAnsi="Arial"/>
          <w:sz w:val="18"/>
          <w:szCs w:val="18"/>
          <w:color w:val="auto"/>
        </w:rPr>
      </w:pPr>
    </w:p>
    <w:p>
      <w:pPr>
        <w:ind w:left="452" w:hanging="452"/>
        <w:spacing w:after="0" w:line="298" w:lineRule="auto"/>
        <w:tabs>
          <w:tab w:leader="none" w:pos="4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As well as being the chief executive officer of Evercore’s European operations, the Executive will also, from the Effective Date, become Vice Chairman of Evercore LP and a Senior Managing Director of Evercore LP and will report to the co-chief executive officers of Evercore. The Executive may be removed from the position of Vice-Chairman of Evercore LP and as Senior Managing Director of Evercore LP at any time by the co-chief executive officers of Evercore or the board of directors of Evercore Partners Inc. in the same circumstances as permit termination of his employment under this Agreement.</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72"/>
          </w:cols>
          <w:pgMar w:left="248" w:top="274" w:right="27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RESTRICTED STOCK UNIT AWARD AGREEMENT</w:t>
      </w:r>
    </w:p>
    <w:p>
      <w:pPr>
        <w:spacing w:after="0" w:line="171" w:lineRule="exact"/>
        <w:rPr>
          <w:sz w:val="20"/>
          <w:szCs w:val="20"/>
          <w:color w:val="auto"/>
        </w:rPr>
      </w:pPr>
    </w:p>
    <w:p>
      <w:pPr>
        <w:jc w:val="center"/>
        <w:ind w:right="-139"/>
        <w:spacing w:after="0"/>
        <w:tabs>
          <w:tab w:leader="none" w:pos="200" w:val="left"/>
        </w:tabs>
        <w:rPr>
          <w:sz w:val="20"/>
          <w:szCs w:val="20"/>
          <w:color w:val="auto"/>
        </w:rPr>
      </w:pPr>
      <w:r>
        <w:rPr>
          <w:rFonts w:ascii="Arial" w:cs="Arial" w:eastAsia="Arial" w:hAnsi="Arial"/>
          <w:sz w:val="18"/>
          <w:szCs w:val="18"/>
          <w:color w:val="auto"/>
        </w:rPr>
        <w:t xml:space="preserve">THIS AGREEMENT (the </w:t>
      </w:r>
      <w:r>
        <w:rPr>
          <w:rFonts w:ascii="Arial" w:cs="Arial" w:eastAsia="Arial" w:hAnsi="Arial"/>
          <w:sz w:val="18"/>
          <w:szCs w:val="18"/>
          <w:i w:val="1"/>
          <w:iCs w:val="1"/>
          <w:color w:val="auto"/>
        </w:rPr>
        <w:t>“Agreement”</w:t>
      </w:r>
      <w:r>
        <w:rPr>
          <w:rFonts w:ascii="Arial" w:cs="Arial" w:eastAsia="Arial" w:hAnsi="Arial"/>
          <w:sz w:val="18"/>
          <w:szCs w:val="18"/>
          <w:color w:val="auto"/>
        </w:rPr>
        <w:t>) is made, effective as of March</w:t>
      </w:r>
      <w:r>
        <w:rPr>
          <w:sz w:val="20"/>
          <w:szCs w:val="20"/>
          <w:color w:val="auto"/>
        </w:rPr>
        <w:tab/>
      </w:r>
      <w:r>
        <w:rPr>
          <w:rFonts w:ascii="Arial" w:cs="Arial" w:eastAsia="Arial" w:hAnsi="Arial"/>
          <w:sz w:val="16"/>
          <w:szCs w:val="16"/>
          <w:color w:val="auto"/>
        </w:rPr>
        <w:t xml:space="preserve">, 2008 (the </w:t>
      </w:r>
      <w:r>
        <w:rPr>
          <w:rFonts w:ascii="Arial" w:cs="Arial" w:eastAsia="Arial" w:hAnsi="Arial"/>
          <w:sz w:val="16"/>
          <w:szCs w:val="16"/>
          <w:i w:val="1"/>
          <w:iCs w:val="1"/>
          <w:color w:val="auto"/>
        </w:rPr>
        <w:t>“Grant Date”</w:t>
      </w:r>
      <w:r>
        <w:rPr>
          <w:rFonts w:ascii="Arial" w:cs="Arial" w:eastAsia="Arial" w:hAnsi="Arial"/>
          <w:sz w:val="16"/>
          <w:szCs w:val="16"/>
          <w:color w:val="auto"/>
        </w:rPr>
        <w:t>), between Evercore Partners Inc.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-13970</wp:posOffset>
            </wp:positionV>
            <wp:extent cx="1117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tabs>
          <w:tab w:leader="none" w:pos="2180" w:val="left"/>
        </w:tabs>
        <w:rPr>
          <w:sz w:val="20"/>
          <w:szCs w:val="20"/>
          <w:color w:val="auto"/>
        </w:rPr>
      </w:pPr>
      <w:r>
        <w:rPr>
          <w:rFonts w:ascii="Arial" w:cs="Arial" w:eastAsia="Arial" w:hAnsi="Arial"/>
          <w:sz w:val="18"/>
          <w:szCs w:val="18"/>
          <w:i w:val="1"/>
          <w:iCs w:val="1"/>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 xml:space="preserve">(the </w:t>
      </w:r>
      <w:r>
        <w:rPr>
          <w:rFonts w:ascii="Arial" w:cs="Arial" w:eastAsia="Arial" w:hAnsi="Arial"/>
          <w:sz w:val="16"/>
          <w:szCs w:val="16"/>
          <w:i w:val="1"/>
          <w:iCs w:val="1"/>
          <w:color w:val="auto"/>
        </w:rPr>
        <w:t>“Participant”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-17780</wp:posOffset>
            </wp:positionV>
            <wp:extent cx="5575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45"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 xml:space="preserve">WHEREAS, the Company desires to grant the Participant restricted stock units (as provided in Section 1 below), ultimately payable in shares of Common Stock of the Company (the </w:t>
      </w:r>
      <w:r>
        <w:rPr>
          <w:rFonts w:ascii="Arial" w:cs="Arial" w:eastAsia="Arial" w:hAnsi="Arial"/>
          <w:sz w:val="16"/>
          <w:szCs w:val="16"/>
          <w:i w:val="1"/>
          <w:iCs w:val="1"/>
          <w:color w:val="auto"/>
        </w:rPr>
        <w:t>“Award”</w:t>
      </w:r>
      <w:r>
        <w:rPr>
          <w:rFonts w:ascii="Arial" w:cs="Arial" w:eastAsia="Arial" w:hAnsi="Arial"/>
          <w:sz w:val="16"/>
          <w:szCs w:val="16"/>
          <w:color w:val="auto"/>
        </w:rPr>
        <w:t xml:space="preserve">), pursuant to the Company’s 2006 Stock Incentive Plan, as amended (the </w:t>
      </w:r>
      <w:r>
        <w:rPr>
          <w:rFonts w:ascii="Arial" w:cs="Arial" w:eastAsia="Arial" w:hAnsi="Arial"/>
          <w:sz w:val="16"/>
          <w:szCs w:val="16"/>
          <w:i w:val="1"/>
          <w:iCs w:val="1"/>
          <w:color w:val="auto"/>
        </w:rPr>
        <w:t>“Plan”</w:t>
      </w:r>
      <w:r>
        <w:rPr>
          <w:rFonts w:ascii="Arial" w:cs="Arial" w:eastAsia="Arial" w:hAnsi="Arial"/>
          <w:sz w:val="16"/>
          <w:szCs w:val="16"/>
          <w:color w:val="auto"/>
        </w:rPr>
        <w:t>), the terms of which are hereby incorporated by reference and made a part of this Agreement (capitalized terms not otherwise defined herein shall have the same meanings as in the Plan);</w:t>
      </w:r>
    </w:p>
    <w:p>
      <w:pPr>
        <w:spacing w:after="0" w:line="107" w:lineRule="exact"/>
        <w:rPr>
          <w:sz w:val="20"/>
          <w:szCs w:val="20"/>
          <w:color w:val="auto"/>
        </w:rPr>
      </w:pPr>
    </w:p>
    <w:p>
      <w:pPr>
        <w:jc w:val="both"/>
        <w:ind w:right="360" w:firstLine="913"/>
        <w:spacing w:after="0" w:line="259" w:lineRule="auto"/>
        <w:rPr>
          <w:sz w:val="20"/>
          <w:szCs w:val="20"/>
          <w:color w:val="auto"/>
        </w:rPr>
      </w:pPr>
      <w:r>
        <w:rPr>
          <w:rFonts w:ascii="Arial" w:cs="Arial" w:eastAsia="Arial" w:hAnsi="Arial"/>
          <w:sz w:val="18"/>
          <w:szCs w:val="18"/>
          <w:color w:val="auto"/>
        </w:rPr>
        <w:t>WHEREAS, the Board has determined that it would be to the advantage and best interest of the Company to grant the shares of Common Stock provided for herein to the Participant as an incentive for increased efforts during his term of office with the Company or its Subsidiaries or Affiliates, and has advised the Company thereof and instructed the undersigned officers to grant said Award;</w:t>
      </w:r>
    </w:p>
    <w:p>
      <w:pPr>
        <w:spacing w:after="0" w:line="140"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NOW, THEREFORE, in consideration of the mutual covenants herein contained and other good and valuable consideration, receipt of which is hereby acknowledged, the parties hereto do hereby agree as follows:</w:t>
      </w:r>
    </w:p>
    <w:p>
      <w:pPr>
        <w:spacing w:after="0" w:line="51" w:lineRule="exact"/>
        <w:rPr>
          <w:sz w:val="20"/>
          <w:szCs w:val="20"/>
          <w:color w:val="auto"/>
        </w:rPr>
      </w:pPr>
    </w:p>
    <w:p>
      <w:pPr>
        <w:ind w:left="920"/>
        <w:spacing w:after="0"/>
        <w:tabs>
          <w:tab w:leader="none" w:pos="968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Grant of RSUs</w:t>
      </w:r>
      <w:r>
        <w:rPr>
          <w:rFonts w:ascii="Arial" w:cs="Arial" w:eastAsia="Arial" w:hAnsi="Arial"/>
          <w:sz w:val="18"/>
          <w:szCs w:val="18"/>
          <w:color w:val="auto"/>
        </w:rPr>
        <w:t>. For valuable consideration, receipt of which is hereby acknowledged, the Company hereby grants</w:t>
      </w:r>
      <w:r>
        <w:rPr>
          <w:sz w:val="20"/>
          <w:szCs w:val="20"/>
          <w:color w:val="auto"/>
        </w:rPr>
        <w:tab/>
      </w:r>
      <w:r>
        <w:rPr>
          <w:rFonts w:ascii="Arial" w:cs="Arial" w:eastAsia="Arial" w:hAnsi="Arial"/>
          <w:sz w:val="16"/>
          <w:szCs w:val="16"/>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5801360</wp:posOffset>
            </wp:positionH>
            <wp:positionV relativeFrom="paragraph">
              <wp:posOffset>-13970</wp:posOffset>
            </wp:positionV>
            <wp:extent cx="3346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“RSUs”</w:t>
      </w:r>
      <w:r>
        <w:rPr>
          <w:rFonts w:ascii="Arial" w:cs="Arial" w:eastAsia="Arial" w:hAnsi="Arial"/>
          <w:sz w:val="18"/>
          <w:szCs w:val="18"/>
          <w:color w:val="auto"/>
        </w:rPr>
        <w:t xml:space="preserve">) to the Participant, on the terms and conditions hereinafter set forth. Each RSU represents the unfunded, unsecured right of the Participant to receive one share of the Company’s Common Stock (each, a </w:t>
      </w:r>
      <w:r>
        <w:rPr>
          <w:rFonts w:ascii="Arial" w:cs="Arial" w:eastAsia="Arial" w:hAnsi="Arial"/>
          <w:sz w:val="18"/>
          <w:szCs w:val="18"/>
          <w:i w:val="1"/>
          <w:iCs w:val="1"/>
          <w:color w:val="auto"/>
        </w:rPr>
        <w:t>“Share”</w:t>
      </w:r>
      <w:r>
        <w:rPr>
          <w:rFonts w:ascii="Arial" w:cs="Arial" w:eastAsia="Arial" w:hAnsi="Arial"/>
          <w:sz w:val="18"/>
          <w:szCs w:val="18"/>
          <w:color w:val="auto"/>
        </w:rPr>
        <w:t>). The Participant will become vested in the RSUs, and take delivery of the Shares, as set forth in this Agreement.</w:t>
      </w:r>
    </w:p>
    <w:p>
      <w:pPr>
        <w:spacing w:after="0" w:line="144" w:lineRule="exact"/>
        <w:rPr>
          <w:sz w:val="20"/>
          <w:szCs w:val="20"/>
          <w:color w:val="auto"/>
        </w:rPr>
      </w:pPr>
    </w:p>
    <w:p>
      <w:pPr>
        <w:ind w:left="1100" w:hanging="179"/>
        <w:spacing w:after="0"/>
        <w:tabs>
          <w:tab w:leader="none" w:pos="11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Vesting and Timing of Transfer</w:t>
      </w:r>
      <w:r>
        <w:rPr>
          <w:rFonts w:ascii="Arial" w:cs="Arial" w:eastAsia="Arial" w:hAnsi="Arial"/>
          <w:sz w:val="18"/>
          <w:szCs w:val="18"/>
          <w:color w:val="auto"/>
        </w:rPr>
        <w:t>.</w:t>
      </w:r>
    </w:p>
    <w:p>
      <w:pPr>
        <w:spacing w:after="0" w:line="90" w:lineRule="exact"/>
        <w:rPr>
          <w:sz w:val="20"/>
          <w:szCs w:val="20"/>
          <w:color w:val="auto"/>
        </w:rPr>
      </w:pPr>
    </w:p>
    <w:p>
      <w:pPr>
        <w:ind w:right="160" w:firstLine="921"/>
        <w:spacing w:after="0" w:line="259" w:lineRule="auto"/>
        <w:tabs>
          <w:tab w:leader="none" w:pos="1152" w:val="left"/>
        </w:tabs>
        <w:numPr>
          <w:ilvl w:val="2"/>
          <w:numId w:val="90"/>
        </w:numPr>
        <w:rPr>
          <w:rFonts w:ascii="Arial" w:cs="Arial" w:eastAsia="Arial" w:hAnsi="Arial"/>
          <w:sz w:val="18"/>
          <w:szCs w:val="18"/>
          <w:color w:val="auto"/>
        </w:rPr>
      </w:pPr>
      <w:r>
        <w:rPr>
          <w:rFonts w:ascii="Arial" w:cs="Arial" w:eastAsia="Arial" w:hAnsi="Arial"/>
          <w:sz w:val="18"/>
          <w:szCs w:val="18"/>
          <w:color w:val="auto"/>
        </w:rPr>
        <w:t xml:space="preserve">Unless otherwise provided herein, and subject to the continued employment of the Participant by the Company or any of its Affiliates (collectively, the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through the relevant Vesting Event (as hereinafter defined), the Participant shall become vested in the RSUs granted on the Grant Date as follows (the occurrence of each such even described herein, a </w:t>
      </w:r>
      <w:r>
        <w:rPr>
          <w:rFonts w:ascii="Arial" w:cs="Arial" w:eastAsia="Arial" w:hAnsi="Arial"/>
          <w:sz w:val="18"/>
          <w:szCs w:val="18"/>
          <w:i w:val="1"/>
          <w:iCs w:val="1"/>
          <w:color w:val="auto"/>
        </w:rPr>
        <w:t>“Vesting Event”</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91"/>
        </w:numPr>
        <w:rPr>
          <w:rFonts w:ascii="Arial" w:cs="Arial" w:eastAsia="Arial" w:hAnsi="Arial"/>
          <w:sz w:val="16"/>
          <w:szCs w:val="16"/>
          <w:color w:val="auto"/>
        </w:rPr>
      </w:pPr>
      <w:r>
        <w:rPr>
          <w:rFonts w:ascii="Arial" w:cs="Arial" w:eastAsia="Arial" w:hAnsi="Arial"/>
          <w:sz w:val="16"/>
          <w:szCs w:val="16"/>
          <w:color w:val="auto"/>
        </w:rPr>
        <w:t>Twenty-five percent (25%) of the total number of RSUs granted hereunder shall become vested on each anniversary of the Grant Date; and</w:t>
      </w:r>
    </w:p>
    <w:p>
      <w:pPr>
        <w:spacing w:after="0" w:line="113" w:lineRule="exact"/>
        <w:rPr>
          <w:rFonts w:ascii="Arial" w:cs="Arial" w:eastAsia="Arial" w:hAnsi="Arial"/>
          <w:sz w:val="16"/>
          <w:szCs w:val="16"/>
          <w:color w:val="auto"/>
        </w:rPr>
      </w:pPr>
    </w:p>
    <w:p>
      <w:pPr>
        <w:ind w:left="460" w:right="20" w:firstLine="443"/>
        <w:spacing w:after="0" w:line="286" w:lineRule="auto"/>
        <w:tabs>
          <w:tab w:leader="none" w:pos="1157" w:val="left"/>
        </w:tabs>
        <w:numPr>
          <w:ilvl w:val="1"/>
          <w:numId w:val="91"/>
        </w:numPr>
        <w:rPr>
          <w:rFonts w:ascii="Arial" w:cs="Arial" w:eastAsia="Arial" w:hAnsi="Arial"/>
          <w:sz w:val="16"/>
          <w:szCs w:val="16"/>
          <w:color w:val="auto"/>
        </w:rPr>
      </w:pPr>
      <w:r>
        <w:rPr>
          <w:rFonts w:ascii="Arial" w:cs="Arial" w:eastAsia="Arial" w:hAnsi="Arial"/>
          <w:sz w:val="16"/>
          <w:szCs w:val="16"/>
          <w:color w:val="auto"/>
        </w:rPr>
        <w:t>Notwithstanding any of the foregoing, any unvested RSUs shall become one hundred percent (100%) vested upon the earliest occurrence of (A) a Change in Control, (B) the Participant’s death or termination of the Participant’s employment with Employer due to the Participant’s Disability and</w:t>
      </w:r>
    </w:p>
    <w:p>
      <w:pPr>
        <w:ind w:left="740" w:hanging="276"/>
        <w:spacing w:after="0"/>
        <w:tabs>
          <w:tab w:leader="none" w:pos="7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upon the later of the Participant becoming 65 years old and the completion of at least five years of service with the Company or its predecessors.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18" w:name="page119"/>
    <w:bookmarkEnd w:id="118"/>
    <w:p>
      <w:pPr>
        <w:ind w:left="-20" w:right="100" w:firstLine="921"/>
        <w:spacing w:after="0" w:line="259" w:lineRule="auto"/>
        <w:tabs>
          <w:tab w:leader="none" w:pos="1142"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other provision set forth in this Agreement, subject to the provisions of Section 2(a)(ii)(B) above, upon any termination of the Participant’s employment with the Employer, all then unvested RSUs shall immediately be forfeited by the Participant, without payment of any consideration therefor.</w:t>
      </w:r>
    </w:p>
    <w:p>
      <w:pPr>
        <w:spacing w:after="0" w:line="140" w:lineRule="exact"/>
        <w:rPr>
          <w:rFonts w:ascii="Arial" w:cs="Arial" w:eastAsia="Arial" w:hAnsi="Arial"/>
          <w:sz w:val="18"/>
          <w:szCs w:val="18"/>
          <w:color w:val="auto"/>
        </w:rPr>
      </w:pPr>
    </w:p>
    <w:p>
      <w:pPr>
        <w:ind w:left="-20" w:right="200" w:firstLine="921"/>
        <w:spacing w:after="0" w:line="254" w:lineRule="auto"/>
        <w:tabs>
          <w:tab w:leader="none" w:pos="1132"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Upon the occurrence of a Vesting Event, one Share shall be issuable for each RSU that vests on the date of such Vesting Event, subject to the terms and provisions of the Plan and this Agreement. Thereafter, upon satisfaction of any required tax withholding obligations the Company shall deliver to the Participant Shares underlying any, vested RSUs as soon as practicable (but in no event later than 2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months after the date of the Vesting Event). No fractional shares shall be issued under this Agreement. When applying this schedule, any fractional RSU shall be rounded up to the next whole RSU, but in the aggregate may not exceed the total number of RSUs granted on the Grant Date.</w:t>
      </w:r>
    </w:p>
    <w:p>
      <w:pPr>
        <w:spacing w:after="0" w:line="172" w:lineRule="exact"/>
        <w:rPr>
          <w:rFonts w:ascii="Arial" w:cs="Arial" w:eastAsia="Arial" w:hAnsi="Arial"/>
          <w:sz w:val="17"/>
          <w:szCs w:val="17"/>
          <w:color w:val="auto"/>
        </w:rPr>
      </w:pPr>
    </w:p>
    <w:p>
      <w:pPr>
        <w:ind w:left="-20" w:firstLine="921"/>
        <w:spacing w:after="0" w:line="335" w:lineRule="auto"/>
        <w:tabs>
          <w:tab w:leader="none" w:pos="1142" w:val="left"/>
        </w:tabs>
        <w:numPr>
          <w:ilvl w:val="0"/>
          <w:numId w:val="93"/>
        </w:numPr>
        <w:rPr>
          <w:rFonts w:ascii="Arial" w:cs="Arial" w:eastAsia="Arial" w:hAnsi="Arial"/>
          <w:sz w:val="15"/>
          <w:szCs w:val="15"/>
          <w:color w:val="auto"/>
        </w:rPr>
      </w:pPr>
      <w:r>
        <w:rPr>
          <w:rFonts w:ascii="Arial" w:cs="Arial" w:eastAsia="Arial" w:hAnsi="Arial"/>
          <w:sz w:val="15"/>
          <w:szCs w:val="15"/>
          <w:color w:val="auto"/>
        </w:rPr>
        <w:t xml:space="preserve">In the event of the death of the Participant, the delivery of Shares under Section 2(c) shall be made in accordance with the beneficiary designation form on file with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absence of any such beneficiary designation form, the delivery of Shares under Section 2(c), shall be made to the person or persons to whom the Participant’s rights under the Agreement shall pass by will or by the applicable laws of descent and distribution.</w:t>
      </w:r>
    </w:p>
    <w:p>
      <w:pPr>
        <w:spacing w:after="0" w:line="88" w:lineRule="exact"/>
        <w:rPr>
          <w:rFonts w:ascii="Arial" w:cs="Arial" w:eastAsia="Arial" w:hAnsi="Arial"/>
          <w:sz w:val="15"/>
          <w:szCs w:val="15"/>
          <w:color w:val="auto"/>
        </w:rPr>
      </w:pPr>
    </w:p>
    <w:p>
      <w:pPr>
        <w:jc w:val="both"/>
        <w:ind w:left="-20" w:right="260" w:firstLine="921"/>
        <w:spacing w:after="0" w:line="259" w:lineRule="auto"/>
        <w:tabs>
          <w:tab w:leader="none" w:pos="11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the requirements of Section 11, upon each transfer of Shares in accordance with Section 2(c) of this Agreement, the Company shall have satisfied its obligation with respect to the number of RSUs equal to the number of Shares delivered to the Participant pursuant thereto, and the Participant shall have no further rights to claim any additional Shares in respect thereof.</w:t>
      </w:r>
    </w:p>
    <w:p>
      <w:pPr>
        <w:spacing w:after="0" w:line="140" w:lineRule="exact"/>
        <w:rPr>
          <w:sz w:val="20"/>
          <w:szCs w:val="20"/>
          <w:color w:val="auto"/>
        </w:rPr>
      </w:pPr>
    </w:p>
    <w:p>
      <w:pPr>
        <w:ind w:left="1080" w:hanging="179"/>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60" w:firstLine="921"/>
        <w:spacing w:after="0" w:line="268" w:lineRule="auto"/>
        <w:tabs>
          <w:tab w:leader="none" w:pos="1068"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Adjustments Upon Certain Events</w:t>
      </w:r>
      <w:r>
        <w:rPr>
          <w:rFonts w:ascii="Arial" w:cs="Arial" w:eastAsia="Arial" w:hAnsi="Arial"/>
          <w:sz w:val="18"/>
          <w:szCs w:val="18"/>
          <w:color w:val="auto"/>
        </w:rPr>
        <w:t>. The Committee shall, in its sole discretion, make equitable substitutions or adjustments to any Shares or RSUs subject to this Agreement pursuant to Section 9(a) of the Plan.</w:t>
      </w:r>
    </w:p>
    <w:p>
      <w:pPr>
        <w:spacing w:after="0" w:line="131" w:lineRule="exact"/>
        <w:rPr>
          <w:rFonts w:ascii="Arial" w:cs="Arial" w:eastAsia="Arial" w:hAnsi="Arial"/>
          <w:sz w:val="18"/>
          <w:szCs w:val="18"/>
          <w:color w:val="auto"/>
        </w:rPr>
      </w:pPr>
    </w:p>
    <w:p>
      <w:pPr>
        <w:ind w:left="1080" w:hanging="179"/>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20" w:firstLine="921"/>
        <w:spacing w:after="0" w:line="259" w:lineRule="auto"/>
        <w:tabs>
          <w:tab w:leader="none" w:pos="1068"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Neither the Plan nor this Agreement shall be construed as giving the Participant the right to be retained in the employ of, or in any consulting relationship to, the Employer. Further, the Employer may at any time dismiss the Participant, free from any liability or any claim under the Plan or this Agreement, except as otherwise expressly provided herein.</w:t>
      </w:r>
    </w:p>
    <w:p>
      <w:pPr>
        <w:spacing w:after="0" w:line="140" w:lineRule="exact"/>
        <w:rPr>
          <w:rFonts w:ascii="Arial" w:cs="Arial" w:eastAsia="Arial" w:hAnsi="Arial"/>
          <w:sz w:val="18"/>
          <w:szCs w:val="18"/>
          <w:color w:val="auto"/>
        </w:rPr>
      </w:pPr>
    </w:p>
    <w:p>
      <w:pPr>
        <w:ind w:left="-20" w:right="40" w:firstLine="921"/>
        <w:spacing w:after="0" w:line="306" w:lineRule="auto"/>
        <w:tabs>
          <w:tab w:leader="none" w:pos="1068"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No Acquired Rights</w:t>
      </w:r>
      <w:r>
        <w:rPr>
          <w:rFonts w:ascii="Arial" w:cs="Arial" w:eastAsia="Arial" w:hAnsi="Arial"/>
          <w:sz w:val="16"/>
          <w:szCs w:val="16"/>
          <w:color w:val="auto"/>
        </w:rPr>
        <w:t>. In participating in the Plan, the Participant acknowledges and accepts that the Board has the power to amend or terminate the Plan, to the extent permitted thereunder, at any time and that the opportunity given to the Participant to participate in the Plan is entirely at the discretion of the Committee and does not obligate the Company or any of its Affiliates to offer such participation in the future (whether on the same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119" w:name="page120"/>
    <w:bookmarkEnd w:id="119"/>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different terms). The Participant further acknowledges and accepts that (a) such Participant’s participation in the Plan is not to be considered part of any normal or expected compensation, (b) the value of the RSUs or the Shares shall not be used for purposes or determining any benefits or compensation payable to the Participant or the Participant’s beneficiaries or estate under any benefit arrangement of the Company, and (c) the termination of the Participant’s employment with the Employer under any circumstances whatsoever will give the Participant no claim or right of action against the Employer in respect of any loss of rights under this Agreement or the Plan that may arise as a result of such termination of employment.</w:t>
      </w:r>
    </w:p>
    <w:p>
      <w:pPr>
        <w:spacing w:after="0" w:line="116" w:lineRule="exact"/>
        <w:rPr>
          <w:sz w:val="20"/>
          <w:szCs w:val="20"/>
          <w:color w:val="auto"/>
        </w:rPr>
      </w:pPr>
    </w:p>
    <w:p>
      <w:pPr>
        <w:jc w:val="both"/>
        <w:ind w:right="180" w:firstLine="921"/>
        <w:spacing w:after="0" w:line="259" w:lineRule="auto"/>
        <w:tabs>
          <w:tab w:leader="none" w:pos="108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 Rights of a Stockholder</w:t>
      </w:r>
      <w:r>
        <w:rPr>
          <w:rFonts w:ascii="Arial" w:cs="Arial" w:eastAsia="Arial" w:hAnsi="Arial"/>
          <w:sz w:val="18"/>
          <w:szCs w:val="18"/>
          <w:color w:val="auto"/>
        </w:rPr>
        <w:t>. The Participant shall not have any rights or privileges as a stockholder of the Company, which for the avoidance of doubt includes no rights to dividends or to vote, until the Shares in question have been registered in the Company’s register of stockholders as being held by the Participant.</w:t>
      </w:r>
    </w:p>
    <w:p>
      <w:pPr>
        <w:spacing w:after="0" w:line="140" w:lineRule="exact"/>
        <w:rPr>
          <w:rFonts w:ascii="Arial" w:cs="Arial" w:eastAsia="Arial" w:hAnsi="Arial"/>
          <w:sz w:val="18"/>
          <w:szCs w:val="18"/>
          <w:color w:val="auto"/>
        </w:rPr>
      </w:pPr>
    </w:p>
    <w:p>
      <w:pPr>
        <w:ind w:right="40" w:firstLine="921"/>
        <w:spacing w:after="0" w:line="254" w:lineRule="auto"/>
        <w:tabs>
          <w:tab w:leader="none" w:pos="108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Legend on Certificates</w:t>
      </w:r>
      <w:r>
        <w:rPr>
          <w:rFonts w:ascii="Arial" w:cs="Arial" w:eastAsia="Arial" w:hAnsi="Arial"/>
          <w:sz w:val="18"/>
          <w:szCs w:val="18"/>
          <w:color w:val="auto"/>
        </w:rPr>
        <w:t>. Any Shares issued or transferred to the Participant pursuant to Section 2 of this Agreement shall be subject to such stop transfer orders and other restrictions as the Committee may deem advisable under the Plan or the rules, regulations, and other requirements of the Securities and Exchange Commission, any stock exchange upon which such Shares are listed, and any applicable Federal or state laws or relevant securities laws of the jurisdiction of the domicile of the Participant, and the Committee may cause a legend or legends to be put on any certificates representing such Shares or make an appropriate entry on the record books of the appropriate registered book-entry custodian, if the Shares are not certificated, to make appropriate reference to such restrictions.</w:t>
      </w:r>
    </w:p>
    <w:p>
      <w:pPr>
        <w:spacing w:after="0" w:line="144" w:lineRule="exact"/>
        <w:rPr>
          <w:rFonts w:ascii="Arial" w:cs="Arial" w:eastAsia="Arial" w:hAnsi="Arial"/>
          <w:sz w:val="18"/>
          <w:szCs w:val="18"/>
          <w:color w:val="auto"/>
        </w:rPr>
      </w:pPr>
    </w:p>
    <w:p>
      <w:pPr>
        <w:ind w:right="80" w:firstLine="921"/>
        <w:spacing w:after="0" w:line="259" w:lineRule="auto"/>
        <w:tabs>
          <w:tab w:leader="none" w:pos="117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RSUs may not be assigned, alienated, pledged, attached, sold or otherwise transferred or encumbered by the Participant otherwise than by will or by the laws of descent and distribution, and any purported assignment, alienation, pledge, attachment, sale, transfer or encumbrance not permitted by this Section 10 shall be void and unenforceable against the Company or any Affiliate.</w:t>
      </w:r>
    </w:p>
    <w:p>
      <w:pPr>
        <w:spacing w:after="0" w:line="140" w:lineRule="exact"/>
        <w:rPr>
          <w:rFonts w:ascii="Arial" w:cs="Arial" w:eastAsia="Arial" w:hAnsi="Arial"/>
          <w:sz w:val="18"/>
          <w:szCs w:val="18"/>
          <w:color w:val="auto"/>
        </w:rPr>
      </w:pPr>
    </w:p>
    <w:p>
      <w:pPr>
        <w:ind w:firstLine="921"/>
        <w:spacing w:after="0" w:line="294" w:lineRule="auto"/>
        <w:tabs>
          <w:tab w:leader="none" w:pos="1170"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Participant may be required to pay to the Company or any Affiliate and the Company or any Affiliate shall have the right and is hereby authorized to withhold from any transfer due under this Agreement or under the Plan or from any compensation or other amount owing to the Participant, applicable withholding taxes with respect to any transfer under this Agreement or under the Plan and to take such action as may be necessary in the opinion of the Company to satisfy all obligations for the payment of such taxes, pursuant to Section 4(d) of the Plan. The payment of any applicable withholding taxes through the sale or withholding of Shares otherwise issuable under this Agreement shall not exceed the statutory minimum withholding liability.</w:t>
      </w:r>
    </w:p>
    <w:p>
      <w:pPr>
        <w:spacing w:after="0" w:line="115" w:lineRule="exact"/>
        <w:rPr>
          <w:rFonts w:ascii="Arial" w:cs="Arial" w:eastAsia="Arial" w:hAnsi="Arial"/>
          <w:sz w:val="16"/>
          <w:szCs w:val="16"/>
          <w:color w:val="auto"/>
        </w:rPr>
      </w:pPr>
    </w:p>
    <w:p>
      <w:pPr>
        <w:ind w:right="40" w:firstLine="921"/>
        <w:spacing w:after="0" w:line="255" w:lineRule="auto"/>
        <w:tabs>
          <w:tab w:leader="none" w:pos="117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xml:space="preserve">. The Participant represents and agrees that the Participant has executed a Confidentiality, Non-Solicitation and Proprietary Information Agreement with the Partnership (the </w:t>
      </w:r>
      <w:r>
        <w:rPr>
          <w:rFonts w:ascii="Arial" w:cs="Arial" w:eastAsia="Arial" w:hAnsi="Arial"/>
          <w:sz w:val="18"/>
          <w:szCs w:val="18"/>
          <w:i w:val="1"/>
          <w:iCs w:val="1"/>
          <w:color w:val="auto"/>
        </w:rPr>
        <w:t>“Restrictive Covenants Agreement”</w:t>
      </w:r>
      <w:r>
        <w:rPr>
          <w:rFonts w:ascii="Arial" w:cs="Arial" w:eastAsia="Arial" w:hAnsi="Arial"/>
          <w:sz w:val="18"/>
          <w:szCs w:val="18"/>
          <w:color w:val="auto"/>
        </w:rPr>
        <w:t>) pursuant to which, during the Participant’s employment with the Employer and upon the Participant’s termination of employment with the Employer for any reason, the Participant shall be bound by certain restrictive convenants set forth therein (the “Restrictive Convenants”). Upon the issuance or delivery of Shares underlying vested RSUs, the Participant shall, if requested, certify in a manner acceptable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0" w:name="page121"/>
    <w:bookmarkEnd w:id="1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Company that the Participant is in compliance with the terms and conditions of the Restrictive Covenants. In the event the Participant has violated any Restrictive Covenant, the Participant shall immediately forfeit any remaining RSUs, in addition to any additional remedies available to the Company as set forth in the Restrictive Covenant Agreement or otherwise.</w:t>
      </w:r>
    </w:p>
    <w:p>
      <w:pPr>
        <w:spacing w:after="0" w:line="140" w:lineRule="exact"/>
        <w:rPr>
          <w:sz w:val="20"/>
          <w:szCs w:val="20"/>
          <w:color w:val="auto"/>
        </w:rPr>
      </w:pPr>
    </w:p>
    <w:p>
      <w:pPr>
        <w:ind w:right="200" w:firstLine="921"/>
        <w:spacing w:after="0" w:line="268" w:lineRule="auto"/>
        <w:tabs>
          <w:tab w:leader="none" w:pos="117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CONSTRUED IN ACCORDANCE WITH THE LAWS OF THE STATE OF NEW YORK WITHOUT REGARD TO CONFLICTS OF LAW.</w:t>
      </w:r>
    </w:p>
    <w:p>
      <w:pPr>
        <w:spacing w:after="0" w:line="131" w:lineRule="exact"/>
        <w:rPr>
          <w:rFonts w:ascii="Arial" w:cs="Arial" w:eastAsia="Arial" w:hAnsi="Arial"/>
          <w:sz w:val="18"/>
          <w:szCs w:val="18"/>
          <w:color w:val="auto"/>
        </w:rPr>
      </w:pPr>
    </w:p>
    <w:p>
      <w:pPr>
        <w:ind w:right="20" w:firstLine="921"/>
        <w:spacing w:after="0" w:line="259" w:lineRule="auto"/>
        <w:tabs>
          <w:tab w:leader="none" w:pos="117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RSUs Subject to Plan</w:t>
      </w:r>
      <w:r>
        <w:rPr>
          <w:rFonts w:ascii="Arial" w:cs="Arial" w:eastAsia="Arial" w:hAnsi="Arial"/>
          <w:sz w:val="18"/>
          <w:szCs w:val="18"/>
          <w:color w:val="auto"/>
        </w:rPr>
        <w:t>. By entering into this Agreement, the Participant agrees and acknowledges that the Participant has received and read a copy of the Plan. All RSUs are subject to the Plan. In the event of a conflict between any term or provision contained herein and a term or provision of the Plan, the applicable terms and provisions of the Plan will govern and prevail.</w:t>
      </w:r>
    </w:p>
    <w:p>
      <w:pPr>
        <w:spacing w:after="0" w:line="140" w:lineRule="exact"/>
        <w:rPr>
          <w:rFonts w:ascii="Arial" w:cs="Arial" w:eastAsia="Arial" w:hAnsi="Arial"/>
          <w:sz w:val="18"/>
          <w:szCs w:val="18"/>
          <w:color w:val="auto"/>
        </w:rPr>
      </w:pPr>
    </w:p>
    <w:p>
      <w:pPr>
        <w:ind w:right="360" w:firstLine="921"/>
        <w:spacing w:after="0" w:line="268" w:lineRule="auto"/>
        <w:tabs>
          <w:tab w:leader="none" w:pos="117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80" w:right="3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date first above written.</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10795</wp:posOffset>
            </wp:positionV>
            <wp:extent cx="26930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40" w:lineRule="exact"/>
        <w:rPr>
          <w:sz w:val="20"/>
          <w:szCs w:val="20"/>
          <w:color w:val="auto"/>
        </w:rPr>
      </w:pPr>
    </w:p>
    <w:p>
      <w:pPr>
        <w:jc w:val="center"/>
        <w:ind w:left="1900"/>
        <w:spacing w:after="0" w:line="440" w:lineRule="auto"/>
        <w:rPr>
          <w:sz w:val="20"/>
          <w:szCs w:val="20"/>
          <w:color w:val="auto"/>
        </w:rPr>
      </w:pPr>
      <w:r>
        <w:rPr>
          <w:rFonts w:ascii="Arial" w:cs="Arial" w:eastAsia="Arial" w:hAnsi="Arial"/>
          <w:sz w:val="18"/>
          <w:szCs w:val="18"/>
          <w:color w:val="auto"/>
        </w:rPr>
        <w:t>[EVERCORE PARTNERS INC. SIGNATURE PAGE TO RESTRICTED STOCK UNIT AWARD AGREEMENT] 5</w:t>
      </w:r>
    </w:p>
    <w:p>
      <w:pPr>
        <w:sectPr>
          <w:pgSz w:w="11900" w:h="16838" w:orient="portrait"/>
          <w:cols w:equalWidth="0" w:num="1">
            <w:col w:w="9299"/>
          </w:cols>
          <w:pgMar w:left="1160" w:top="280" w:right="1440"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date first above written.</w:t>
      </w:r>
    </w:p>
    <w:p>
      <w:pPr>
        <w:spacing w:after="0" w:line="2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PARTICIPANT</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10795</wp:posOffset>
            </wp:positionV>
            <wp:extent cx="26930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Employee Name</w:t>
      </w:r>
    </w:p>
    <w:p>
      <w:pPr>
        <w:spacing w:after="0" w:line="333"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[PARTICIPANT SIGNATURE PAGE TO RESTRICTED STOCK UNIT AWARD AGREEMENT]</w:t>
      </w:r>
    </w:p>
    <w:p>
      <w:pPr>
        <w:spacing w:after="0" w:line="18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299"/>
          </w:cols>
          <w:pgMar w:left="1160" w:top="280" w:right="1440"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2420" w:type="dxa"/>
            <w:vAlign w:val="bottom"/>
            <w:gridSpan w:val="2"/>
          </w:tcPr>
          <w:p>
            <w:pPr>
              <w:ind w:left="1500"/>
              <w:spacing w:after="0"/>
              <w:rPr>
                <w:sz w:val="20"/>
                <w:szCs w:val="20"/>
                <w:color w:val="auto"/>
              </w:rPr>
            </w:pPr>
            <w:r>
              <w:rPr>
                <w:rFonts w:ascii="Arial" w:cs="Arial" w:eastAsia="Arial" w:hAnsi="Arial"/>
                <w:sz w:val="18"/>
                <w:szCs w:val="18"/>
                <w:b w:val="1"/>
                <w:bCs w:val="1"/>
                <w:color w:val="auto"/>
                <w:w w:val="89"/>
              </w:rPr>
              <w:t>Exhibit 21.1</w:t>
            </w:r>
          </w:p>
        </w:tc>
      </w:tr>
      <w:tr>
        <w:trPr>
          <w:trHeight w:val="340"/>
        </w:trPr>
        <w:tc>
          <w:tcPr>
            <w:tcW w:w="38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420" w:type="dxa"/>
            <w:vAlign w:val="bottom"/>
            <w:gridSpan w:val="2"/>
          </w:tcPr>
          <w:p>
            <w:pPr>
              <w:ind w:left="360"/>
              <w:spacing w:after="0"/>
              <w:rPr>
                <w:sz w:val="20"/>
                <w:szCs w:val="20"/>
                <w:color w:val="auto"/>
              </w:rPr>
            </w:pPr>
            <w:r>
              <w:rPr>
                <w:rFonts w:ascii="Arial" w:cs="Arial" w:eastAsia="Arial" w:hAnsi="Arial"/>
                <w:sz w:val="14"/>
                <w:szCs w:val="14"/>
                <w:b w:val="1"/>
                <w:bCs w:val="1"/>
                <w:color w:val="auto"/>
              </w:rPr>
              <w:t>Jurisdiction of Incorporation</w:t>
            </w:r>
          </w:p>
        </w:tc>
      </w:tr>
      <w:tr>
        <w:trPr>
          <w:trHeight w:val="175"/>
        </w:trPr>
        <w:tc>
          <w:tcPr>
            <w:tcW w:w="9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20" w:type="dxa"/>
            <w:vAlign w:val="bottom"/>
            <w:gridSpan w:val="2"/>
          </w:tcPr>
          <w:p>
            <w:pPr>
              <w:ind w:left="740"/>
              <w:spacing w:after="0"/>
              <w:rPr>
                <w:sz w:val="20"/>
                <w:szCs w:val="20"/>
                <w:color w:val="auto"/>
              </w:rPr>
            </w:pPr>
            <w:r>
              <w:rPr>
                <w:rFonts w:ascii="Arial" w:cs="Arial" w:eastAsia="Arial" w:hAnsi="Arial"/>
                <w:sz w:val="14"/>
                <w:szCs w:val="14"/>
                <w:b w:val="1"/>
                <w:bCs w:val="1"/>
                <w:color w:val="auto"/>
              </w:rPr>
              <w:t>or Organization</w:t>
            </w:r>
          </w:p>
        </w:tc>
      </w:tr>
      <w:tr>
        <w:trPr>
          <w:trHeight w:val="216"/>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BD</w:t>
            </w:r>
          </w:p>
        </w:tc>
        <w:tc>
          <w:tcPr>
            <w:tcW w:w="8640" w:type="dxa"/>
            <w:vAlign w:val="bottom"/>
          </w:tcPr>
          <w:p>
            <w:pPr>
              <w:spacing w:after="0"/>
              <w:rPr>
                <w:sz w:val="20"/>
                <w:szCs w:val="20"/>
                <w:color w:val="auto"/>
              </w:rPr>
            </w:pPr>
            <w:r>
              <w:rPr>
                <w:rFonts w:ascii="Arial" w:cs="Arial" w:eastAsia="Arial" w:hAnsi="Arial"/>
                <w:sz w:val="18"/>
                <w:szCs w:val="18"/>
                <w:color w:val="auto"/>
              </w:rPr>
              <w:t>Protego S. de R.L.</w:t>
            </w: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316"/>
        </w:trPr>
        <w:tc>
          <w:tcPr>
            <w:tcW w:w="9020" w:type="dxa"/>
            <w:vAlign w:val="bottom"/>
            <w:gridSpan w:val="2"/>
          </w:tcPr>
          <w:p>
            <w:pPr>
              <w:spacing w:after="0"/>
              <w:rPr>
                <w:sz w:val="20"/>
                <w:szCs w:val="20"/>
                <w:color w:val="auto"/>
              </w:rPr>
            </w:pPr>
            <w:r>
              <w:rPr>
                <w:rFonts w:ascii="Arial" w:cs="Arial" w:eastAsia="Arial" w:hAnsi="Arial"/>
                <w:sz w:val="18"/>
                <w:szCs w:val="18"/>
                <w:color w:val="auto"/>
              </w:rPr>
              <w:t>Evercore Advisors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Advisors I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Financial Advisors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GP Holdings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Group Holdings L.P.</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Group Holdings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Group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LP</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Partners Limited</w:t>
            </w:r>
          </w:p>
        </w:tc>
        <w:tc>
          <w:tcPr>
            <w:tcW w:w="2420" w:type="dxa"/>
            <w:vAlign w:val="bottom"/>
            <w:gridSpan w:val="2"/>
          </w:tcPr>
          <w:p>
            <w:pPr>
              <w:spacing w:after="0"/>
              <w:rPr>
                <w:sz w:val="20"/>
                <w:szCs w:val="20"/>
                <w:color w:val="auto"/>
              </w:rPr>
            </w:pPr>
            <w:r>
              <w:rPr>
                <w:rFonts w:ascii="Arial" w:cs="Arial" w:eastAsia="Arial" w:hAnsi="Arial"/>
                <w:sz w:val="18"/>
                <w:szCs w:val="18"/>
                <w:color w:val="auto"/>
              </w:rPr>
              <w:t>England and Wales</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Partners Services East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Properties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Restructuring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Venture Advisors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Protego Administradores, S. de R.L.</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Protego Asesores, S. de R.L.</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Protego Casa de Bolsa, S.A. de C.V.</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Protego CB Servicios S. de R.L.</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Protego PE, S. de R.L.</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Protego Servicios, S.C.</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Protego SI, S.C.</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Sedna S. de R.L.</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Mexico Capital Partners II, L.P.</w:t>
            </w:r>
          </w:p>
        </w:tc>
        <w:tc>
          <w:tcPr>
            <w:tcW w:w="242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Mexico Partners II, L.P.</w:t>
            </w:r>
          </w:p>
        </w:tc>
        <w:tc>
          <w:tcPr>
            <w:tcW w:w="242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Mexico Management II,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Mexico GP Holdings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We consent to the incorporation by reference in the Registration Statement No. 333-136506 on Form S-8 and the Registration Statement No. 333-145696 on Form S-3 of our reports dated March 11, 2008, relating to the consolidated financial statements of Evercore Partners Inc. and subsidiaries (the “Company”) and the combined financial statements of Evercore Holdings and the effectiveness of the Company’s internal control over financial reporting (which reports on the consolidated financial statements of the Company and the combined financial statements of Evercore Holding express an unqualified opinion and include an explanatory paragraph regarding the formation of the Company, the adoption of Statement of Financial Accounting Standard (“SFAS”) No. 123(R) Share-Based Payment on January 1, 2006, and the Company becoming subject to U.S. corporate federal income taxes that it accounts for in accordance with SFAS No. 109 Accounting for Income Taxes) appearing in this Annual Report on Form 10-K of Evercore Partners Inc. for the year ended December 31, 2007.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2008</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Roger C. Altman, certify that:</w:t>
      </w:r>
    </w:p>
    <w:p>
      <w:pPr>
        <w:spacing w:after="0" w:line="90" w:lineRule="exact"/>
        <w:rPr>
          <w:sz w:val="20"/>
          <w:szCs w:val="20"/>
          <w:color w:val="auto"/>
        </w:rPr>
      </w:pPr>
    </w:p>
    <w:p>
      <w:pPr>
        <w:ind w:left="640" w:hanging="17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Evercore Partners Inc. (the “Registrant”);</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380" w:firstLine="443"/>
        <w:spacing w:after="0" w:line="259" w:lineRule="auto"/>
        <w:tabs>
          <w:tab w:leader="none" w:pos="1078"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00" w:hanging="197"/>
        <w:spacing w:after="0"/>
        <w:tabs>
          <w:tab w:leader="none" w:pos="11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078"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80" w:firstLine="443"/>
        <w:spacing w:after="0" w:line="268" w:lineRule="auto"/>
        <w:tabs>
          <w:tab w:leader="none" w:pos="1078"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088"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2008</w:t>
      </w:r>
    </w:p>
    <w:p>
      <w:pPr>
        <w:spacing w:after="0" w:line="212"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OGER</w:t>
      </w:r>
      <w:r>
        <w:rPr>
          <w:rFonts w:ascii="Arial" w:cs="Arial" w:eastAsia="Arial" w:hAnsi="Arial"/>
          <w:sz w:val="16"/>
          <w:szCs w:val="16"/>
          <w:color w:val="auto"/>
        </w:rPr>
        <w:t xml:space="preserve"> C. A</w:t>
      </w:r>
      <w:r>
        <w:rPr>
          <w:rFonts w:ascii="Arial" w:cs="Arial" w:eastAsia="Arial" w:hAnsi="Arial"/>
          <w:sz w:val="13"/>
          <w:szCs w:val="13"/>
          <w:color w:val="auto"/>
        </w:rPr>
        <w:t>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Roger C. Altman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and Co-Chief Executive Officer</w:t>
      </w:r>
    </w:p>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B. Walsh, certify that:</w:t>
      </w:r>
    </w:p>
    <w:p>
      <w:pPr>
        <w:spacing w:after="0" w:line="171" w:lineRule="exact"/>
        <w:rPr>
          <w:sz w:val="20"/>
          <w:szCs w:val="20"/>
          <w:color w:val="auto"/>
        </w:rPr>
      </w:pPr>
    </w:p>
    <w:p>
      <w:pPr>
        <w:ind w:left="640" w:hanging="17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Evercore Partners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380" w:firstLine="443"/>
        <w:spacing w:after="0" w:line="259" w:lineRule="auto"/>
        <w:tabs>
          <w:tab w:leader="none" w:pos="107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00" w:hanging="197"/>
        <w:spacing w:after="0"/>
        <w:tabs>
          <w:tab w:leader="none" w:pos="11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078"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80" w:firstLine="443"/>
        <w:spacing w:after="0" w:line="268" w:lineRule="auto"/>
        <w:tabs>
          <w:tab w:leader="none" w:pos="1078"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088"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2008</w:t>
      </w:r>
    </w:p>
    <w:p>
      <w:pPr>
        <w:spacing w:after="0" w:line="212"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B.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Robert B. Walsh</w:t>
      </w:r>
    </w:p>
    <w:p>
      <w:pPr>
        <w:jc w:val="center"/>
        <w:ind w:left="686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Annual Report of Evercore Partners Inc. (the “Company”) on Form 10-K as filed with the Securities and Exchange Commission on the date hereof (the “Report”), I, Roger C. Altman, Chief Executive Officer of the Company, certify, pursuant to 18 U.S.C. § 1350, as adopted pursuant to Section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2008</w:t>
      </w:r>
    </w:p>
    <w:p>
      <w:pPr>
        <w:spacing w:after="0" w:line="212"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OGER</w:t>
      </w:r>
      <w:r>
        <w:rPr>
          <w:rFonts w:ascii="Arial" w:cs="Arial" w:eastAsia="Arial" w:hAnsi="Arial"/>
          <w:sz w:val="16"/>
          <w:szCs w:val="16"/>
          <w:color w:val="auto"/>
        </w:rPr>
        <w:t xml:space="preserve"> C. A</w:t>
      </w:r>
      <w:r>
        <w:rPr>
          <w:rFonts w:ascii="Arial" w:cs="Arial" w:eastAsia="Arial" w:hAnsi="Arial"/>
          <w:sz w:val="13"/>
          <w:szCs w:val="13"/>
          <w:color w:val="auto"/>
        </w:rPr>
        <w:t>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Roger C. Altman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and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220" w:right="120" w:hanging="212"/>
        <w:spacing w:after="0" w:line="268" w:lineRule="auto"/>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Annual Report of Evercore Partners Inc. (the “Company”) on Form 10-K as filed with the Securities and Exchange Commission on the date hereof (the “Report”), I, Robert B. Walsh, Chief Financial Officer of the Company, certify, pursuant to 18 U.S.C. § 1350, as adopted pursuant to Section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2008</w:t>
      </w:r>
    </w:p>
    <w:p>
      <w:pPr>
        <w:spacing w:after="0" w:line="212"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B.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Robert B. Walsh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220" w:right="120" w:hanging="212"/>
        <w:spacing w:after="0" w:line="268" w:lineRule="auto"/>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decimal"/>
      <w:start w:val="2"/>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1)"/>
      <w:numFmt w:val="decimal"/>
      <w:start w:val="3"/>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1)"/>
      <w:numFmt w:val="decimal"/>
      <w:start w:val="1"/>
    </w:lvl>
  </w:abstractNum>
  <w:abstractNum w:abstractNumId="13">
    <w:nsid w:val="235BA861"/>
    <w:multiLevelType w:val="hybridMultilevel"/>
    <w:lvl w:ilvl="0">
      <w:lvlJc w:val="left"/>
      <w:lvlText w:val="(%1)"/>
      <w:numFmt w:val="lowerLetter"/>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lvl w:ilvl="1">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1)"/>
      <w:numFmt w:val="lowerLetter"/>
      <w:start w:val="1"/>
    </w:lvl>
  </w:abstractNum>
  <w:abstractNum w:abstractNumId="38">
    <w:nsid w:val="98A3148"/>
    <w:multiLevelType w:val="hybridMultilevel"/>
    <w:lvl w:ilvl="0">
      <w:lvlJc w:val="left"/>
      <w:lvlText w:val="\endash "/>
      <w:numFmt w:val="bullet"/>
      <w:start w:val="1"/>
    </w:lvl>
  </w:abstractNum>
  <w:abstractNum w:abstractNumId="39">
    <w:nsid w:val="799D0247"/>
    <w:multiLevelType w:val="hybridMultilevel"/>
    <w:lvl w:ilvl="0">
      <w:lvlJc w:val="left"/>
      <w:lvlText w:val="%1)"/>
      <w:numFmt w:val="decimal"/>
      <w:start w:val="1"/>
    </w:lvl>
  </w:abstractNum>
  <w:abstractNum w:abstractNumId="40">
    <w:nsid w:val="6B94764"/>
    <w:multiLevelType w:val="hybridMultilevel"/>
    <w:lvl w:ilvl="0">
      <w:lvlJc w:val="left"/>
      <w:lvlText w:val="(%1)"/>
      <w:numFmt w:val="lowerLetter"/>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1)"/>
      <w:numFmt w:val="decimal"/>
      <w:start w:val="1"/>
    </w:lvl>
  </w:abstractNum>
  <w:abstractNum w:abstractNumId="44">
    <w:nsid w:val="661E3F1E"/>
    <w:multiLevelType w:val="hybridMultilevel"/>
    <w:lvl w:ilvl="0">
      <w:lvlJc w:val="left"/>
      <w:lvlText w:val="(%1)"/>
      <w:numFmt w:val="decimal"/>
      <w:start w:val="2"/>
    </w:lvl>
  </w:abstractNum>
  <w:abstractNum w:abstractNumId="45">
    <w:nsid w:val="5DC79EA8"/>
    <w:multiLevelType w:val="hybridMultilevel"/>
    <w:lvl w:ilvl="0">
      <w:lvlJc w:val="left"/>
      <w:lvlText w:val="(%1)"/>
      <w:numFmt w:val="decimal"/>
      <w:start w:val="3"/>
    </w:lvl>
  </w:abstractNum>
  <w:abstractNum w:abstractNumId="46">
    <w:nsid w:val="540A471C"/>
    <w:multiLevelType w:val="hybridMultilevel"/>
    <w:lvl w:ilvl="0">
      <w:lvlJc w:val="left"/>
      <w:lvlText w:val="(%1)"/>
      <w:numFmt w:val="decimal"/>
      <w:start w:val="4"/>
    </w:lvl>
  </w:abstractNum>
  <w:abstractNum w:abstractNumId="47">
    <w:nsid w:val="7BD3EE7B"/>
    <w:multiLevelType w:val="hybridMultilevel"/>
    <w:lvl w:ilvl="0">
      <w:lvlJc w:val="left"/>
      <w:lvlText w:val="(%1)"/>
      <w:numFmt w:val="decimal"/>
      <w:start w:val="1"/>
    </w:lvl>
  </w:abstractNum>
  <w:abstractNum w:abstractNumId="48">
    <w:nsid w:val="51D9C564"/>
    <w:multiLevelType w:val="hybridMultilevel"/>
    <w:lvl w:ilvl="0">
      <w:lvlJc w:val="left"/>
      <w:lvlText w:val="(%1)"/>
      <w:numFmt w:val="lowerLetter"/>
      <w:start w:val="1"/>
    </w:lvl>
  </w:abstractNum>
  <w:abstractNum w:abstractNumId="49">
    <w:nsid w:val="613EFDC5"/>
    <w:multiLevelType w:val="hybridMultilevel"/>
    <w:lvl w:ilvl="0">
      <w:lvlJc w:val="left"/>
      <w:lvlText w:val="(%1)"/>
      <w:numFmt w:val="lowerLetter"/>
      <w:start w:val="4"/>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1."/>
      <w:numFmt w:val="decimal"/>
      <w:start w:val="1"/>
    </w:lvl>
  </w:abstractNum>
  <w:abstractNum w:abstractNumId="52">
    <w:nsid w:val="42963E5A"/>
    <w:multiLevelType w:val="hybridMultilevel"/>
    <w:lvl w:ilvl="0">
      <w:lvlJc w:val="left"/>
      <w:lvlText w:val="%1."/>
      <w:numFmt w:val="decimal"/>
      <w:start w:val="3"/>
    </w:lvl>
  </w:abstractNum>
  <w:abstractNum w:abstractNumId="53">
    <w:nsid w:val="A0382C5"/>
    <w:multiLevelType w:val="hybridMultilevel"/>
    <w:lvl w:ilvl="0">
      <w:lvlJc w:val="left"/>
      <w:lvlText w:val="%1"/>
      <w:numFmt w:val="decimal"/>
      <w:start w:val="11"/>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1)"/>
      <w:numFmt w:val="decimal"/>
      <w:start w:val="1"/>
    </w:lvl>
  </w:abstractNum>
  <w:abstractNum w:abstractNumId="56">
    <w:nsid w:val="3B0FD379"/>
    <w:multiLevelType w:val="hybridMultilevel"/>
    <w:lvl w:ilvl="0">
      <w:lvlJc w:val="left"/>
      <w:lvlText w:val="%1."/>
      <w:numFmt w:val="decimal"/>
      <w:start w:val="1"/>
    </w:lvl>
  </w:abstractNum>
  <w:abstractNum w:abstractNumId="57">
    <w:nsid w:val="68EB2F63"/>
    <w:multiLevelType w:val="hybridMultilevel"/>
    <w:lvl w:ilvl="0">
      <w:lvlJc w:val="left"/>
      <w:lvlText w:val="(%1)"/>
      <w:numFmt w:val="lowerLetter"/>
      <w:start w:val="1"/>
    </w:lvl>
  </w:abstractNum>
  <w:abstractNum w:abstractNumId="58">
    <w:nsid w:val="4962813B"/>
    <w:multiLevelType w:val="hybridMultilevel"/>
    <w:lvl w:ilvl="0">
      <w:lvlJc w:val="left"/>
      <w:lvlText w:val="%1."/>
      <w:numFmt w:val="decimal"/>
      <w:start w:val="2"/>
    </w:lvl>
  </w:abstractNum>
  <w:abstractNum w:abstractNumId="59">
    <w:nsid w:val="60B6DF70"/>
    <w:multiLevelType w:val="hybridMultilevel"/>
    <w:lvl w:ilvl="0">
      <w:lvlJc w:val="left"/>
      <w:lvlText w:val="%1."/>
      <w:numFmt w:val="decimal"/>
      <w:start w:val="3"/>
    </w:lvl>
  </w:abstractNum>
  <w:abstractNum w:abstractNumId="60">
    <w:nsid w:val="6A5EE64"/>
    <w:multiLevelType w:val="hybridMultilevel"/>
    <w:lvl w:ilvl="0">
      <w:lvlJc w:val="left"/>
      <w:lvlText w:val="(%1)"/>
      <w:numFmt w:val="lowerRoman"/>
      <w:start w:val="1"/>
    </w:lvl>
  </w:abstractNum>
  <w:abstractNum w:abstractNumId="61">
    <w:nsid w:val="14330624"/>
    <w:multiLevelType w:val="hybridMultilevel"/>
    <w:lvl w:ilvl="0">
      <w:lvlJc w:val="left"/>
      <w:lvlText w:val="%1."/>
      <w:numFmt w:val="decimal"/>
      <w:start w:val="4"/>
    </w:lvl>
  </w:abstractNum>
  <w:abstractNum w:abstractNumId="62">
    <w:nsid w:val="7FFFCA11"/>
    <w:multiLevelType w:val="hybridMultilevel"/>
    <w:lvl w:ilvl="0">
      <w:lvlJc w:val="left"/>
      <w:lvlText w:val="%1."/>
      <w:numFmt w:val="decimal"/>
      <w:start w:val="5"/>
    </w:lvl>
  </w:abstractNum>
  <w:abstractNum w:abstractNumId="63">
    <w:nsid w:val="1A27709E"/>
    <w:multiLevelType w:val="hybridMultilevel"/>
    <w:lvl w:ilvl="0">
      <w:lvlJc w:val="left"/>
      <w:lvlText w:val="%1."/>
      <w:numFmt w:val="decimal"/>
      <w:start w:val="6"/>
    </w:lvl>
  </w:abstractNum>
  <w:abstractNum w:abstractNumId="64">
    <w:nsid w:val="71EA1109"/>
    <w:multiLevelType w:val="hybridMultilevel"/>
    <w:lvl w:ilvl="0">
      <w:lvlJc w:val="left"/>
      <w:lvlText w:val="%1."/>
      <w:numFmt w:val="decimal"/>
      <w:start w:val="7"/>
    </w:lvl>
  </w:abstractNum>
  <w:abstractNum w:abstractNumId="65">
    <w:nsid w:val="100F59DC"/>
    <w:multiLevelType w:val="hybridMultilevel"/>
    <w:lvl w:ilvl="0">
      <w:lvlJc w:val="left"/>
      <w:lvlText w:val="%1."/>
      <w:numFmt w:val="decimal"/>
      <w:start w:val="8"/>
    </w:lvl>
  </w:abstractNum>
  <w:abstractNum w:abstractNumId="66">
    <w:nsid w:val="7FB7E0AA"/>
    <w:multiLevelType w:val="hybridMultilevel"/>
    <w:lvl w:ilvl="0">
      <w:lvlJc w:val="left"/>
      <w:lvlText w:val="%1."/>
      <w:numFmt w:val="decimal"/>
      <w:start w:val="9"/>
    </w:lvl>
  </w:abstractNum>
  <w:abstractNum w:abstractNumId="67">
    <w:nsid w:val="6EB5BD4"/>
    <w:multiLevelType w:val="hybridMultilevel"/>
    <w:lvl w:ilvl="0">
      <w:lvlJc w:val="left"/>
      <w:lvlText w:val="%1."/>
      <w:numFmt w:val="decimal"/>
      <w:start w:val="10"/>
    </w:lvl>
  </w:abstractNum>
  <w:abstractNum w:abstractNumId="68">
    <w:nsid w:val="6F6DD9AC"/>
    <w:multiLevelType w:val="hybridMultilevel"/>
    <w:lvl w:ilvl="0">
      <w:lvlJc w:val="left"/>
      <w:lvlText w:val="(%1)"/>
      <w:numFmt w:val="lowerRoman"/>
      <w:start w:val="1"/>
    </w:lvl>
  </w:abstractNum>
  <w:abstractNum w:abstractNumId="69">
    <w:nsid w:val="94211F2"/>
    <w:multiLevelType w:val="hybridMultilevel"/>
    <w:lvl w:ilvl="0">
      <w:lvlJc w:val="left"/>
      <w:lvlText w:val="(%1)"/>
      <w:numFmt w:val="lowerLetter"/>
      <w:start w:val="1"/>
    </w:lvl>
  </w:abstractNum>
  <w:abstractNum w:abstractNumId="70">
    <w:nsid w:val="885E1B"/>
    <w:multiLevelType w:val="hybridMultilevel"/>
    <w:lvl w:ilvl="0">
      <w:lvlJc w:val="left"/>
      <w:lvlText w:val="%1."/>
      <w:numFmt w:val="decimal"/>
      <w:start w:val="11"/>
    </w:lvl>
  </w:abstractNum>
  <w:abstractNum w:abstractNumId="71">
    <w:nsid w:val="76272110"/>
    <w:multiLevelType w:val="hybridMultilevel"/>
    <w:lvl w:ilvl="0">
      <w:lvlJc w:val="left"/>
      <w:lvlText w:val="%1."/>
      <w:numFmt w:val="decimal"/>
      <w:start w:val="12"/>
    </w:lvl>
  </w:abstractNum>
  <w:abstractNum w:abstractNumId="72">
    <w:nsid w:val="4C04A8AF"/>
    <w:multiLevelType w:val="hybridMultilevel"/>
    <w:lvl w:ilvl="0">
      <w:lvlJc w:val="left"/>
      <w:lvlText w:val="(%1)"/>
      <w:numFmt w:val="lowerLetter"/>
      <w:start w:val="1"/>
    </w:lvl>
  </w:abstractNum>
  <w:abstractNum w:abstractNumId="73">
    <w:nsid w:val="1716703B"/>
    <w:multiLevelType w:val="hybridMultilevel"/>
    <w:lvl w:ilvl="0">
      <w:lvlJc w:val="left"/>
      <w:lvlText w:val="(%1)"/>
      <w:numFmt w:val="lowerRoman"/>
      <w:start w:val="1"/>
    </w:lvl>
  </w:abstractNum>
  <w:abstractNum w:abstractNumId="74">
    <w:nsid w:val="14E17E33"/>
    <w:multiLevelType w:val="hybridMultilevel"/>
    <w:lvl w:ilvl="0">
      <w:lvlJc w:val="left"/>
      <w:lvlText w:val="(%1)"/>
      <w:numFmt w:val="lowerLetter"/>
      <w:start w:val="1"/>
    </w:lvl>
  </w:abstractNum>
  <w:abstractNum w:abstractNumId="75">
    <w:nsid w:val="3222E7CD"/>
    <w:multiLevelType w:val="hybridMultilevel"/>
    <w:lvl w:ilvl="0">
      <w:lvlJc w:val="left"/>
      <w:lvlText w:val="(%1)"/>
      <w:numFmt w:val="lowerLetter"/>
      <w:start w:val="1"/>
    </w:lvl>
    <w:lvl w:ilvl="1">
      <w:lvlJc w:val="left"/>
      <w:lvlText w:val="(%2)"/>
      <w:numFmt w:val="lowerRoman"/>
      <w:start w:val="1"/>
    </w:lvl>
  </w:abstractNum>
  <w:abstractNum w:abstractNumId="76">
    <w:nsid w:val="74DE0EE3"/>
    <w:multiLevelType w:val="hybridMultilevel"/>
    <w:lvl w:ilvl="0">
      <w:lvlJc w:val="left"/>
      <w:lvlText w:val="(%1)"/>
      <w:numFmt w:val="lowerLetter"/>
      <w:start w:val="1"/>
    </w:lvl>
  </w:abstractNum>
  <w:abstractNum w:abstractNumId="77">
    <w:nsid w:val="68EBC550"/>
    <w:multiLevelType w:val="hybridMultilevel"/>
    <w:lvl w:ilvl="0">
      <w:lvlJc w:val="left"/>
      <w:lvlText w:val="(%1)"/>
      <w:numFmt w:val="lowerLetter"/>
      <w:start w:val="2"/>
    </w:lvl>
  </w:abstractNum>
  <w:abstractNum w:abstractNumId="78">
    <w:nsid w:val="2DF6D648"/>
    <w:multiLevelType w:val="hybridMultilevel"/>
    <w:lvl w:ilvl="0">
      <w:lvlJc w:val="left"/>
      <w:lvlText w:val="(%1)"/>
      <w:numFmt w:val="lowerLetter"/>
      <w:start w:val="1"/>
    </w:lvl>
  </w:abstractNum>
  <w:abstractNum w:abstractNumId="79">
    <w:nsid w:val="46B7D447"/>
    <w:multiLevelType w:val="hybridMultilevel"/>
    <w:lvl w:ilvl="0">
      <w:lvlJc w:val="left"/>
      <w:lvlText w:val="(%1)"/>
      <w:numFmt w:val="lowerLetter"/>
      <w:start w:val="1"/>
    </w:lvl>
  </w:abstractNum>
  <w:abstractNum w:abstractNumId="80">
    <w:nsid w:val="4A2AC315"/>
    <w:multiLevelType w:val="hybridMultilevel"/>
    <w:lvl w:ilvl="0">
      <w:lvlJc w:val="left"/>
      <w:lvlText w:val="(%1)"/>
      <w:numFmt w:val="lowerLetter"/>
      <w:start w:val="3"/>
    </w:lvl>
  </w:abstractNum>
  <w:abstractNum w:abstractNumId="81">
    <w:nsid w:val="39EE015C"/>
    <w:multiLevelType w:val="hybridMultilevel"/>
    <w:lvl w:ilvl="0">
      <w:lvlJc w:val="left"/>
      <w:lvlText w:val="(%1)"/>
      <w:numFmt w:val="lowerLetter"/>
      <w:start w:val="1"/>
    </w:lvl>
  </w:abstractNum>
  <w:abstractNum w:abstractNumId="82">
    <w:nsid w:val="57FC4FBB"/>
    <w:multiLevelType w:val="hybridMultilevel"/>
    <w:lvl w:ilvl="0">
      <w:lvlJc w:val="left"/>
      <w:lvlText w:val="(%1)"/>
      <w:numFmt w:val="lowerLetter"/>
      <w:start w:val="6"/>
    </w:lvl>
  </w:abstractNum>
  <w:abstractNum w:abstractNumId="83">
    <w:nsid w:val="CC1016F"/>
    <w:multiLevelType w:val="hybridMultilevel"/>
    <w:lvl w:ilvl="0">
      <w:lvlJc w:val="left"/>
      <w:lvlText w:val="%1."/>
      <w:numFmt w:val="decimal"/>
      <w:start w:val="13"/>
    </w:lvl>
  </w:abstractNum>
  <w:abstractNum w:abstractNumId="84">
    <w:nsid w:val="43F18422"/>
    <w:multiLevelType w:val="hybridMultilevel"/>
    <w:lvl w:ilvl="0">
      <w:lvlJc w:val="left"/>
      <w:lvlText w:val="%1."/>
      <w:numFmt w:val="decimal"/>
      <w:start w:val="14"/>
    </w:lvl>
  </w:abstractNum>
  <w:abstractNum w:abstractNumId="85">
    <w:nsid w:val="60EF0119"/>
    <w:multiLevelType w:val="hybridMultilevel"/>
    <w:lvl w:ilvl="0">
      <w:lvlJc w:val="left"/>
      <w:lvlText w:val="%1."/>
      <w:numFmt w:val="decimal"/>
      <w:start w:val="15"/>
    </w:lvl>
  </w:abstractNum>
  <w:abstractNum w:abstractNumId="86">
    <w:nsid w:val="26F324BA"/>
    <w:multiLevelType w:val="hybridMultilevel"/>
    <w:lvl w:ilvl="0">
      <w:lvlJc w:val="left"/>
      <w:lvlText w:val="(%1)"/>
      <w:numFmt w:val="lowerLetter"/>
      <w:start w:val="1"/>
    </w:lvl>
  </w:abstractNum>
  <w:abstractNum w:abstractNumId="87">
    <w:nsid w:val="7F01579B"/>
    <w:multiLevelType w:val="hybridMultilevel"/>
    <w:lvl w:ilvl="0">
      <w:lvlJc w:val="left"/>
      <w:lvlText w:val="(%1)"/>
      <w:numFmt w:val="lowerLetter"/>
      <w:start w:val="1"/>
    </w:lvl>
  </w:abstractNum>
  <w:abstractNum w:abstractNumId="88">
    <w:nsid w:val="49DA307D"/>
    <w:multiLevelType w:val="hybridMultilevel"/>
    <w:lvl w:ilvl="0">
      <w:lvlJc w:val="left"/>
      <w:lvlText w:val="%1."/>
      <w:numFmt w:val="decimal"/>
      <w:start w:val="2"/>
    </w:lvl>
  </w:abstractNum>
  <w:abstractNum w:abstractNumId="89">
    <w:nsid w:val="7055A5F5"/>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90">
    <w:nsid w:val="5FB8370B"/>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91">
    <w:nsid w:val="50801EE1"/>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92">
    <w:nsid w:val="488AC1A"/>
    <w:multiLevelType w:val="hybridMultilevel"/>
    <w:lvl w:ilvl="0">
      <w:lvlJc w:val="left"/>
      <w:lvlText w:val="(%1)"/>
      <w:numFmt w:val="lowerLetter"/>
      <w:start w:val="2"/>
    </w:lvl>
  </w:abstractNum>
  <w:abstractNum w:abstractNumId="93">
    <w:nsid w:val="5FB8011C"/>
    <w:multiLevelType w:val="hybridMultilevel"/>
    <w:lvl w:ilvl="0">
      <w:lvlJc w:val="left"/>
      <w:lvlText w:val="%1."/>
      <w:numFmt w:val="decimal"/>
      <w:start w:val="3"/>
    </w:lvl>
  </w:abstractNum>
  <w:abstractNum w:abstractNumId="94">
    <w:nsid w:val="6AA78F7F"/>
    <w:multiLevelType w:val="hybridMultilevel"/>
    <w:lvl w:ilvl="0">
      <w:lvlJc w:val="left"/>
      <w:lvlText w:val="%1."/>
      <w:numFmt w:val="decimal"/>
      <w:start w:val="8"/>
    </w:lvl>
  </w:abstractNum>
  <w:abstractNum w:abstractNumId="95">
    <w:nsid w:val="7672BD23"/>
    <w:multiLevelType w:val="hybridMultilevel"/>
    <w:lvl w:ilvl="0">
      <w:lvlJc w:val="left"/>
      <w:lvlText w:val="%1."/>
      <w:numFmt w:val="decimal"/>
      <w:start w:val="13"/>
    </w:lvl>
  </w:abstractNum>
  <w:abstractNum w:abstractNumId="96">
    <w:nsid w:val="6FC75AF8"/>
    <w:multiLevelType w:val="hybridMultilevel"/>
    <w:lvl w:ilvl="0">
      <w:lvlJc w:val="left"/>
      <w:lvlText w:val="%1."/>
      <w:numFmt w:val="decimal"/>
      <w:start w:val="1"/>
    </w:lvl>
    <w:lvl w:ilvl="1">
      <w:lvlJc w:val="left"/>
      <w:lvlText w:val="%2)"/>
      <w:numFmt w:val="lowerLetter"/>
      <w:start w:val="1"/>
    </w:lvl>
  </w:abstractNum>
  <w:abstractNum w:abstractNumId="97">
    <w:nsid w:val="6A5F7029"/>
    <w:multiLevelType w:val="hybridMultilevel"/>
    <w:lvl w:ilvl="0">
      <w:lvlJc w:val="left"/>
      <w:lvlText w:val="%1."/>
      <w:numFmt w:val="decimal"/>
      <w:start w:val="1"/>
    </w:lvl>
    <w:lvl w:ilvl="1">
      <w:lvlJc w:val="left"/>
      <w:lvlText w:val="%2)"/>
      <w:numFmt w:val="lowerLetter"/>
      <w:start w:val="1"/>
    </w:lvl>
  </w:abstractNum>
  <w:abstractNum w:abstractNumId="98">
    <w:nsid w:val="7D5E18F8"/>
    <w:multiLevelType w:val="hybridMultilevel"/>
    <w:lvl w:ilvl="0">
      <w:lvlJc w:val="left"/>
      <w:lvlText w:val="(%1)"/>
      <w:numFmt w:val="decimal"/>
      <w:start w:val="1"/>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2019-12-11T16:12:40Z</dcterms:created>
  <dcterms:modified xsi:type="dcterms:W3CDTF">2019-12-11T16:12:40Z</dcterms:modified>
</cp:coreProperties>
</file>