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130810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EVERCORE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001-32975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20-4748747</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504" w:space="720"/>
            <w:col w:w="274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55 East 52nd Street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10055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(212) 857-3100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EVR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under the Securities Act (17 CFR 230.405) or Rule 12b-2 under the Exchange Act (17 CFR 240.12b-2).</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Evercore Inc. (“Evercore”) held its annual meeting of stockholders on June 10, 2026.</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voted on the matters set forth below.</w:t>
      </w:r>
    </w:p>
    <w:p>
      <w:pPr>
        <w:spacing w:after="0" w:line="225" w:lineRule="exact"/>
        <w:rPr>
          <w:sz w:val="20"/>
          <w:szCs w:val="20"/>
          <w:color w:val="auto"/>
        </w:rPr>
      </w:pPr>
    </w:p>
    <w:p>
      <w:pPr>
        <w:ind w:left="4" w:hanging="4"/>
        <w:spacing w:after="0" w:line="282"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nominees for election to the Board of Directors were elected to serve as directors until the next Annual Meeting or until their successors are duly elected and qualified, based upon the following final tabulation of votes:</w:t>
      </w:r>
    </w:p>
    <w:p>
      <w:pPr>
        <w:spacing w:after="0" w:line="207"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C. Altman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34,441,446</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601,205</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Pamela G. Carlton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33,968,819</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1,053,923</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29,368</w:t>
            </w:r>
          </w:p>
        </w:tc>
      </w:tr>
      <w:tr>
        <w:trPr>
          <w:trHeight w:val="234"/>
        </w:trPr>
        <w:tc>
          <w:tcPr>
            <w:tcW w:w="24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108"/>
        </w:trPr>
        <w:tc>
          <w:tcPr>
            <w:tcW w:w="24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Ellen V. Futter</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34,220,876</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801,906</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29,328</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Gail B. Harris</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33,915,998</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1,126,633</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34"/>
        </w:trPr>
        <w:tc>
          <w:tcPr>
            <w:tcW w:w="24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108"/>
        </w:trPr>
        <w:tc>
          <w:tcPr>
            <w:tcW w:w="24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Millard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33,668,693</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1,373,941</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Willard J. Overlock, Jr.</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34,584,573</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458,010</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r>
      <w:tr>
        <w:trPr>
          <w:trHeight w:val="234"/>
        </w:trPr>
        <w:tc>
          <w:tcPr>
            <w:tcW w:w="24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Sir Simon M. Robertson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34,047,102</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995,448</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Christine A. Varney</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34,752,234</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288,971</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r>
      <w:tr>
        <w:trPr>
          <w:trHeight w:val="234"/>
        </w:trPr>
        <w:tc>
          <w:tcPr>
            <w:tcW w:w="24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108"/>
        </w:trPr>
        <w:tc>
          <w:tcPr>
            <w:tcW w:w="24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Weinberg</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34,031,186</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1,011,423</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2,988,968</w:t>
            </w:r>
          </w:p>
        </w:tc>
      </w:tr>
    </w:tbl>
    <w:p>
      <w:pPr>
        <w:sectPr>
          <w:pgSz w:w="11900" w:h="16838" w:orient="portrait"/>
          <w:cols w:equalWidth="0" w:num="1">
            <w:col w:w="10924"/>
          </w:cols>
          <w:pgMar w:left="436" w:top="293" w:right="5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1324"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William J. Wheeler</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34,359,188</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683,375</w:t>
            </w:r>
          </w:p>
        </w:tc>
      </w:tr>
      <w:tr>
        <w:trPr>
          <w:trHeight w:val="216"/>
        </w:trPr>
        <w:tc>
          <w:tcPr>
            <w:tcW w:w="24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r>
      <w:tr>
        <w:trPr>
          <w:trHeight w:val="234"/>
        </w:trPr>
        <w:tc>
          <w:tcPr>
            <w:tcW w:w="24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2,988,968</w:t>
            </w:r>
          </w:p>
        </w:tc>
      </w:tr>
      <w:tr>
        <w:trPr>
          <w:trHeight w:val="108"/>
        </w:trPr>
        <w:tc>
          <w:tcPr>
            <w:tcW w:w="24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K. Williamson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34,805,304</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237,327</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16"/>
        </w:trPr>
        <w:tc>
          <w:tcPr>
            <w:tcW w:w="2420" w:type="dxa"/>
            <w:vAlign w:val="bottom"/>
            <w:shd w:val="clear" w:color="auto" w:fill="CCEEFF"/>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2,988,968</w:t>
            </w:r>
          </w:p>
        </w:tc>
      </w:tr>
    </w:tbl>
    <w:p>
      <w:pPr>
        <w:spacing w:after="0" w:line="90" w:lineRule="exact"/>
        <w:rPr>
          <w:sz w:val="20"/>
          <w:szCs w:val="20"/>
          <w:color w:val="auto"/>
        </w:rPr>
      </w:pPr>
    </w:p>
    <w:p>
      <w:pPr>
        <w:ind w:left="4" w:hanging="4"/>
        <w:spacing w:after="0" w:line="28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advisory vote to approve executive compensation of Evercore’s named executive officers (“say-on-pay”) was approved based upon the following final tabulation of votes:</w:t>
      </w:r>
    </w:p>
    <w:p>
      <w:pPr>
        <w:spacing w:after="0" w:line="207"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32,994,941</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2,026,114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2,988,968</w:t>
            </w:r>
          </w:p>
        </w:tc>
      </w:tr>
    </w:tbl>
    <w:p>
      <w:pPr>
        <w:spacing w:after="0" w:line="179" w:lineRule="exact"/>
        <w:rPr>
          <w:sz w:val="20"/>
          <w:szCs w:val="20"/>
          <w:color w:val="auto"/>
        </w:rPr>
      </w:pPr>
    </w:p>
    <w:p>
      <w:pPr>
        <w:ind w:left="4" w:right="480" w:hanging="4"/>
        <w:spacing w:after="0" w:line="282"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Deloitte &amp; Touche LLP as Evercore’s independent registered public accounting firm for 2026 was ratified, based upon the following final tabulation of votes:</w:t>
      </w:r>
    </w:p>
    <w:p>
      <w:pPr>
        <w:spacing w:after="0" w:line="207"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37,463,916</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569,791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 The Fourth Amended and Restated 2016 Evercore Inc. Stock Incentive Plan was approved based on the following final tabulation of votes:</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23,832,129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11,204,040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2,988,968</w:t>
            </w:r>
          </w:p>
        </w:tc>
      </w:tr>
    </w:tbl>
    <w:p>
      <w:pPr>
        <w:spacing w:after="0" w:line="179" w:lineRule="exact"/>
        <w:rPr>
          <w:sz w:val="20"/>
          <w:szCs w:val="20"/>
          <w:color w:val="auto"/>
        </w:rPr>
      </w:pPr>
    </w:p>
    <w:p>
      <w:pPr>
        <w:ind w:left="244" w:hanging="244"/>
        <w:spacing w:after="0"/>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4"/>
        <w:spacing w:after="0"/>
        <w:tabs>
          <w:tab w:leader="none" w:pos="82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844" w:right="160" w:hanging="849"/>
        <w:spacing w:after="0" w:line="282"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0">
        <w:r>
          <w:rPr>
            <w:rFonts w:ascii="Times New Roman" w:cs="Times New Roman" w:eastAsia="Times New Roman" w:hAnsi="Times New Roman"/>
            <w:sz w:val="18"/>
            <w:szCs w:val="18"/>
            <w:u w:val="single" w:color="auto"/>
            <w:color w:val="0000EE"/>
          </w:rPr>
          <w:t>Fourth Amended and Restated 2016 Evercore Inc. Stock Incentive Plan (incorporated by reference from Annex B to Evercore’s definitive</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proxy statement filed on April 29, 2026)</w:t>
        </w:r>
      </w:hyperlink>
    </w:p>
    <w:p>
      <w:pPr>
        <w:spacing w:after="0" w:line="54" w:lineRule="exact"/>
        <w:rPr>
          <w:sz w:val="20"/>
          <w:szCs w:val="20"/>
          <w:color w:val="auto"/>
        </w:rPr>
      </w:pPr>
    </w:p>
    <w:p>
      <w:pPr>
        <w:jc w:val="both"/>
        <w:ind w:left="844" w:right="360" w:hanging="849"/>
        <w:spacing w:after="0" w:line="266"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1">
        <w:r>
          <w:rPr>
            <w:rFonts w:ascii="Times New Roman" w:cs="Times New Roman" w:eastAsia="Times New Roman" w:hAnsi="Times New Roman"/>
            <w:sz w:val="18"/>
            <w:szCs w:val="18"/>
            <w:u w:val="single" w:color="auto"/>
            <w:color w:val="0000EE"/>
          </w:rPr>
          <w:t>Description of the Fourth Amended and Restated 2016 Evercore Inc. Stock Incentive Plan (incorporated by reference from the section</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entitled “Proposal 4 - Approval of the Fourth Amended and Restated 2016 Evercore Inc. Stock Incentive Plan” in Evercore’s definitive</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proxy statement filed on April 29, 2026)</w:t>
        </w:r>
      </w:hyperlink>
    </w:p>
    <w:p>
      <w:pPr>
        <w:spacing w:after="0" w:line="68" w:lineRule="exact"/>
        <w:rPr>
          <w:rFonts w:ascii="Times New Roman" w:cs="Times New Roman" w:eastAsia="Times New Roman" w:hAnsi="Times New Roman"/>
          <w:sz w:val="18"/>
          <w:szCs w:val="18"/>
          <w:u w:val="single" w:color="auto"/>
          <w:color w:val="0000EE"/>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is formatted in Inline XBRL (and contained in Exhibit 101)</w:t>
      </w:r>
    </w:p>
    <w:p>
      <w:pPr>
        <w:sectPr>
          <w:pgSz w:w="11900" w:h="16838" w:orient="portrait"/>
          <w:cols w:equalWidth="0" w:num="1">
            <w:col w:w="10924"/>
          </w:cols>
          <w:pgMar w:left="436" w:top="405" w:right="5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Klurfeld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Klurfeld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2026</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0" Type="http://schemas.openxmlformats.org/officeDocument/2006/relationships/hyperlink" Target="http://www.sec.gov/Archives/edgar/data/1360901/000119312526191911/d30614ddef14a.htm#toc30614_22" TargetMode="External"/><Relationship Id="rId21" Type="http://schemas.openxmlformats.org/officeDocument/2006/relationships/hyperlink" Target="http://www.sec.gov/Archives/edgar/data/1360901/000119312526191911/d30614ddef14a.htm#toc30614_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2026-06-12T16:14:15Z</dcterms:created>
  <dcterms:modified xsi:type="dcterms:W3CDTF">2026-06-12T16:14:15Z</dcterms:modified>
</cp:coreProperties>
</file>