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d55c8df0a38248a4bad3569328277986_7">
        <w:r>
          <w:rPr>
            <w:rStyle w:val="InternetLink"/>
            <w:rFonts w:ascii="Times New Roman;serif" w:hAnsi="Times New Roman;serif"/>
            <w:b w:val="false"/>
            <w:color w:val="0000FF"/>
            <w:sz w:val="16"/>
            <w:u w:val="single"/>
          </w:rPr>
          <w:t>Table of Contents</w:t>
        </w:r>
      </w:hyperlink>
      <w:r>
        <w:rPr>
          <w:color w:val="FF0000"/>
        </w:rPr>
        <w:t>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 xml:space="preserve">FORM 10-Q </w:t>
      </w:r>
    </w:p>
    <w:p>
      <w:pPr>
        <w:pStyle w:val="TextBody"/>
        <w:bidi w:val="0"/>
        <w:spacing w:lineRule="auto" w:line="288" w:before="60" w:after="283"/>
        <w:jc w:val="center"/>
        <w:rPr>
          <w:color w:val="000000"/>
        </w:rPr>
      </w:pPr>
      <w:r>
        <w:rPr>
          <w:color w:val="000000"/>
        </w:rPr>
        <w:t> </w:t>
      </w:r>
      <w:r>
        <w:rPr>
          <w:rFonts w:ascii="Times New Roman;serif" w:hAnsi="Times New Roman;serif"/>
          <w:b w:val="false"/>
          <w:color w:val="000000"/>
          <w:sz w:val="20"/>
        </w:rPr>
        <w:t>_____________________________________________________</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(Mark One)</w:t>
      </w:r>
    </w:p>
    <w:tbl>
      <w:tblPr>
        <w:tblW w:w="9806" w:type="dxa"/>
        <w:jc w:val="left"/>
        <w:tblInd w:w="0" w:type="dxa"/>
        <w:tblLayout w:type="fixed"/>
        <w:tblCellMar>
          <w:top w:w="28" w:type="dxa"/>
          <w:left w:w="28" w:type="dxa"/>
          <w:bottom w:w="28" w:type="dxa"/>
          <w:right w:w="28" w:type="dxa"/>
        </w:tblCellMar>
      </w:tblPr>
      <w:tblGrid>
        <w:gridCol w:w="124"/>
        <w:gridCol w:w="109"/>
        <w:gridCol w:w="109"/>
        <w:gridCol w:w="2615"/>
        <w:gridCol w:w="2615"/>
        <w:gridCol w:w="42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4234" w:type="dxa"/>
            <w:tcBorders/>
            <w:vAlign w:val="center"/>
          </w:tcPr>
          <w:p>
            <w:pPr>
              <w:pStyle w:val="TableContents"/>
              <w:bidi w:val="0"/>
              <w:spacing w:before="0" w:after="283"/>
              <w:ind w:left="0" w:right="0" w:firstLine="45"/>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QUARTERLY REPORT PURSUANT TO SECTION 13 OR 15(d) OF THE SECURITIES EXCHANGE ACT OF 1934 </w:t>
            </w:r>
          </w:p>
        </w:tc>
      </w:tr>
    </w:tbl>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For the quarterly period ended March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before="0" w:after="0"/>
        <w:jc w:val="center"/>
        <w:rPr/>
      </w:pPr>
      <w:r>
        <w:rPr/>
      </w:r>
    </w:p>
    <w:tbl>
      <w:tblPr>
        <w:tblW w:w="9807" w:type="dxa"/>
        <w:jc w:val="center"/>
        <w:tblInd w:w="0" w:type="dxa"/>
        <w:tblLayout w:type="fixed"/>
        <w:tblCellMar>
          <w:top w:w="28" w:type="dxa"/>
          <w:left w:w="28" w:type="dxa"/>
          <w:bottom w:w="28" w:type="dxa"/>
          <w:right w:w="28" w:type="dxa"/>
        </w:tblCellMar>
      </w:tblPr>
      <w:tblGrid>
        <w:gridCol w:w="124"/>
        <w:gridCol w:w="109"/>
        <w:gridCol w:w="109"/>
        <w:gridCol w:w="2773"/>
        <w:gridCol w:w="2773"/>
        <w:gridCol w:w="39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TRANSITION REPORT PURSUANT TO SECTION 13 OR 15(d) OF THE SECURITIES EXCHANGE ACT OF 1934 </w:t>
            </w:r>
          </w:p>
        </w:tc>
      </w:tr>
    </w:tbl>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For the transition period from                  to                  .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001-32975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EVERCORE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____________________________________________________</w:t>
      </w:r>
    </w:p>
    <w:tbl>
      <w:tblPr>
        <w:tblW w:w="4811" w:type="dxa"/>
        <w:jc w:val="center"/>
        <w:tblInd w:w="0" w:type="dxa"/>
        <w:tblLayout w:type="fixed"/>
        <w:tblCellMar>
          <w:top w:w="28" w:type="dxa"/>
          <w:left w:w="28" w:type="dxa"/>
          <w:bottom w:w="28" w:type="dxa"/>
          <w:right w:w="28" w:type="dxa"/>
        </w:tblCellMar>
      </w:tblPr>
      <w:tblGrid>
        <w:gridCol w:w="1015"/>
        <w:gridCol w:w="890"/>
        <w:gridCol w:w="900"/>
        <w:gridCol w:w="109"/>
        <w:gridCol w:w="109"/>
        <w:gridCol w:w="109"/>
        <w:gridCol w:w="490"/>
        <w:gridCol w:w="490"/>
        <w:gridCol w:w="699"/>
      </w:tblGrid>
      <w:tr>
        <w:trPr/>
        <w:tc>
          <w:tcPr>
            <w:tcW w:w="101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20-4748747</w:t>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tbl>
      <w:tblPr>
        <w:tblW w:w="2625" w:type="dxa"/>
        <w:jc w:val="center"/>
        <w:tblInd w:w="0" w:type="dxa"/>
        <w:tblLayout w:type="fixed"/>
        <w:tblCellMar>
          <w:top w:w="28" w:type="dxa"/>
          <w:left w:w="28" w:type="dxa"/>
          <w:bottom w:w="28" w:type="dxa"/>
          <w:right w:w="28" w:type="dxa"/>
        </w:tblCellMar>
      </w:tblPr>
      <w:tblGrid>
        <w:gridCol w:w="364"/>
        <w:gridCol w:w="320"/>
        <w:gridCol w:w="320"/>
        <w:gridCol w:w="315"/>
        <w:gridCol w:w="315"/>
        <w:gridCol w:w="315"/>
        <w:gridCol w:w="198"/>
        <w:gridCol w:w="198"/>
        <w:gridCol w:w="280"/>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6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55 East 52nd Street</w:t>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New York,</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New York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10055</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(212) 857-3100 </w:t>
      </w:r>
    </w:p>
    <w:p>
      <w:pPr>
        <w:pStyle w:val="TextBody"/>
        <w:bidi w:val="0"/>
        <w:spacing w:lineRule="auto" w:line="288" w:before="0" w:after="0"/>
        <w:ind w:left="0" w:right="0" w:firstLine="450"/>
        <w:jc w:val="center"/>
        <w:rPr>
          <w:rFonts w:ascii="Times New Roman;serif" w:hAnsi="Times New Roman;serif"/>
          <w:b/>
          <w:color w:val="000000"/>
          <w:sz w:val="18"/>
        </w:rPr>
      </w:pPr>
      <w:r>
        <w:rPr>
          <w:rFonts w:ascii="Times New Roman;serif" w:hAnsi="Times New Roman;serif"/>
          <w:b/>
          <w:color w:val="000000"/>
          <w:sz w:val="18"/>
        </w:rPr>
        <w:t>N/A</w:t>
      </w:r>
    </w:p>
    <w:p>
      <w:pPr>
        <w:pStyle w:val="TextBody"/>
        <w:bidi w:val="0"/>
        <w:spacing w:lineRule="auto" w:line="288" w:before="0" w:after="0"/>
        <w:ind w:left="0" w:right="0" w:firstLine="450"/>
        <w:jc w:val="center"/>
        <w:rPr>
          <w:rFonts w:ascii="Times New Roman;serif" w:hAnsi="Times New Roman;serif"/>
          <w:b/>
          <w:color w:val="000000"/>
          <w:sz w:val="18"/>
        </w:rPr>
      </w:pPr>
      <w:r>
        <w:rPr>
          <w:rFonts w:ascii="Times New Roman;serif" w:hAnsi="Times New Roman;serif"/>
          <w:b/>
          <w:color w:val="000000"/>
          <w:sz w:val="18"/>
        </w:rPr>
        <w:t>(Former name, former address and former fiscal year, if changed since last report)</w:t>
      </w:r>
    </w:p>
    <w:p>
      <w:pPr>
        <w:pStyle w:val="TextBody"/>
        <w:bidi w:val="0"/>
        <w:spacing w:before="0" w:after="0"/>
        <w:ind w:left="0" w:right="0" w:firstLine="450"/>
        <w:jc w:val="center"/>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32" w:type="dxa"/>
        <w:jc w:val="center"/>
        <w:tblInd w:w="0" w:type="dxa"/>
        <w:tblLayout w:type="fixed"/>
        <w:tblCellMar>
          <w:top w:w="28" w:type="dxa"/>
          <w:left w:w="28" w:type="dxa"/>
          <w:bottom w:w="28" w:type="dxa"/>
          <w:right w:w="28" w:type="dxa"/>
        </w:tblCellMar>
      </w:tblPr>
      <w:tblGrid>
        <w:gridCol w:w="1442"/>
        <w:gridCol w:w="1269"/>
        <w:gridCol w:w="1278"/>
        <w:gridCol w:w="454"/>
        <w:gridCol w:w="454"/>
        <w:gridCol w:w="456"/>
        <w:gridCol w:w="1019"/>
        <w:gridCol w:w="1019"/>
        <w:gridCol w:w="1441"/>
      </w:tblGrid>
      <w:tr>
        <w:trPr/>
        <w:tc>
          <w:tcPr>
            <w:tcW w:w="1442"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 Common Stock, par value $0.01 per share</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EVR</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New York Stock Exchange</w:t>
            </w:r>
          </w:p>
        </w:tc>
      </w:tr>
    </w:tbl>
    <w:p>
      <w:pPr>
        <w:pStyle w:val="TextBody"/>
        <w:bidi w:val="0"/>
        <w:spacing w:before="0" w:after="0"/>
        <w:jc w:val="center"/>
        <w:rPr/>
      </w:pPr>
      <w:r>
        <w:rPr/>
      </w:r>
    </w:p>
    <w:p>
      <w:pPr>
        <w:pStyle w:val="TextBody"/>
        <w:bidi w:val="0"/>
        <w:spacing w:lineRule="auto" w:line="288" w:before="60" w:after="283"/>
        <w:ind w:left="0" w:right="0" w:firstLine="495"/>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r>
        <w:rPr>
          <w:color w:val="000000"/>
        </w:rPr>
        <w:t xml:space="preserve">☐ </w:t>
      </w:r>
    </w:p>
    <w:p>
      <w:pPr>
        <w:pStyle w:val="TextBody"/>
        <w:bidi w:val="0"/>
        <w:spacing w:before="60" w:after="283"/>
        <w:ind w:left="0" w:right="0" w:firstLine="495"/>
        <w:jc w:val="left"/>
        <w:rPr/>
      </w:pPr>
      <w:r>
        <w:rPr/>
      </w:r>
    </w:p>
    <w:p>
      <w:pPr>
        <w:pStyle w:val="TextBody"/>
        <w:bidi w:val="0"/>
        <w:spacing w:lineRule="auto" w:line="288" w:before="60" w:after="283"/>
        <w:ind w:left="0" w:right="0" w:firstLine="495"/>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r>
        <w:rPr>
          <w:color w:val="000000"/>
        </w:rPr>
        <w:t>☐</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403"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8"/>
        <w:gridCol w:w="678"/>
        <w:gridCol w:w="683"/>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60" w:after="283"/>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shell company (as defined in Rule 12b-2 of the Exchange Act).    Yes  ☐    No  ☒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18"/>
        </w:rPr>
      </w:pPr>
      <w:r>
        <w:rPr>
          <w:rFonts w:ascii="Times New Roman;serif" w:hAnsi="Times New Roman;serif"/>
          <w:b w:val="false"/>
          <w:color w:val="000000"/>
          <w:sz w:val="18"/>
        </w:rPr>
        <w:t>The number of shares of the registrant’s Class A common stock, par value $0.01 per share, outstanding as of April 23, 2026 was 38,682,484. The number of shares of the registrant’s Class B common stock, par value $0.01 per share, outstanding as of April 23, 2026 was 46 (excluding 54 shares of Class B common stock held by a subsidiary of the registrant).</w:t>
      </w:r>
    </w:p>
    <w:p>
      <w:pPr>
        <w:pStyle w:val="TextBody"/>
        <w:bidi w:val="0"/>
        <w:spacing w:before="0" w:after="0"/>
        <w:ind w:left="0" w:right="0" w:firstLine="45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d55c8df0a38248a4bad3569328277986_7">
        <w:r>
          <w:rPr>
            <w:rStyle w:val="InternetLink"/>
            <w:rFonts w:ascii="Times New Roman;serif" w:hAnsi="Times New Roman;serif"/>
            <w:b w:val="false"/>
            <w:color w:val="0000FF"/>
            <w:sz w:val="16"/>
            <w:u w:val="single"/>
          </w:rPr>
          <w:t>Table of Contents</w:t>
        </w:r>
      </w:hyperlink>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left"/>
        <w:rPr/>
      </w:pPr>
      <w:r>
        <w:rPr/>
      </w:r>
    </w:p>
    <w:p>
      <w:pPr>
        <w:pStyle w:val="TextBody"/>
        <w:bidi w:val="0"/>
        <w:spacing w:lineRule="auto" w:line="288" w:before="0" w:after="0"/>
        <w:ind w:left="0" w:right="0" w:firstLine="480"/>
        <w:jc w:val="both"/>
        <w:rPr/>
      </w:pPr>
      <w:r>
        <w:rPr>
          <w:rFonts w:ascii="Times New Roman;serif" w:hAnsi="Times New Roman;serif"/>
          <w:b w:val="false"/>
          <w:i/>
          <w:color w:val="000000"/>
          <w:sz w:val="20"/>
        </w:rPr>
        <w:t>In this report, references to "Evercore", the "Company", "we", "us", "our" refer to Evercore Inc., a Delaware corporation, and its consolidated subsidiaries. Unless the context otherwise requires, references to (1) "Evercore Inc." refer solely to Evercore Inc., and not to any of its consolidated subsidiaries and (2) "Evercore LP" refer solely to Evercore LP, a Delaware limited partnership, and not to any of its consolidated subsidiaries.</w:t>
      </w:r>
      <w:r>
        <w:rPr>
          <w:color w:val="000000"/>
        </w:rPr>
        <w:t> </w:t>
      </w:r>
    </w:p>
    <w:tbl>
      <w:tblPr>
        <w:tblW w:w="10205" w:type="dxa"/>
        <w:jc w:val="left"/>
        <w:tblInd w:w="0" w:type="dxa"/>
        <w:tblLayout w:type="fixed"/>
        <w:tblCellMar>
          <w:top w:w="28" w:type="dxa"/>
          <w:left w:w="28" w:type="dxa"/>
          <w:bottom w:w="28" w:type="dxa"/>
          <w:right w:w="28" w:type="dxa"/>
        </w:tblCellMar>
      </w:tblPr>
      <w:tblGrid>
        <w:gridCol w:w="459"/>
        <w:gridCol w:w="400"/>
        <w:gridCol w:w="400"/>
        <w:gridCol w:w="2817"/>
        <w:gridCol w:w="2807"/>
        <w:gridCol w:w="2807"/>
        <w:gridCol w:w="149"/>
        <w:gridCol w:w="149"/>
        <w:gridCol w:w="217"/>
      </w:tblGrid>
      <w:tr>
        <w:trPr/>
        <w:tc>
          <w:tcPr>
            <w:tcW w:w="45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817" w:type="dxa"/>
            <w:tcBorders/>
            <w:vAlign w:val="center"/>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9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55c8df0a38248a4bad3569328277986_10">
              <w:r>
                <w:rPr>
                  <w:rStyle w:val="InternetLink"/>
                  <w:rFonts w:ascii="Times New Roman;serif" w:hAnsi="Times New Roman;serif"/>
                  <w:b/>
                  <w:color w:val="0000FF"/>
                  <w:sz w:val="20"/>
                  <w:u w:val="single"/>
                </w:rPr>
                <w:t>Part I. Financial Information</w:t>
              </w:r>
            </w:hyperlink>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4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5c8df0a38248a4bad3569328277986_61">
              <w:r>
                <w:rPr>
                  <w:rStyle w:val="InternetLink"/>
                  <w:rFonts w:ascii="Times New Roman;serif" w:hAnsi="Times New Roman;serif"/>
                  <w:b w:val="false"/>
                  <w:color w:val="0000FF"/>
                  <w:sz w:val="20"/>
                  <w:u w:val="single"/>
                </w:rPr>
                <w:t>Financial Statements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5c8df0a38248a4bad3569328277986_61">
              <w:r>
                <w:rPr>
                  <w:rStyle w:val="InternetLink"/>
                  <w:rFonts w:ascii="Times New Roman;serif" w:hAnsi="Times New Roman;serif"/>
                  <w:b w:val="false"/>
                  <w:color w:val="0000FF"/>
                  <w:sz w:val="20"/>
                  <w:u w:val="single"/>
                </w:rPr>
                <w:t>3</w:t>
              </w:r>
            </w:hyperlink>
          </w:p>
        </w:tc>
      </w:tr>
      <w:tr>
        <w:trPr/>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4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5c8df0a38248a4bad3569328277986_4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5c8df0a38248a4bad3569328277986_43">
              <w:r>
                <w:rPr>
                  <w:rStyle w:val="InternetLink"/>
                  <w:rFonts w:ascii="Times New Roman;serif" w:hAnsi="Times New Roman;serif"/>
                  <w:b w:val="false"/>
                  <w:color w:val="0000FF"/>
                  <w:sz w:val="20"/>
                  <w:u w:val="single"/>
                </w:rPr>
                <w:t>36</w:t>
              </w:r>
            </w:hyperlink>
          </w:p>
        </w:tc>
      </w:tr>
      <w:tr>
        <w:trPr/>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3. </w:t>
            </w:r>
          </w:p>
        </w:tc>
        <w:tc>
          <w:tcPr>
            <w:tcW w:w="84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5c8df0a38248a4bad3569328277986_58">
              <w:r>
                <w:rPr>
                  <w:rStyle w:val="InternetLink"/>
                  <w:rFonts w:ascii="Times New Roman;serif" w:hAnsi="Times New Roman;serif"/>
                  <w:b w:val="false"/>
                  <w:color w:val="0000FF"/>
                  <w:sz w:val="20"/>
                  <w:u w:val="single"/>
                </w:rPr>
                <w:t>Quantitative and Qualitative Disclosures About Market Risk</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5c8df0a38248a4bad3569328277986_58">
              <w:r>
                <w:rPr>
                  <w:rStyle w:val="InternetLink"/>
                  <w:rFonts w:ascii="Times New Roman;serif" w:hAnsi="Times New Roman;serif"/>
                  <w:b w:val="false"/>
                  <w:color w:val="0000FF"/>
                  <w:sz w:val="20"/>
                  <w:u w:val="single"/>
                </w:rPr>
                <w:t>54</w:t>
              </w:r>
            </w:hyperlink>
          </w:p>
        </w:tc>
      </w:tr>
      <w:tr>
        <w:trPr/>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4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5c8df0a38248a4bad3569328277986_169">
              <w:r>
                <w:rPr>
                  <w:rStyle w:val="InternetLink"/>
                  <w:rFonts w:ascii="Times New Roman;serif" w:hAnsi="Times New Roman;serif"/>
                  <w:b w:val="false"/>
                  <w:color w:val="0000FF"/>
                  <w:sz w:val="20"/>
                  <w:u w:val="single"/>
                </w:rPr>
                <w:t>Controls and Procedures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5c8df0a38248a4bad3569328277986_169">
              <w:r>
                <w:rPr>
                  <w:rStyle w:val="InternetLink"/>
                  <w:rFonts w:ascii="Times New Roman;serif" w:hAnsi="Times New Roman;serif"/>
                  <w:b w:val="false"/>
                  <w:color w:val="0000FF"/>
                  <w:sz w:val="20"/>
                  <w:u w:val="single"/>
                </w:rPr>
                <w:t>54</w:t>
              </w:r>
            </w:hyperlink>
          </w:p>
        </w:tc>
      </w:tr>
      <w:tr>
        <w:trPr/>
        <w:tc>
          <w:tcPr>
            <w:tcW w:w="969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55c8df0a38248a4bad3569328277986_34">
              <w:r>
                <w:rPr>
                  <w:rStyle w:val="InternetLink"/>
                  <w:rFonts w:ascii="Times New Roman;serif" w:hAnsi="Times New Roman;serif"/>
                  <w:b/>
                  <w:color w:val="0000FF"/>
                  <w:sz w:val="20"/>
                  <w:u w:val="single"/>
                </w:rPr>
                <w:t>Part II. Other Information</w:t>
              </w:r>
            </w:hyperlink>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1. </w:t>
            </w:r>
          </w:p>
        </w:tc>
        <w:tc>
          <w:tcPr>
            <w:tcW w:w="84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5c8df0a38248a4bad3569328277986_28">
              <w:r>
                <w:rPr>
                  <w:rStyle w:val="InternetLink"/>
                  <w:rFonts w:ascii="Times New Roman;serif" w:hAnsi="Times New Roman;serif"/>
                  <w:b w:val="false"/>
                  <w:color w:val="0000FF"/>
                  <w:sz w:val="20"/>
                  <w:u w:val="single"/>
                </w:rPr>
                <w:t>Legal Proceedings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5c8df0a38248a4bad3569328277986_28">
              <w:r>
                <w:rPr>
                  <w:rStyle w:val="InternetLink"/>
                  <w:rFonts w:ascii="Times New Roman;serif" w:hAnsi="Times New Roman;serif"/>
                  <w:b w:val="false"/>
                  <w:color w:val="0000FF"/>
                  <w:sz w:val="20"/>
                  <w:u w:val="single"/>
                </w:rPr>
                <w:t>55</w:t>
              </w:r>
            </w:hyperlink>
          </w:p>
        </w:tc>
      </w:tr>
      <w:tr>
        <w:trPr/>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4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5c8df0a38248a4bad3569328277986_37">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5c8df0a38248a4bad3569328277986_37">
              <w:r>
                <w:rPr>
                  <w:rStyle w:val="InternetLink"/>
                  <w:rFonts w:ascii="Times New Roman;serif" w:hAnsi="Times New Roman;serif"/>
                  <w:b w:val="false"/>
                  <w:color w:val="0000FF"/>
                  <w:sz w:val="20"/>
                  <w:u w:val="single"/>
                </w:rPr>
                <w:t>55</w:t>
              </w:r>
            </w:hyperlink>
          </w:p>
        </w:tc>
      </w:tr>
      <w:tr>
        <w:trPr/>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4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5c8df0a38248a4bad3569328277986_172">
              <w:r>
                <w:rPr>
                  <w:rStyle w:val="InternetLink"/>
                  <w:rFonts w:ascii="Times New Roman;serif" w:hAnsi="Times New Roman;serif"/>
                  <w:b w:val="false"/>
                  <w:color w:val="0000FF"/>
                  <w:sz w:val="20"/>
                  <w:u w:val="single"/>
                </w:rPr>
                <w:t>Other Information</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5c8df0a38248a4bad3569328277986_172">
              <w:r>
                <w:rPr>
                  <w:rStyle w:val="InternetLink"/>
                  <w:rFonts w:ascii="Times New Roman;serif" w:hAnsi="Times New Roman;serif"/>
                  <w:b w:val="false"/>
                  <w:color w:val="0000FF"/>
                  <w:sz w:val="20"/>
                  <w:u w:val="single"/>
                </w:rPr>
                <w:t>55</w:t>
              </w:r>
            </w:hyperlink>
          </w:p>
        </w:tc>
      </w:tr>
      <w:tr>
        <w:trPr/>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4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5c8df0a38248a4bad3569328277986_199">
              <w:r>
                <w:rPr>
                  <w:rStyle w:val="InternetLink"/>
                  <w:rFonts w:ascii="Times New Roman;serif" w:hAnsi="Times New Roman;serif"/>
                  <w:b w:val="false"/>
                  <w:color w:val="0000FF"/>
                  <w:sz w:val="20"/>
                  <w:u w:val="single"/>
                </w:rPr>
                <w:t>Exhibits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5c8df0a38248a4bad3569328277986_199">
              <w:r>
                <w:rPr>
                  <w:rStyle w:val="InternetLink"/>
                  <w:rFonts w:ascii="Times New Roman;serif" w:hAnsi="Times New Roman;serif"/>
                  <w:b w:val="false"/>
                  <w:color w:val="0000FF"/>
                  <w:sz w:val="20"/>
                  <w:u w:val="single"/>
                </w:rPr>
                <w:t>56</w:t>
              </w:r>
            </w:hyperlink>
          </w:p>
        </w:tc>
      </w:tr>
      <w:tr>
        <w:trPr/>
        <w:tc>
          <w:tcPr>
            <w:tcW w:w="969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55c8df0a38248a4bad3569328277986_205">
              <w:r>
                <w:rPr>
                  <w:rStyle w:val="InternetLink"/>
                  <w:rFonts w:ascii="Times New Roman;serif" w:hAnsi="Times New Roman;serif"/>
                  <w:b/>
                  <w:color w:val="0000FF"/>
                  <w:sz w:val="20"/>
                  <w:u w:val="single"/>
                </w:rPr>
                <w:t>Signatures</w:t>
              </w:r>
            </w:hyperlink>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d55c8df0a38248a4bad3569328277986_7">
        <w:r>
          <w:rPr>
            <w:rStyle w:val="InternetLink"/>
            <w:rFonts w:ascii="Times New Roman;serif" w:hAnsi="Times New Roman;serif"/>
            <w:b w:val="false"/>
            <w:color w:val="0000FF"/>
            <w:sz w:val="16"/>
            <w:u w:val="single"/>
          </w:rPr>
          <w:t>Table of Contents</w:t>
        </w:r>
      </w:hyperlink>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tbl>
      <w:tblPr>
        <w:tblW w:w="2624" w:type="dxa"/>
        <w:jc w:val="center"/>
        <w:tblInd w:w="0" w:type="dxa"/>
        <w:tblLayout w:type="fixed"/>
        <w:tblCellMar>
          <w:top w:w="28" w:type="dxa"/>
          <w:left w:w="28" w:type="dxa"/>
          <w:bottom w:w="28" w:type="dxa"/>
          <w:right w:w="28" w:type="dxa"/>
        </w:tblCellMar>
      </w:tblPr>
      <w:tblGrid>
        <w:gridCol w:w="255"/>
        <w:gridCol w:w="223"/>
        <w:gridCol w:w="226"/>
        <w:gridCol w:w="562"/>
        <w:gridCol w:w="562"/>
        <w:gridCol w:w="796"/>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w:t>
            </w:r>
          </w:p>
        </w:tc>
      </w:tr>
    </w:tbl>
    <w:tbl>
      <w:tblPr>
        <w:tblW w:w="10200" w:type="dxa"/>
        <w:jc w:val="center"/>
        <w:tblInd w:w="0" w:type="dxa"/>
        <w:tblLayout w:type="fixed"/>
        <w:tblCellMar>
          <w:top w:w="28" w:type="dxa"/>
          <w:left w:w="28" w:type="dxa"/>
          <w:bottom w:w="28" w:type="dxa"/>
          <w:right w:w="28" w:type="dxa"/>
        </w:tblCellMar>
      </w:tblPr>
      <w:tblGrid>
        <w:gridCol w:w="3489"/>
        <w:gridCol w:w="3066"/>
        <w:gridCol w:w="3074"/>
        <w:gridCol w:w="167"/>
        <w:gridCol w:w="167"/>
        <w:gridCol w:w="237"/>
      </w:tblGrid>
      <w:tr>
        <w:trPr/>
        <w:tc>
          <w:tcPr>
            <w:tcW w:w="3489" w:type="dxa"/>
            <w:tcBorders/>
            <w:vAlign w:val="center"/>
          </w:tcPr>
          <w:p>
            <w:pPr>
              <w:pStyle w:val="TableContents"/>
              <w:bidi w:val="0"/>
              <w:spacing w:before="0" w:after="283"/>
              <w:jc w:val="left"/>
              <w:rPr>
                <w:sz w:val="4"/>
                <w:szCs w:val="4"/>
              </w:rPr>
            </w:pPr>
            <w:r>
              <w:rPr>
                <w:sz w:val="4"/>
                <w:szCs w:val="4"/>
              </w:rPr>
            </w:r>
          </w:p>
        </w:tc>
        <w:tc>
          <w:tcPr>
            <w:tcW w:w="3066" w:type="dxa"/>
            <w:tcBorders/>
            <w:vAlign w:val="center"/>
          </w:tcPr>
          <w:p>
            <w:pPr>
              <w:pStyle w:val="TableContents"/>
              <w:bidi w:val="0"/>
              <w:spacing w:before="0" w:after="283"/>
              <w:jc w:val="left"/>
              <w:rPr>
                <w:sz w:val="4"/>
                <w:szCs w:val="4"/>
              </w:rPr>
            </w:pPr>
            <w:r>
              <w:rPr>
                <w:sz w:val="4"/>
                <w:szCs w:val="4"/>
              </w:rPr>
            </w:r>
          </w:p>
        </w:tc>
        <w:tc>
          <w:tcPr>
            <w:tcW w:w="307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9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Condensed Consolidated Financial Statements (Unaudited)</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6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5c8df0a38248a4bad3569328277986_70">
              <w:r>
                <w:rPr>
                  <w:rStyle w:val="InternetLink"/>
                  <w:rFonts w:ascii="Times New Roman;serif" w:hAnsi="Times New Roman;serif"/>
                  <w:b w:val="false"/>
                  <w:color w:val="000080"/>
                  <w:sz w:val="20"/>
                  <w:u w:val="single"/>
                </w:rPr>
                <w:t>Condensed Consolidated Statements of Financial Condition as of March 31, 202</w:t>
              </w:r>
            </w:hyperlink>
            <w:hyperlink w:anchor="id55c8df0a38248a4bad3569328277986_70">
              <w:r>
                <w:rPr>
                  <w:rStyle w:val="InternetLink"/>
                  <w:rFonts w:ascii="Times New Roman;serif" w:hAnsi="Times New Roman;serif"/>
                  <w:b w:val="false"/>
                  <w:color w:val="000080"/>
                  <w:sz w:val="20"/>
                  <w:u w:val="single"/>
                </w:rPr>
                <w:t>6</w:t>
              </w:r>
            </w:hyperlink>
            <w:hyperlink w:anchor="id55c8df0a38248a4bad3569328277986_70">
              <w:r>
                <w:rPr>
                  <w:rStyle w:val="InternetLink"/>
                  <w:rFonts w:ascii="Times New Roman;serif" w:hAnsi="Times New Roman;serif"/>
                  <w:b w:val="false"/>
                  <w:color w:val="000080"/>
                  <w:sz w:val="20"/>
                  <w:u w:val="single"/>
                </w:rPr>
                <w:t xml:space="preserve"> and December 31, 202</w:t>
              </w:r>
            </w:hyperlink>
            <w:hyperlink w:anchor="id55c8df0a38248a4bad3569328277986_70">
              <w:r>
                <w:rPr>
                  <w:rStyle w:val="InternetLink"/>
                  <w:rFonts w:ascii="Times New Roman;serif" w:hAnsi="Times New Roman;serif"/>
                  <w:b w:val="false"/>
                  <w:color w:val="000080"/>
                  <w:sz w:val="20"/>
                  <w:u w:val="single"/>
                </w:rPr>
                <w:t>5</w:t>
              </w:r>
            </w:hyperlink>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d55c8df0a38248a4bad3569328277986_70">
              <w:r>
                <w:rPr>
                  <w:rStyle w:val="InternetLink"/>
                  <w:rFonts w:ascii="Times New Roman;serif" w:hAnsi="Times New Roman;serif"/>
                  <w:b w:val="false"/>
                  <w:color w:val="0000FF"/>
                  <w:sz w:val="20"/>
                  <w:u w:val="single"/>
                </w:rPr>
                <w:t>4</w:t>
              </w:r>
            </w:hyperlink>
          </w:p>
        </w:tc>
      </w:tr>
      <w:tr>
        <w:trPr/>
        <w:tc>
          <w:tcPr>
            <w:tcW w:w="96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5c8df0a38248a4bad3569328277986_73">
              <w:r>
                <w:rPr>
                  <w:rStyle w:val="InternetLink"/>
                  <w:rFonts w:ascii="Times New Roman;serif" w:hAnsi="Times New Roman;serif"/>
                  <w:b w:val="false"/>
                  <w:color w:val="0000FF"/>
                  <w:sz w:val="20"/>
                  <w:u w:val="single"/>
                </w:rPr>
                <w:t>Condensed Consolidated Statements of Operations for the three months ended March 31, 2026 and 2025</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5c8df0a38248a4bad3569328277986_73">
              <w:r>
                <w:rPr>
                  <w:rStyle w:val="InternetLink"/>
                  <w:rFonts w:ascii="Times New Roman;serif" w:hAnsi="Times New Roman;serif"/>
                  <w:b w:val="false"/>
                  <w:color w:val="0000FF"/>
                  <w:sz w:val="20"/>
                  <w:u w:val="single"/>
                </w:rPr>
                <w:t>5</w:t>
              </w:r>
            </w:hyperlink>
          </w:p>
        </w:tc>
      </w:tr>
      <w:tr>
        <w:trPr/>
        <w:tc>
          <w:tcPr>
            <w:tcW w:w="96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5c8df0a38248a4bad3569328277986_76">
              <w:r>
                <w:rPr>
                  <w:rStyle w:val="InternetLink"/>
                  <w:rFonts w:ascii="Times New Roman;serif" w:hAnsi="Times New Roman;serif"/>
                  <w:b w:val="false"/>
                  <w:color w:val="0000FF"/>
                  <w:sz w:val="20"/>
                  <w:u w:val="single"/>
                </w:rPr>
                <w:t>Condensed Consolidated Statements of Comprehensive Income for the three months ended March 31, 2026 and 2025</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5c8df0a38248a4bad3569328277986_76">
              <w:r>
                <w:rPr>
                  <w:rStyle w:val="InternetLink"/>
                  <w:rFonts w:ascii="Times New Roman;serif" w:hAnsi="Times New Roman;serif"/>
                  <w:b w:val="false"/>
                  <w:color w:val="0000FF"/>
                  <w:sz w:val="20"/>
                  <w:u w:val="single"/>
                </w:rPr>
                <w:t>6</w:t>
              </w:r>
            </w:hyperlink>
          </w:p>
        </w:tc>
      </w:tr>
      <w:tr>
        <w:trPr/>
        <w:tc>
          <w:tcPr>
            <w:tcW w:w="96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5c8df0a38248a4bad3569328277986_79">
              <w:r>
                <w:rPr>
                  <w:rStyle w:val="InternetLink"/>
                  <w:rFonts w:ascii="Times New Roman;serif" w:hAnsi="Times New Roman;serif"/>
                  <w:b w:val="false"/>
                  <w:color w:val="0000FF"/>
                  <w:sz w:val="20"/>
                  <w:u w:val="single"/>
                </w:rPr>
                <w:t>Condensed Consolidated Statements of Changes in Equity for the three months ended March 31, 2026 and 2025</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5c8df0a38248a4bad3569328277986_79">
              <w:r>
                <w:rPr>
                  <w:rStyle w:val="InternetLink"/>
                  <w:rFonts w:ascii="Times New Roman;serif" w:hAnsi="Times New Roman;serif"/>
                  <w:b w:val="false"/>
                  <w:color w:val="0000FF"/>
                  <w:sz w:val="20"/>
                  <w:u w:val="single"/>
                </w:rPr>
                <w:t>7</w:t>
              </w:r>
            </w:hyperlink>
          </w:p>
        </w:tc>
      </w:tr>
      <w:tr>
        <w:trPr/>
        <w:tc>
          <w:tcPr>
            <w:tcW w:w="96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5c8df0a38248a4bad3569328277986_82">
              <w:r>
                <w:rPr>
                  <w:rStyle w:val="InternetLink"/>
                  <w:rFonts w:ascii="Times New Roman;serif" w:hAnsi="Times New Roman;serif"/>
                  <w:b w:val="false"/>
                  <w:color w:val="000080"/>
                  <w:sz w:val="20"/>
                  <w:u w:val="single"/>
                </w:rPr>
                <w:t>Condensed Consolidated Statements of Cash Flows for the three months ended March 31, 202</w:t>
              </w:r>
            </w:hyperlink>
            <w:hyperlink w:anchor="id55c8df0a38248a4bad3569328277986_82">
              <w:r>
                <w:rPr>
                  <w:rStyle w:val="InternetLink"/>
                  <w:rFonts w:ascii="Times New Roman;serif" w:hAnsi="Times New Roman;serif"/>
                  <w:b w:val="false"/>
                  <w:color w:val="000080"/>
                  <w:sz w:val="20"/>
                  <w:u w:val="single"/>
                </w:rPr>
                <w:t>6</w:t>
              </w:r>
            </w:hyperlink>
            <w:hyperlink w:anchor="id55c8df0a38248a4bad3569328277986_82">
              <w:r>
                <w:rPr>
                  <w:rStyle w:val="InternetLink"/>
                  <w:rFonts w:ascii="Times New Roman;serif" w:hAnsi="Times New Roman;serif"/>
                  <w:b w:val="false"/>
                  <w:color w:val="000080"/>
                  <w:sz w:val="20"/>
                  <w:u w:val="single"/>
                </w:rPr>
                <w:t xml:space="preserve"> and 202</w:t>
              </w:r>
            </w:hyperlink>
            <w:hyperlink w:anchor="id55c8df0a38248a4bad3569328277986_82">
              <w:r>
                <w:rPr>
                  <w:rStyle w:val="InternetLink"/>
                  <w:rFonts w:ascii="Times New Roman;serif" w:hAnsi="Times New Roman;serif"/>
                  <w:b w:val="false"/>
                  <w:color w:val="000080"/>
                  <w:sz w:val="20"/>
                  <w:u w:val="single"/>
                </w:rPr>
                <w:t>5</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5c8df0a38248a4bad3569328277986_82">
              <w:r>
                <w:rPr>
                  <w:rStyle w:val="InternetLink"/>
                  <w:rFonts w:ascii="Times New Roman;serif" w:hAnsi="Times New Roman;serif"/>
                  <w:b w:val="false"/>
                  <w:color w:val="0000FF"/>
                  <w:sz w:val="20"/>
                  <w:u w:val="single"/>
                </w:rPr>
                <w:t>8</w:t>
              </w:r>
            </w:hyperlink>
          </w:p>
        </w:tc>
      </w:tr>
      <w:tr>
        <w:trPr/>
        <w:tc>
          <w:tcPr>
            <w:tcW w:w="96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55c8df0a38248a4bad3569328277986_85">
              <w:r>
                <w:rPr>
                  <w:rStyle w:val="InternetLink"/>
                  <w:rFonts w:ascii="Times New Roman;serif" w:hAnsi="Times New Roman;serif"/>
                  <w:b w:val="false"/>
                  <w:color w:val="0000FF"/>
                  <w:sz w:val="20"/>
                  <w:u w:val="single"/>
                </w:rPr>
                <w:t>Notes to Unaudited Condensed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5c8df0a38248a4bad3569328277986_85">
              <w:r>
                <w:rPr>
                  <w:rStyle w:val="InternetLink"/>
                  <w:rFonts w:ascii="Times New Roman;serif" w:hAnsi="Times New Roman;serif"/>
                  <w:b w:val="false"/>
                  <w:color w:val="0000FF"/>
                  <w:sz w:val="20"/>
                  <w:u w:val="single"/>
                </w:rPr>
                <w:t>9</w:t>
              </w:r>
            </w:hyperlink>
          </w:p>
        </w:tc>
      </w:tr>
    </w:tbl>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d55c8df0a38248a4bad3569328277986_7">
        <w:r>
          <w:rPr>
            <w:rStyle w:val="InternetLink"/>
            <w:rFonts w:ascii="Times New Roman;serif" w:hAnsi="Times New Roman;serif"/>
            <w:b w:val="false"/>
            <w:color w:val="0000FF"/>
            <w:sz w:val="16"/>
            <w:u w:val="single"/>
          </w:rPr>
          <w:t>Table of Contents</w:t>
        </w:r>
      </w:hyperlink>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FINANCIAL CONDITION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thousands, except share data)</w:t>
      </w:r>
    </w:p>
    <w:tbl>
      <w:tblPr>
        <w:tblW w:w="10205" w:type="dxa"/>
        <w:jc w:val="center"/>
        <w:tblInd w:w="0" w:type="dxa"/>
        <w:tblLayout w:type="fixed"/>
        <w:tblCellMar>
          <w:top w:w="28" w:type="dxa"/>
          <w:left w:w="28" w:type="dxa"/>
          <w:bottom w:w="28" w:type="dxa"/>
          <w:right w:w="28" w:type="dxa"/>
        </w:tblCellMar>
      </w:tblPr>
      <w:tblGrid>
        <w:gridCol w:w="2728"/>
        <w:gridCol w:w="2248"/>
        <w:gridCol w:w="2149"/>
        <w:gridCol w:w="200"/>
        <w:gridCol w:w="891"/>
        <w:gridCol w:w="111"/>
        <w:gridCol w:w="109"/>
        <w:gridCol w:w="109"/>
        <w:gridCol w:w="109"/>
        <w:gridCol w:w="214"/>
        <w:gridCol w:w="951"/>
        <w:gridCol w:w="119"/>
        <w:gridCol w:w="109"/>
        <w:gridCol w:w="158"/>
      </w:tblGrid>
      <w:tr>
        <w:trPr/>
        <w:tc>
          <w:tcPr>
            <w:tcW w:w="2728"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7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Assets</w:t>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Current Assets</w:t>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w:t>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985,987 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1,426,020 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Investment Securities and Certificates of Deposit (includes available-for-sale debt securities with an amortized cost of $877,606 at December 31, 2025)</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1,035,030 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1,580,638 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Accounts Receivable (net of allowances of $2,810 and $2,983 at March 31, 2026 and December 31, 2025, respectively)</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546,568 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555,812 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Receivable from Employees and Related Parties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74,661 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63,434 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Current Assets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168,311 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232,337 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Assets</w:t>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2,810,557 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3,858,241 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Investments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16,741 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16,898 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Deferred Tax Assets </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307,412 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297,361 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Right-of-Use Assets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448,973 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457,152 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Furniture, Equipment and Leasehold Improvements (net of accumulated depreciation and amortization of $176,143 and $170,272 at March 31, 2026 and December 31, 2025, respectively)</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187,075 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190,064 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Goodwill</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227,412 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230,783 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Intangible Assets (net of accumulated amortization of $7,316 and $3,727 at March 31, 2026 and December 31, 2025, respectively)</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25,871 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30,090 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290,232 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277,508 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Assets</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4,314,273 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5,358,097 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Liabilities and Equity</w:t>
            </w:r>
          </w:p>
        </w:tc>
        <w:tc>
          <w:tcPr>
            <w:tcW w:w="12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Current Liabilities</w:t>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Accrued Compensation and Benefits</w:t>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653,329 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1,381,322 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 and Accrued Expenses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39,061 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44,562 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Payable to Employees and Related Parties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200,489 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181,591 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Liabilities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61,111 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58,666 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Taxes Payable</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15,942 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Current Portion of Notes Payable</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47,981 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Current Liabilities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54,085 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53,357 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Liabilities</w:t>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1,016,100 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1,783,421 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Liabilities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497,434 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508,191 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Notes Payable</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539,749 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540,243 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Amounts Due Pursuant to Tax Receivable Agreements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60,450 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59,579 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Tax Liabilities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4,056 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4,652 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Long-term Liabilities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107,883 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142,145 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Liabilities</w:t>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2,225,672 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3,038,231 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Commitments and Contingencies (Note 16)</w:t>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Equity</w:t>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Evercore Inc. Stockholders' Equity</w:t>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Common Stock</w:t>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Class A, par value $0.01 per share (1,000,000,000 shares authorized, 89,656,198 and 87,572,820 issued at March 31, 2026 and December 31, 2025, respectively, and 38,676,527 and 38,522,790 outstanding at March 31, 2026 and December 31, 2025, respectively)</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Class B, par value $0.01 per share (1,000,000 shares authorized, 46 and 45 issued and outstanding at March 31, 2026 and December 31, 2025, respectively)</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Additional Paid-In Capital</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4,141,883 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4,024,496 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Other Comprehensive Income (Loss)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(23,199)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(13,128)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Retained Earnings </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2,846,337 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2,581,815 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Treasury Stock at Cost (50,979,671 and 49,050,030 shares at March 31, 2026 and December 31, 2025, respectively)</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(5,183,832)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(4,562,483)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Evercore Inc. Stockholders' Equity</w:t>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1,782,086 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2,031,576 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Noncontrolling Interest</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306,515 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288,290 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Equity</w:t>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2,088,601 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2,319,866 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Liabilities and Equity</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4,314,273 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5,358,097 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d55c8df0a38248a4bad3569328277986_7">
        <w:r>
          <w:rPr>
            <w:rStyle w:val="InternetLink"/>
            <w:rFonts w:ascii="Times New Roman;serif" w:hAnsi="Times New Roman;serif"/>
            <w:b w:val="false"/>
            <w:color w:val="0000FF"/>
            <w:sz w:val="16"/>
            <w:u w:val="single"/>
          </w:rPr>
          <w:t>Table of Contents</w:t>
        </w:r>
      </w:hyperlink>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and share amounts in thousands, except per share data)</w:t>
      </w:r>
    </w:p>
    <w:tbl>
      <w:tblPr>
        <w:tblW w:w="10205" w:type="dxa"/>
        <w:jc w:val="left"/>
        <w:tblInd w:w="0" w:type="dxa"/>
        <w:tblLayout w:type="fixed"/>
        <w:tblCellMar>
          <w:top w:w="28" w:type="dxa"/>
          <w:left w:w="28" w:type="dxa"/>
          <w:bottom w:w="28" w:type="dxa"/>
          <w:right w:w="28" w:type="dxa"/>
        </w:tblCellMar>
      </w:tblPr>
      <w:tblGrid>
        <w:gridCol w:w="2349"/>
        <w:gridCol w:w="2057"/>
        <w:gridCol w:w="2073"/>
        <w:gridCol w:w="229"/>
        <w:gridCol w:w="1067"/>
        <w:gridCol w:w="118"/>
        <w:gridCol w:w="118"/>
        <w:gridCol w:w="118"/>
        <w:gridCol w:w="118"/>
        <w:gridCol w:w="229"/>
        <w:gridCol w:w="903"/>
        <w:gridCol w:w="118"/>
        <w:gridCol w:w="109"/>
        <w:gridCol w:w="109"/>
        <w:gridCol w:w="109"/>
        <w:gridCol w:w="109"/>
        <w:gridCol w:w="109"/>
        <w:gridCol w:w="163"/>
      </w:tblGrid>
      <w:tr>
        <w:trPr/>
        <w:tc>
          <w:tcPr>
            <w:tcW w:w="2349"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 the Three Months Ended 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gridSpan w:val="4"/>
            <w:tcBorders/>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Banking &amp; Equities:</w:t>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Advisory Fees</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1,244,739 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557,349 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Fees</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55,068 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54,255 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 and Related Revenue</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62,658 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55,110 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 and Administration Fees</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 Including Interest and Investments</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2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1,400,469 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699,022 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12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1,391,578 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694,829 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904,070 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459,825 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and Equipment Rental</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25,731 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Professional Fees</w:t>
            </w:r>
            <w:r>
              <w:rPr>
                <w:rFonts w:ascii="Times New Roman;serif" w:hAnsi="Times New Roman;serif"/>
                <w:b w:val="false"/>
                <w:color w:val="000000"/>
                <w:sz w:val="13"/>
              </w:rPr>
              <w:t>(1)</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Travel and Related Expenses</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Technology and Information Services</w:t>
            </w:r>
            <w:r>
              <w:rPr>
                <w:rFonts w:ascii="Times New Roman;serif" w:hAnsi="Times New Roman;serif"/>
                <w:b w:val="false"/>
                <w:color w:val="000000"/>
                <w:sz w:val="13"/>
              </w:rPr>
              <w:t>(1)</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Execution, Clearing and Custody Fees</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Transition Costs</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2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1,060,852 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583,645 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from Equity Method Investments and Income Taxes</w:t>
            </w:r>
          </w:p>
        </w:tc>
        <w:tc>
          <w:tcPr>
            <w:tcW w:w="12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330,726 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111,184 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Investments</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2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331,777 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112,063 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(41,727)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2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322,721 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153,790 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Evercore Inc.</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301,235 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146,184 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Evercore Inc. Common Shareholders</w:t>
            </w:r>
          </w:p>
        </w:tc>
        <w:tc>
          <w:tcPr>
            <w:tcW w:w="2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301,235 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146,184 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Shares of Class A Common Stock Outstanding</w:t>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38,969 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41,850 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42,058 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Share Attributable to Evercore Inc. Common Shareholders:</w:t>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(1)Certain balances in prior periods were reclassified to conform to the current presentation. See Note 2 for further information.</w:t>
      </w:r>
    </w:p>
    <w:p>
      <w:pPr>
        <w:pStyle w:val="TextBody"/>
        <w:bidi w:val="0"/>
        <w:spacing w:before="0" w:after="0"/>
        <w:ind w:left="0" w:right="0" w:hanging="36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d55c8df0a38248a4bad3569328277986_7">
        <w:r>
          <w:rPr>
            <w:rStyle w:val="InternetLink"/>
            <w:rFonts w:ascii="Times New Roman;serif" w:hAnsi="Times New Roman;serif"/>
            <w:b w:val="false"/>
            <w:color w:val="0000FF"/>
            <w:sz w:val="16"/>
            <w:u w:val="single"/>
          </w:rPr>
          <w:t>Table of Contents</w:t>
        </w:r>
      </w:hyperlink>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tbl>
      <w:tblPr>
        <w:tblW w:w="8961" w:type="dxa"/>
        <w:jc w:val="left"/>
        <w:tblInd w:w="0" w:type="dxa"/>
        <w:tblLayout w:type="fixed"/>
        <w:tblCellMar>
          <w:top w:w="28" w:type="dxa"/>
          <w:left w:w="28" w:type="dxa"/>
          <w:bottom w:w="28" w:type="dxa"/>
          <w:right w:w="28" w:type="dxa"/>
        </w:tblCellMar>
      </w:tblPr>
      <w:tblGrid>
        <w:gridCol w:w="1894"/>
        <w:gridCol w:w="1660"/>
        <w:gridCol w:w="1680"/>
        <w:gridCol w:w="244"/>
        <w:gridCol w:w="955"/>
        <w:gridCol w:w="126"/>
        <w:gridCol w:w="126"/>
        <w:gridCol w:w="126"/>
        <w:gridCol w:w="126"/>
        <w:gridCol w:w="244"/>
        <w:gridCol w:w="955"/>
        <w:gridCol w:w="126"/>
        <w:gridCol w:w="109"/>
        <w:gridCol w:w="109"/>
        <w:gridCol w:w="109"/>
        <w:gridCol w:w="109"/>
        <w:gridCol w:w="109"/>
        <w:gridCol w:w="154"/>
      </w:tblGrid>
      <w:tr>
        <w:trPr/>
        <w:tc>
          <w:tcPr>
            <w:tcW w:w="1894"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 the Three Months Ended 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322,721 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153,790 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Securities and Investments, net</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 Gain (Loss), net</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(10,983)</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11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311,738 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162,276 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Evercore Inc.</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291,164 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154,031 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Unaudited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d55c8df0a38248a4bad3569328277986_7">
        <w:r>
          <w:rPr>
            <w:rStyle w:val="InternetLink"/>
            <w:rFonts w:ascii="Times New Roman;serif" w:hAnsi="Times New Roman;serif"/>
            <w:b w:val="false"/>
            <w:color w:val="0000FF"/>
            <w:sz w:val="16"/>
            <w:u w:val="single"/>
          </w:rPr>
          <w:t>Table of Contents</w:t>
        </w:r>
      </w:hyperlink>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thousands, except share data)</w:t>
      </w:r>
    </w:p>
    <w:p>
      <w:pPr>
        <w:pStyle w:val="TextBody"/>
        <w:bidi w:val="0"/>
        <w:spacing w:before="0" w:after="0"/>
        <w:jc w:val="center"/>
        <w:rPr/>
      </w:pPr>
      <w:r>
        <w:rPr/>
      </w:r>
    </w:p>
    <w:tbl>
      <w:tblPr>
        <w:tblW w:w="12783" w:type="dxa"/>
        <w:jc w:val="left"/>
        <w:tblInd w:w="0" w:type="dxa"/>
        <w:tblLayout w:type="fixed"/>
        <w:tblCellMar>
          <w:top w:w="28" w:type="dxa"/>
          <w:left w:w="28" w:type="dxa"/>
          <w:bottom w:w="28" w:type="dxa"/>
          <w:right w:w="28" w:type="dxa"/>
        </w:tblCellMar>
      </w:tblPr>
      <w:tblGrid>
        <w:gridCol w:w="581"/>
        <w:gridCol w:w="234"/>
        <w:gridCol w:w="236"/>
        <w:gridCol w:w="420"/>
        <w:gridCol w:w="421"/>
        <w:gridCol w:w="171"/>
        <w:gridCol w:w="121"/>
        <w:gridCol w:w="121"/>
        <w:gridCol w:w="121"/>
        <w:gridCol w:w="201"/>
        <w:gridCol w:w="419"/>
        <w:gridCol w:w="125"/>
        <w:gridCol w:w="109"/>
        <w:gridCol w:w="109"/>
        <w:gridCol w:w="109"/>
        <w:gridCol w:w="181"/>
        <w:gridCol w:w="766"/>
        <w:gridCol w:w="109"/>
        <w:gridCol w:w="109"/>
        <w:gridCol w:w="109"/>
        <w:gridCol w:w="109"/>
        <w:gridCol w:w="212"/>
        <w:gridCol w:w="681"/>
        <w:gridCol w:w="128"/>
        <w:gridCol w:w="109"/>
        <w:gridCol w:w="109"/>
        <w:gridCol w:w="109"/>
        <w:gridCol w:w="181"/>
        <w:gridCol w:w="766"/>
        <w:gridCol w:w="109"/>
        <w:gridCol w:w="109"/>
        <w:gridCol w:w="109"/>
        <w:gridCol w:w="109"/>
        <w:gridCol w:w="420"/>
        <w:gridCol w:w="421"/>
        <w:gridCol w:w="171"/>
        <w:gridCol w:w="109"/>
        <w:gridCol w:w="109"/>
        <w:gridCol w:w="109"/>
        <w:gridCol w:w="181"/>
        <w:gridCol w:w="766"/>
        <w:gridCol w:w="109"/>
        <w:gridCol w:w="109"/>
        <w:gridCol w:w="109"/>
        <w:gridCol w:w="109"/>
        <w:gridCol w:w="197"/>
        <w:gridCol w:w="704"/>
        <w:gridCol w:w="120"/>
        <w:gridCol w:w="109"/>
        <w:gridCol w:w="109"/>
        <w:gridCol w:w="109"/>
        <w:gridCol w:w="181"/>
        <w:gridCol w:w="766"/>
        <w:gridCol w:w="154"/>
      </w:tblGrid>
      <w:tr>
        <w:trPr/>
        <w:tc>
          <w:tcPr>
            <w:tcW w:w="58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2"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March 31, 2026</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Equity</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at December 31, 2025</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87,572,820 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876 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4,024,496 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(13,128)</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2,581,815 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(49,050,030)</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(4,562,483)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288,290 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2,319,866 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301,235 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21,486 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322,721 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Income (Loss)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(10,071)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(912)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(10,983)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Treasury Stock Purchases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(1,929,641)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(621,349)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(621,349)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Evercore LP Units Exchanged for Class A Common Stock</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65,280 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(6,856)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Equity-based Compensation Awards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2,018,098 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106,051 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16,140 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122,211 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Dividends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(36,713)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(36,713)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Noncontrolling Interest (Note 13)</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(11,633)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(11,633)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at March 31, 2026</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89,656,198 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897 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4,141,883 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(23,199)</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2,846,337 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(50,979,671)</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(5,183,832)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306,515 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2,088,601 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10720" w:type="dxa"/>
            <w:gridSpan w:val="48"/>
            <w:tcBorders/>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2776" w:type="dxa"/>
            <w:gridSpan w:val="12"/>
            <w:tcBorders/>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1732" w:type="dxa"/>
            <w:gridSpan w:val="51"/>
            <w:tcBorders/>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1732" w:type="dxa"/>
            <w:gridSpan w:val="51"/>
            <w:tcBorders/>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1732" w:type="dxa"/>
            <w:gridSpan w:val="51"/>
            <w:tcBorders/>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2"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March 31, 2025</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Equity</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at December 31, 2024</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84,767,922 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3,510,356 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(36,057)</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2,133,919 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(46,651,572)</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(3,901,424)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234,166 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1,941,808 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146,184 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7,606 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153,790 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Income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7,847 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639 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Treasury Stock Purchases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(1,554,522)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(405,960)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(405,960)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Evercore LP Units Exchanged for Class A Common Stock</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23,692 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(2,195)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Equity-based Compensation Awards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2,071,587 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83,390 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12,727 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96,138 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Dividends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(34,979)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(34,979)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Noncontrolling Interest (Note 13)</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(7,848)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(7,848)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at March 31, 2025</w:t>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86,863,201 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869 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3,596,161 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(28,210)</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2,245,124 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(48,206,094)</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(4,307,384)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245,095 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1,751,655 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10720" w:type="dxa"/>
            <w:gridSpan w:val="48"/>
            <w:tcBorders/>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2776" w:type="dxa"/>
            <w:gridSpan w:val="12"/>
            <w:tcBorders/>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Unaudited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d55c8df0a38248a4bad3569328277986_7">
        <w:r>
          <w:rPr>
            <w:rStyle w:val="InternetLink"/>
            <w:rFonts w:ascii="Times New Roman;serif" w:hAnsi="Times New Roman;serif"/>
            <w:b w:val="false"/>
            <w:color w:val="0000FF"/>
            <w:sz w:val="16"/>
            <w:u w:val="single"/>
          </w:rPr>
          <w:t>Table of Contents</w:t>
        </w:r>
      </w:hyperlink>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tbl>
      <w:tblPr>
        <w:tblW w:w="8859" w:type="dxa"/>
        <w:jc w:val="center"/>
        <w:tblInd w:w="0" w:type="dxa"/>
        <w:tblLayout w:type="fixed"/>
        <w:tblCellMar>
          <w:top w:w="28" w:type="dxa"/>
          <w:left w:w="28" w:type="dxa"/>
          <w:bottom w:w="28" w:type="dxa"/>
          <w:right w:w="28" w:type="dxa"/>
        </w:tblCellMar>
      </w:tblPr>
      <w:tblGrid>
        <w:gridCol w:w="1990"/>
        <w:gridCol w:w="1749"/>
        <w:gridCol w:w="1766"/>
        <w:gridCol w:w="252"/>
        <w:gridCol w:w="859"/>
        <w:gridCol w:w="152"/>
        <w:gridCol w:w="152"/>
        <w:gridCol w:w="152"/>
        <w:gridCol w:w="152"/>
        <w:gridCol w:w="252"/>
        <w:gridCol w:w="859"/>
        <w:gridCol w:w="152"/>
        <w:gridCol w:w="109"/>
        <w:gridCol w:w="109"/>
        <w:gridCol w:w="154"/>
      </w:tblGrid>
      <w:tr>
        <w:trPr/>
        <w:tc>
          <w:tcPr>
            <w:tcW w:w="1990"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Cash Flows From Operating Activities</w:t>
            </w:r>
          </w:p>
        </w:tc>
        <w:tc>
          <w:tcPr>
            <w:tcW w:w="12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322,721 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153,790 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Adjustments to Reconcile Net Income to Net Cash Provided by (Used In) Operating Activities:</w:t>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Losses on Investments, Investment Securities and Contingent Consideration</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8,573 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7,120 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Method Investments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Equity-Based and Other Deferred Compensation </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195,777 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148,425 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Noncash Lease Expense</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14,003 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12,209 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Depreciation, Amortization and Accretion, net</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13,706 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2,565 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Bad Debt Expense</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2,590 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Taxes</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Decrease (Increase) in Operating Assets:</w:t>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Investment Securities</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5,734 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6,443 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Receivable</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7,100 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(47,143)</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Receivable from Employees and Related Parties</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(11,827)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(4,160)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Assets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48,995 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(51,284)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(Decrease) Increase in Operating Liabilities:</w:t>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Accrued Compensation and Benefits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(756,376)</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(752,903)</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Payable and Accrued Expenses</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(7,006)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9,308 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Payables to Employees and Related Parties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21,632 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35,727 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Taxes Payable</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(7,917)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(2,764)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Liabilities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(79,912)</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(70,454)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Provided by (Used in) Operating Activities</w:t>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(225,863)</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(549,653)</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Cash Flows From Investing Activities</w:t>
            </w:r>
          </w:p>
        </w:tc>
        <w:tc>
          <w:tcPr>
            <w:tcW w:w="12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of Private Equity Investments</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Investment Securities:</w:t>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Sales and Maturities of Investment Securities</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1,440,079 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1,043,959 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Purchases of Investment Securities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(749,409)</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(395,187)</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Maturity of Certificates of Deposit</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40,578 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49,434 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 of Certificates of Deposit</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(203,618)</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 of Furniture, Equipment and Leasehold Improvements</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(3,103)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(19,660)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Provided by Investing Activities</w:t>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524,527 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679,761 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Cash Flows From Financing Activities</w:t>
            </w:r>
          </w:p>
        </w:tc>
        <w:tc>
          <w:tcPr>
            <w:tcW w:w="12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Noncontrolling Interests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Interests</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(11,633)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(8,365)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Payments Under Tax Receivable Agreement</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(667)</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(597)</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Payment of Notes Payable</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(48,000)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 of Treasury Stock and Noncontrolling Interests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(621,349)</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(405,674)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Dividends</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(49,790)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(46,452)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Provided by (Used in) Financing Activities</w:t>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(731,439)</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(460,857)</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Effect of Exchange Rate Changes on Cash</w:t>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(7,273)</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11,382 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Net Increase (Decrease) in Cash, Cash Equivalents and Restricted Cash</w:t>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(440,048)</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(319,367)</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Cash, Cash Equivalents and Restricted Cash – Beginning of Period</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1,436,140 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882,107 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Cash, Cash Equivalents and Restricted Cash – End of Period</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996,092 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562,740 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SUPPLEMENTAL CASH FLOW DISCLOSURE</w:t>
            </w:r>
          </w:p>
        </w:tc>
        <w:tc>
          <w:tcPr>
            <w:tcW w:w="12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Payments for Interest</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1,797 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1,790 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Payments for Income Taxes</w:t>
            </w:r>
          </w:p>
        </w:tc>
        <w:tc>
          <w:tcPr>
            <w:tcW w:w="25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43,470 </w:t>
            </w:r>
          </w:p>
        </w:tc>
        <w:tc>
          <w:tcPr>
            <w:tcW w:w="15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27,107 </w:t>
            </w:r>
          </w:p>
        </w:tc>
        <w:tc>
          <w:tcPr>
            <w:tcW w:w="15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Accrued Dividends</w:t>
            </w:r>
          </w:p>
        </w:tc>
        <w:tc>
          <w:tcPr>
            <w:tcW w:w="25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3,723 </w:t>
            </w:r>
          </w:p>
        </w:tc>
        <w:tc>
          <w:tcPr>
            <w:tcW w:w="15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3,763 </w:t>
            </w:r>
          </w:p>
        </w:tc>
        <w:tc>
          <w:tcPr>
            <w:tcW w:w="15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417" w:before="0" w:after="0"/>
        <w:jc w:val="left"/>
        <w:rPr/>
      </w:pPr>
      <w:hyperlink w:anchor="id55c8df0a38248a4bad356932827798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 – Organization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Evercore Inc., together with its subsidiaries (the "Company"), is an investment banking and investment management firm, incorporated in Delaware and headquartered in New York, New York. The Company is a holding company which owns a controlling interest in, and is the sole general partner of, Evercore LP, a Delaware limited partnership ("Evercore LP"). The Company operates from its offices and through its affiliates in the Americas, Europe, the Middle East and Asia.</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Investment Banking &amp; Equities segment includes the investment banking business through which the Company provides advice to clients on significant mergers, acquisitions, divestitures, shareholder activism and other strategic corporate transactions, with a particular focus on advising prominent multinational corporations and substantial private equity firms on large, complex transactions. The Company also provides liability management and restructuring advice to companies in financial transition, as well as to creditors, shareholders and potential acquirers. In addition, the Company provides its clients with capital markets advice, underwrites securities offerings, raises funds for financial sponsors and provides advisory services focused on partnerships and private funds interests, as well as on primary and secondary transactions for real estate oriented financial sponsors and private equity interests. The Investment Banking &amp; Equities segment also includes the equities business through which the Company offers macroeconomic, policy and fundamental equity research and agency-based equity securities trading for institutional investors. The Company's interest in Seneca Advisors LTDA ("Seneca Evercore"), which is accounted for under the equity method of accounting, is also reflected in the Investment Banking &amp; Equities segment. In 2025, the Company acquired Robey Warshaw, an independent advisory firm headquartered in the United Kingdom.</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Investment Management segment includes the wealth management business through which the Company provides investment advisory, wealth management and fiduciary services for high-net-worth individuals and associated entities, and the private equity business, which holds interests in private equity funds which are not managed by the Company. The Investment Management segment also includes an interest in Atalanta Sosnoff Capital, LLC ("Atalanta Sosnoff"), which is accounted for under the equity method of accounting.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2 – Significant Accounting Policies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a further discussion of the Company's accounting policies, refer to the Company's Annual Report on Form 10-K for the year ended December 31, 2025.</w:t>
      </w:r>
    </w:p>
    <w:p>
      <w:pPr>
        <w:pStyle w:val="TextBody"/>
        <w:bidi w:val="0"/>
        <w:spacing w:lineRule="auto" w:line="288" w:before="180" w:after="283"/>
        <w:ind w:left="0" w:right="0" w:firstLine="450"/>
        <w:jc w:val="both"/>
        <w:rPr/>
      </w:pPr>
      <w:r>
        <w:rPr>
          <w:rFonts w:ascii="Times New Roman;serif" w:hAnsi="Times New Roman;serif"/>
          <w:b/>
          <w:i/>
          <w:color w:val="000000"/>
          <w:sz w:val="20"/>
        </w:rPr>
        <w:t>Basis of Presentation</w:t>
      </w:r>
      <w:r>
        <w:rPr>
          <w:color w:val="000000"/>
        </w:rPr>
        <w:t xml:space="preserve"> – </w:t>
      </w:r>
      <w:r>
        <w:rPr>
          <w:rFonts w:ascii="Times New Roman;serif" w:hAnsi="Times New Roman;serif"/>
          <w:b w:val="false"/>
          <w:color w:val="000000"/>
          <w:sz w:val="20"/>
        </w:rPr>
        <w:t>The accompanying unaudited condensed consolidated financial statements of the Company have been prepared in accordance with the instructions to Form 10-Q. As permitted by the rules and regulations of the United States Securities and Exchange Commission, the unaudited condensed consolidated financial statements contain certain condensed financial information and exclude certain footnote disclosures normally included in audited consolidated financial statements prepared in accordance with accounting principles generally accepted in the United States of America ("U.S. GAAP"). The accompanying condensed consolidated financial statements are unaudited and are prepared in accordance with U.S. GAAP. In the opinion of the Company's management, the accompanying unaudited condensed consolidated financial statements contain all adjustments, including normal recurring accruals, necessary to fairly present the accompanying unaudited condensed consolidated financial statements. These unaudited condensed consolidated financial statements should be read in conjunction with the audited consolidated financial statements included in the Company's annual report on Form 10-K for the year ended December 31, 2025. The December 31, 2025 Unaudited Condensed Consolidated Statement of Financial Condition data was derived from audited consolidated financial statements, but does not include all disclosures required by U.S. GAAP.</w:t>
      </w:r>
      <w:r>
        <w:rPr>
          <w:color w:val="000000"/>
        </w:rPr>
        <w:t xml:space="preserve"> </w:t>
      </w:r>
      <w:r>
        <w:rPr>
          <w:rFonts w:ascii="Times New Roman;serif" w:hAnsi="Times New Roman;serif"/>
          <w:b w:val="false"/>
          <w:color w:val="000000"/>
          <w:sz w:val="20"/>
        </w:rPr>
        <w:t>Operating results for interim periods are not necessarily indicative of the results that may be expected for the fiscal year ending December 31, 2026.</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of the Company are comprised of the consolidation of Evercore LP and Evercore LP's wholly-owned and majority-owned direct and indirect subsidiaries, including Evercore Group L.L.C. ("EGL"), a registered broker-dealer in the U.S., and Evercore Partners International LLP ("Evercore U.K."), an investment firm in the U.K. The Company's policy is to consolidate all subsidiaries in which it has a controlling financial interest, as well as any variable interest entities ("VIEs") where the Company is deemed to be the primary beneficiary, when it has the power to make the decisions that most significantly affect the economic performance of the VIE and has the obligation to absorb significant losses or the right to receive benefits that could potentially be significant to the VIE. The Company reviews factors, including the rights of the equity holders and obligations of equity holders to absorb losses or receive expected residual returns, to determine if the investment is a VIE. In evaluating whether the Company is the primary beneficiary, the Company evaluates its economic interests in the entity held either directly or indirectly by the Company. The consolidation analysis is generally performed qualitatively. This analysis, which requires judgment, is performed at each reporting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417" w:before="0" w:after="0"/>
        <w:jc w:val="left"/>
        <w:rPr/>
      </w:pPr>
      <w:hyperlink w:anchor="id55c8df0a38248a4bad356932827798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Evercore LP is a VIE and the Company is the primary beneficiary. Specifically, the Company has the majority economic interest in Evercore LP and has decision making authority that significantly affects the economic performance of the entity while the limited partners have no kick-out or substantive participating rights. The assets and liabilities of Evercore LP represent substantially all of the consolidated assets and liabilities of the Company with the exception of U.S. corporate taxes and related items, which are presented on the Company's (Parent Company Only) Condensed Statements of Financial Condition in Note 24 to the Company's consolidated financial statements in the Company's Annual Report on Form 10-K for the year ended December 31, 2025.</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Evercore ISI International Limited ("Evercore ISI U.K."), Evercore U.K., Evercore (Japan) Ltd. ("Evercore Japan"), Evercore Consulting (Beijing) Co. Ltd. ("Evercore Beijing"), Evercore Partners Canada Ltd. ("Evercore Canada"), Evercore Asia Limited ("Evercore Hong Kong"), Evercore Asia (Singapore) Pte. Ltd. ("Evercore Singapore") and PT Evercore Advisory Indonesia ("Evercore Indonesia") are also VIEs, and the Company is the primary beneficiary of these VIEs. Specifically for Evercore ISI U.K., Evercore Japan, Evercore Beijing, Evercore Canada, Evercore Hong Kong, Evercore Singapore and Evercore Indonesia, the Company provides financial support through transfer pricing agreements with these entities, which exposes the Company to losses that are potentially significant to these entities, and has decision making authority that significantly affects the economic performance of these entities. The Company has the majority economic interest in Evercore U.K. and has decision making authority that significantly affects the economic performance of this entity. The Company included in its Unaudited Condensed Consolidated Statements of Financial Condition Evercore ISI U.K., Evercore U.K., Evercore Japan, Evercore Beijing, Evercore Canada, Evercore Hong Kong, Evercore Singapore and Evercore Indonesia assets of $1,133,162 and liabilities of $342,720 at March 31, 2026 and assets of $1,269,753 and liabilities of $485,879 at December 31, 2025.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All intercompany balances and transactions with the Company's subsidiaries have been eliminated upon consolidation.</w:t>
      </w:r>
    </w:p>
    <w:p>
      <w:pPr>
        <w:pStyle w:val="TextBody"/>
        <w:bidi w:val="0"/>
        <w:spacing w:lineRule="auto" w:line="288" w:before="180" w:after="283"/>
        <w:ind w:left="0" w:right="0" w:firstLine="495"/>
        <w:jc w:val="both"/>
        <w:rPr/>
      </w:pPr>
      <w:r>
        <w:rPr>
          <w:rFonts w:ascii="Times New Roman;serif" w:hAnsi="Times New Roman;serif"/>
          <w:b/>
          <w:i/>
          <w:color w:val="000000"/>
          <w:sz w:val="20"/>
        </w:rPr>
        <w:t xml:space="preserve">Reclassifications </w:t>
      </w:r>
      <w:r>
        <w:rPr>
          <w:color w:val="000000"/>
        </w:rPr>
        <w:t xml:space="preserve">– </w:t>
      </w:r>
      <w:r>
        <w:rPr>
          <w:rFonts w:ascii="Times New Roman;serif" w:hAnsi="Times New Roman;serif"/>
          <w:b w:val="false"/>
          <w:color w:val="000000"/>
          <w:sz w:val="20"/>
        </w:rPr>
        <w:t>During the second quarter of 2025, certain balances on the Unaudited Condensed Consolidated Statements of Operations for prior periods were reclassified to conform to the current presentation, with no impact on previously reported Net Income.</w:t>
      </w:r>
    </w:p>
    <w:p>
      <w:pPr>
        <w:pStyle w:val="TextBody"/>
        <w:bidi w:val="0"/>
        <w:spacing w:lineRule="auto" w:line="288" w:before="180" w:after="283"/>
        <w:ind w:left="0" w:right="0" w:firstLine="630"/>
        <w:jc w:val="both"/>
        <w:rPr/>
      </w:pPr>
      <w:r>
        <w:rPr>
          <w:rFonts w:ascii="Times New Roman;serif" w:hAnsi="Times New Roman;serif"/>
          <w:b/>
          <w:i/>
          <w:color w:val="000000"/>
          <w:sz w:val="20"/>
        </w:rPr>
        <w:t>Technology and Information Services</w:t>
      </w:r>
      <w:r>
        <w:rPr>
          <w:color w:val="000000"/>
        </w:rPr>
        <w:t xml:space="preserve"> – </w:t>
      </w:r>
      <w:r>
        <w:rPr>
          <w:rFonts w:ascii="Times New Roman;serif" w:hAnsi="Times New Roman;serif"/>
          <w:b w:val="false"/>
          <w:color w:val="000000"/>
          <w:sz w:val="20"/>
        </w:rPr>
        <w:t>The Company renamed "Communications and Information Services" to "Technology and Information Services" on the Unaudited Condensed Consolidated Statements of Operations and reclassified $10,223 of technology and related expenses from "Professional Fees" to "Technology and Information Services" for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3 – Recent Accounting Pronouncements</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 xml:space="preserve">ASU 2024-03 </w:t>
      </w:r>
      <w:r>
        <w:rPr>
          <w:color w:val="000000"/>
        </w:rPr>
        <w:t xml:space="preserve">– </w:t>
      </w:r>
      <w:r>
        <w:rPr>
          <w:rFonts w:ascii="Times New Roman;serif" w:hAnsi="Times New Roman;serif"/>
          <w:b w:val="false"/>
          <w:color w:val="000000"/>
          <w:sz w:val="20"/>
        </w:rPr>
        <w:t xml:space="preserve">In November 2024, the Financial Accounting Standards Board ("FASB") issued Accounting Standards Update ("ASU") No. 2024-03, </w:t>
      </w:r>
      <w:r>
        <w:rPr>
          <w:rFonts w:ascii="Times New Roman;serif" w:hAnsi="Times New Roman;serif"/>
          <w:b w:val="false"/>
          <w:i/>
          <w:color w:val="000000"/>
          <w:sz w:val="20"/>
        </w:rPr>
        <w:t xml:space="preserve">"Income Statement </w:t>
      </w:r>
      <w:r>
        <w:rPr>
          <w:color w:val="000000"/>
        </w:rPr>
        <w:t xml:space="preserve">– </w:t>
      </w:r>
      <w:r>
        <w:rPr>
          <w:rFonts w:ascii="Times New Roman;serif" w:hAnsi="Times New Roman;serif"/>
          <w:b w:val="false"/>
          <w:i/>
          <w:color w:val="000000"/>
          <w:sz w:val="20"/>
        </w:rPr>
        <w:t xml:space="preserve">Reporting Comprehensive Income </w:t>
      </w:r>
      <w:r>
        <w:rPr>
          <w:color w:val="000000"/>
        </w:rPr>
        <w:t xml:space="preserve">– </w:t>
      </w:r>
      <w:r>
        <w:rPr>
          <w:rFonts w:ascii="Times New Roman;serif" w:hAnsi="Times New Roman;serif"/>
          <w:b w:val="false"/>
          <w:i/>
          <w:color w:val="000000"/>
          <w:sz w:val="20"/>
        </w:rPr>
        <w:t>Expense Disaggregation Disclosures (Subtopic 220-40): Disaggregation of Income Statement Expenses"</w:t>
      </w:r>
      <w:r>
        <w:rPr>
          <w:color w:val="000000"/>
        </w:rPr>
        <w:t xml:space="preserve"> </w:t>
      </w:r>
      <w:r>
        <w:rPr>
          <w:rFonts w:ascii="Times New Roman;serif" w:hAnsi="Times New Roman;serif"/>
          <w:b w:val="false"/>
          <w:color w:val="000000"/>
          <w:sz w:val="20"/>
        </w:rPr>
        <w:t xml:space="preserve">("ASU 2024-03"). ASU 2024-03 provides amendments to Accounting Standards Codification ("ASC") 220, </w:t>
      </w:r>
      <w:r>
        <w:rPr>
          <w:rFonts w:ascii="Times New Roman;serif" w:hAnsi="Times New Roman;serif"/>
          <w:b w:val="false"/>
          <w:i/>
          <w:color w:val="000000"/>
          <w:sz w:val="20"/>
        </w:rPr>
        <w:t>"Income Statement – Reporting Comprehensive Income"</w:t>
      </w:r>
      <w:r>
        <w:rPr>
          <w:rFonts w:ascii="Times New Roman;serif" w:hAnsi="Times New Roman;serif"/>
          <w:b w:val="false"/>
          <w:color w:val="000000"/>
          <w:sz w:val="20"/>
        </w:rPr>
        <w:t>, which require disaggregated disclosure of certain income statement expense captions into specified categories within the notes to the financial statements. The amendments in this update are effective for annual periods beginning after December 15, 2026, with early adoption permitted. The amendments should be applied on a prospective or retrospective basis. The Company is currently assessing the impact of this update on the Company's financial condition, results of operations and cash flows, or disclosures thereto.</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 xml:space="preserve">ASU 2025-03 </w:t>
      </w:r>
      <w:r>
        <w:rPr>
          <w:color w:val="000000"/>
        </w:rPr>
        <w:t xml:space="preserve">– </w:t>
      </w:r>
      <w:r>
        <w:rPr>
          <w:rFonts w:ascii="Times New Roman;serif" w:hAnsi="Times New Roman;serif"/>
          <w:b w:val="false"/>
          <w:color w:val="000000"/>
          <w:sz w:val="20"/>
        </w:rPr>
        <w:t xml:space="preserve">In May 2025, the FASB issued ASU No. 2025-03, </w:t>
      </w:r>
      <w:r>
        <w:rPr>
          <w:rFonts w:ascii="Times New Roman;serif" w:hAnsi="Times New Roman;serif"/>
          <w:b w:val="false"/>
          <w:i/>
          <w:color w:val="000000"/>
          <w:sz w:val="20"/>
        </w:rPr>
        <w:t xml:space="preserve">"Business Combinations (Topic 805) and Consolidation (Topic 810): Determining the Accounting Acquirer in the Acquisition of a Variable Interest Entity" </w:t>
      </w:r>
      <w:r>
        <w:rPr>
          <w:rFonts w:ascii="Times New Roman;serif" w:hAnsi="Times New Roman;serif"/>
          <w:b w:val="false"/>
          <w:color w:val="000000"/>
          <w:sz w:val="20"/>
        </w:rPr>
        <w:t xml:space="preserve">("ASU 2025-03"). ASU 2025-03 provides amendments to ASC 805, </w:t>
      </w:r>
      <w:r>
        <w:rPr>
          <w:rFonts w:ascii="Times New Roman;serif" w:hAnsi="Times New Roman;serif"/>
          <w:b w:val="false"/>
          <w:i/>
          <w:color w:val="000000"/>
          <w:sz w:val="20"/>
        </w:rPr>
        <w:t>"Business Combinations",</w:t>
      </w:r>
      <w:r>
        <w:rPr>
          <w:color w:val="000000"/>
        </w:rPr>
        <w:t xml:space="preserve"> </w:t>
      </w:r>
      <w:r>
        <w:rPr>
          <w:rFonts w:ascii="Times New Roman;serif" w:hAnsi="Times New Roman;serif"/>
          <w:b w:val="false"/>
          <w:color w:val="000000"/>
          <w:sz w:val="20"/>
        </w:rPr>
        <w:t xml:space="preserve">and to ASC 810, </w:t>
      </w:r>
      <w:r>
        <w:rPr>
          <w:rFonts w:ascii="Times New Roman;serif" w:hAnsi="Times New Roman;serif"/>
          <w:b w:val="false"/>
          <w:i/>
          <w:color w:val="000000"/>
          <w:sz w:val="20"/>
        </w:rPr>
        <w:t xml:space="preserve">"Consolidation", </w:t>
      </w:r>
      <w:r>
        <w:rPr>
          <w:rFonts w:ascii="Times New Roman;serif" w:hAnsi="Times New Roman;serif"/>
          <w:b w:val="false"/>
          <w:color w:val="000000"/>
          <w:sz w:val="20"/>
        </w:rPr>
        <w:t>which revise the guidance for determining the accounting acquirer in a transaction effected primarily by exchanging equity interests in which the legal acquiree is a VIE that meets the definition of a business. The amendments in this update are effective for fiscal years beginning after December 15, 2026 and interim periods within those fiscal years, with early adoption permitted. The amendments should be applied on a prospective basis. The Company is currently assessing the impact of this update on the Company's financial condition, results of operations and cash flows, or disclosures thereto.</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 xml:space="preserve">ASU 2025-05 </w:t>
      </w:r>
      <w:r>
        <w:rPr>
          <w:color w:val="000000"/>
        </w:rPr>
        <w:t xml:space="preserve">– </w:t>
      </w:r>
      <w:r>
        <w:rPr>
          <w:rFonts w:ascii="Times New Roman;serif" w:hAnsi="Times New Roman;serif"/>
          <w:b w:val="false"/>
          <w:color w:val="000000"/>
          <w:sz w:val="20"/>
        </w:rPr>
        <w:t xml:space="preserve">In July 2025, the FASB issued ASU No. 2025-05, </w:t>
      </w:r>
      <w:r>
        <w:rPr>
          <w:rFonts w:ascii="Times New Roman;serif" w:hAnsi="Times New Roman;serif"/>
          <w:b w:val="false"/>
          <w:i/>
          <w:color w:val="000000"/>
          <w:sz w:val="20"/>
        </w:rPr>
        <w:t xml:space="preserve">"Financial Instruments </w:t>
      </w:r>
      <w:r>
        <w:rPr>
          <w:color w:val="000000"/>
        </w:rPr>
        <w:t xml:space="preserve">– </w:t>
      </w:r>
      <w:r>
        <w:rPr>
          <w:rFonts w:ascii="Times New Roman;serif" w:hAnsi="Times New Roman;serif"/>
          <w:b w:val="false"/>
          <w:i/>
          <w:color w:val="000000"/>
          <w:sz w:val="20"/>
        </w:rPr>
        <w:t xml:space="preserve">Credit Losses (Topic 326): Measurement of Credit Losses for Accounts Receivable and Contract Assets" </w:t>
      </w:r>
      <w:r>
        <w:rPr>
          <w:rFonts w:ascii="Times New Roman;serif" w:hAnsi="Times New Roman;serif"/>
          <w:b w:val="false"/>
          <w:color w:val="000000"/>
          <w:sz w:val="20"/>
        </w:rPr>
        <w:t xml:space="preserve">("ASU 2025-05"). ASU 2025-05 provides amendments to ASC 326, </w:t>
      </w:r>
      <w:r>
        <w:rPr>
          <w:rFonts w:ascii="Times New Roman;serif" w:hAnsi="Times New Roman;serif"/>
          <w:b w:val="false"/>
          <w:i/>
          <w:color w:val="000000"/>
          <w:sz w:val="20"/>
        </w:rPr>
        <w:t xml:space="preserve">"Financial Instruments </w:t>
      </w:r>
      <w:r>
        <w:rPr>
          <w:color w:val="000000"/>
        </w:rPr>
        <w:t xml:space="preserve">– </w:t>
      </w:r>
      <w:r>
        <w:rPr>
          <w:rFonts w:ascii="Times New Roman;serif" w:hAnsi="Times New Roman;serif"/>
          <w:b w:val="false"/>
          <w:i/>
          <w:color w:val="000000"/>
          <w:sz w:val="20"/>
        </w:rPr>
        <w:t xml:space="preserve">Credit Losses" </w:t>
      </w:r>
      <w:r>
        <w:rPr>
          <w:rFonts w:ascii="Times New Roman;serif" w:hAnsi="Times New Roman;serif"/>
          <w:b w:val="false"/>
          <w:color w:val="000000"/>
          <w:sz w:val="20"/>
        </w:rPr>
        <w:t xml:space="preserve">("ASC 326"), which allow entities to elect a practical expedient that assumes that current conditions as of the balance sheet date do not change for the remaining life of the asset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417" w:before="0" w:after="0"/>
        <w:jc w:val="left"/>
        <w:rPr/>
      </w:pPr>
      <w:hyperlink w:anchor="id55c8df0a38248a4bad356932827798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p>
      <w:pPr>
        <w:pStyle w:val="TextBody"/>
        <w:bidi w:val="0"/>
        <w:spacing w:lineRule="auto" w:line="288" w:before="180" w:after="283"/>
        <w:jc w:val="both"/>
        <w:rPr/>
      </w:pPr>
      <w:r>
        <w:rPr>
          <w:rFonts w:ascii="Times New Roman;serif" w:hAnsi="Times New Roman;serif"/>
          <w:b w:val="false"/>
          <w:color w:val="000000"/>
          <w:sz w:val="20"/>
        </w:rPr>
        <w:t xml:space="preserve">when developing reasonable and supportable forecasts as part of estimating expected credit losses for current accounts receivable and current contract assets arising from transactions accounted for under ASC 606, </w:t>
      </w:r>
      <w:r>
        <w:rPr>
          <w:rFonts w:ascii="Times New Roman;serif" w:hAnsi="Times New Roman;serif"/>
          <w:b w:val="false"/>
          <w:i/>
          <w:color w:val="000000"/>
          <w:sz w:val="20"/>
        </w:rPr>
        <w:t xml:space="preserve">"Revenue from Contracts with Customers" </w:t>
      </w:r>
      <w:r>
        <w:rPr>
          <w:rFonts w:ascii="Times New Roman;serif" w:hAnsi="Times New Roman;serif"/>
          <w:b w:val="false"/>
          <w:color w:val="000000"/>
          <w:sz w:val="20"/>
        </w:rPr>
        <w:t>("ASC 606"). The amendments in this update are effective for fiscal years beginning after December 15, 2025 and interim periods within those fiscal years, with early adoption permitted. The amendments should be applied on a prospective basis. The Company adopted ASU 2025-05 on January 1, 2026 on a prospective basis and elected the practical expedient provided by ASU 2025-05. Under this expedient, the Company assumes that economic conditions as of the balance sheet date remain unchanged for the remaining life of all current accounts receivable and current contract assets arising from transactions under ASC 606. The Company continues to estimate expected credit losses for non-current receivables and contract assets in accordance with ASC 326's standard methodology. The adoption of ASU 2025-05 did not have a material impact on the Company's financial condition, results of operations and cash flows, or disclosures thereto.</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 xml:space="preserve">ASU 2025-06 </w:t>
      </w:r>
      <w:r>
        <w:rPr>
          <w:color w:val="000000"/>
        </w:rPr>
        <w:t xml:space="preserve">– </w:t>
      </w:r>
      <w:r>
        <w:rPr>
          <w:rFonts w:ascii="Times New Roman;serif" w:hAnsi="Times New Roman;serif"/>
          <w:b w:val="false"/>
          <w:color w:val="000000"/>
          <w:sz w:val="20"/>
        </w:rPr>
        <w:t xml:space="preserve">In September 2025, the FASB issued ASU No. 2025-06, </w:t>
      </w:r>
      <w:r>
        <w:rPr>
          <w:rFonts w:ascii="Times New Roman;serif" w:hAnsi="Times New Roman;serif"/>
          <w:b w:val="false"/>
          <w:i/>
          <w:color w:val="000000"/>
          <w:sz w:val="20"/>
        </w:rPr>
        <w:t xml:space="preserve">"Intangibles </w:t>
      </w:r>
      <w:r>
        <w:rPr>
          <w:color w:val="000000"/>
        </w:rPr>
        <w:t xml:space="preserve">– </w:t>
      </w:r>
      <w:r>
        <w:rPr>
          <w:rFonts w:ascii="Times New Roman;serif" w:hAnsi="Times New Roman;serif"/>
          <w:b w:val="false"/>
          <w:i/>
          <w:color w:val="000000"/>
          <w:sz w:val="20"/>
        </w:rPr>
        <w:t xml:space="preserve">Goodwill and Other </w:t>
      </w:r>
      <w:r>
        <w:rPr>
          <w:color w:val="000000"/>
        </w:rPr>
        <w:t xml:space="preserve">– </w:t>
      </w:r>
      <w:r>
        <w:rPr>
          <w:rFonts w:ascii="Times New Roman;serif" w:hAnsi="Times New Roman;serif"/>
          <w:b w:val="false"/>
          <w:i/>
          <w:color w:val="000000"/>
          <w:sz w:val="20"/>
        </w:rPr>
        <w:t xml:space="preserve">Internal-Use Software (Subtopic 350-40): Targeted Improvements to the Accounting for Internal-Use Software" </w:t>
      </w:r>
      <w:r>
        <w:rPr>
          <w:rFonts w:ascii="Times New Roman;serif" w:hAnsi="Times New Roman;serif"/>
          <w:b w:val="false"/>
          <w:color w:val="000000"/>
          <w:sz w:val="20"/>
        </w:rPr>
        <w:t>("ASU 2025-06")</w:t>
      </w:r>
      <w:r>
        <w:rPr>
          <w:rFonts w:ascii="Times New Roman;serif" w:hAnsi="Times New Roman;serif"/>
          <w:b w:val="false"/>
          <w:i/>
          <w:color w:val="000000"/>
          <w:sz w:val="20"/>
        </w:rPr>
        <w:t xml:space="preserve">. </w:t>
      </w:r>
      <w:r>
        <w:rPr>
          <w:rFonts w:ascii="Times New Roman;serif" w:hAnsi="Times New Roman;serif"/>
          <w:b w:val="false"/>
          <w:color w:val="000000"/>
          <w:sz w:val="20"/>
        </w:rPr>
        <w:t xml:space="preserve">ASU 2025-06 provides amendments to ASC 350-40, </w:t>
      </w:r>
      <w:r>
        <w:rPr>
          <w:rFonts w:ascii="Times New Roman;serif" w:hAnsi="Times New Roman;serif"/>
          <w:b w:val="false"/>
          <w:i/>
          <w:color w:val="000000"/>
          <w:sz w:val="20"/>
        </w:rPr>
        <w:t xml:space="preserve">"Intangibles </w:t>
      </w:r>
      <w:r>
        <w:rPr>
          <w:color w:val="000000"/>
        </w:rPr>
        <w:t xml:space="preserve">– </w:t>
      </w:r>
      <w:r>
        <w:rPr>
          <w:rFonts w:ascii="Times New Roman;serif" w:hAnsi="Times New Roman;serif"/>
          <w:b w:val="false"/>
          <w:i/>
          <w:color w:val="000000"/>
          <w:sz w:val="20"/>
        </w:rPr>
        <w:t xml:space="preserve">Goodwill and Other </w:t>
      </w:r>
      <w:r>
        <w:rPr>
          <w:color w:val="000000"/>
        </w:rPr>
        <w:t xml:space="preserve">– </w:t>
      </w:r>
      <w:r>
        <w:rPr>
          <w:rFonts w:ascii="Times New Roman;serif" w:hAnsi="Times New Roman;serif"/>
          <w:b w:val="false"/>
          <w:i/>
          <w:color w:val="000000"/>
          <w:sz w:val="20"/>
        </w:rPr>
        <w:t>Internal-Use Software"</w:t>
      </w:r>
      <w:r>
        <w:rPr>
          <w:rFonts w:ascii="Times New Roman;serif" w:hAnsi="Times New Roman;serif"/>
          <w:b w:val="false"/>
          <w:color w:val="000000"/>
          <w:sz w:val="20"/>
        </w:rPr>
        <w:t>, which revise the guidance for the accounting and disclosure of internal-use software costs. The amendments in this update are effective for fiscal years beginning after December 15, 2027 and interim periods within those fiscal years, with early adoption permitted. The amendments should be applied on a prospective, retrospective or modified basis. The Company is currently assessing the impact of this update on the Company's financial condition, results of operations and cash flows, or disclosures thereto.</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ASU 2025-11</w:t>
      </w:r>
      <w:r>
        <w:rPr>
          <w:color w:val="000000"/>
        </w:rPr>
        <w:t xml:space="preserve"> – </w:t>
      </w:r>
      <w:r>
        <w:rPr>
          <w:rFonts w:ascii="Times New Roman;serif" w:hAnsi="Times New Roman;serif"/>
          <w:b w:val="false"/>
          <w:color w:val="000000"/>
          <w:sz w:val="20"/>
        </w:rPr>
        <w:t xml:space="preserve">In December 2025, the FASB issued ASU No. 2025-11, </w:t>
      </w:r>
      <w:r>
        <w:rPr>
          <w:rFonts w:ascii="Times New Roman;serif" w:hAnsi="Times New Roman;serif"/>
          <w:b w:val="false"/>
          <w:i/>
          <w:color w:val="000000"/>
          <w:sz w:val="20"/>
        </w:rPr>
        <w:t xml:space="preserve">"Interim Reporting (Topic 270): Narrow-Scope Improvements" </w:t>
      </w:r>
      <w:r>
        <w:rPr>
          <w:rFonts w:ascii="Times New Roman;serif" w:hAnsi="Times New Roman;serif"/>
          <w:b w:val="false"/>
          <w:color w:val="000000"/>
          <w:sz w:val="20"/>
        </w:rPr>
        <w:t xml:space="preserve">("ASU 2025-11"). ASU 2025-11 provides amendments to ASC 270, </w:t>
      </w:r>
      <w:r>
        <w:rPr>
          <w:rFonts w:ascii="Times New Roman;serif" w:hAnsi="Times New Roman;serif"/>
          <w:b w:val="false"/>
          <w:i/>
          <w:color w:val="000000"/>
          <w:sz w:val="20"/>
        </w:rPr>
        <w:t>"Interim Reporting"</w:t>
      </w:r>
      <w:r>
        <w:rPr>
          <w:rFonts w:ascii="Times New Roman;serif" w:hAnsi="Times New Roman;serif"/>
          <w:b w:val="false"/>
          <w:color w:val="000000"/>
          <w:sz w:val="20"/>
        </w:rPr>
        <w:t>, which clarify interim disclosure requirements and require disclosure of events since the end of the last annual reporting period that have a material impact on the entity. The amendments in this update are effective for fiscal years beginning after December 15, 2027 and interim periods within those fiscal years, with early adoption permitted. The amendments should be applied on a prospective or retrospective basis. The Company is currently assessing the impact of this update on the Company's financial condition, results of operations and cash flows, or disclosures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4 – Revenue and Accounts Receivable</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revenue recognized by the Company for the three months ended March 31, 2026 and 2025: </w:t>
      </w:r>
    </w:p>
    <w:tbl>
      <w:tblPr>
        <w:tblW w:w="7476" w:type="dxa"/>
        <w:jc w:val="center"/>
        <w:tblInd w:w="0" w:type="dxa"/>
        <w:tblLayout w:type="fixed"/>
        <w:tblCellMar>
          <w:top w:w="28" w:type="dxa"/>
          <w:left w:w="28" w:type="dxa"/>
          <w:bottom w:w="28" w:type="dxa"/>
          <w:right w:w="28" w:type="dxa"/>
        </w:tblCellMar>
      </w:tblPr>
      <w:tblGrid>
        <w:gridCol w:w="1359"/>
        <w:gridCol w:w="1192"/>
        <w:gridCol w:w="1199"/>
        <w:gridCol w:w="230"/>
        <w:gridCol w:w="1068"/>
        <w:gridCol w:w="119"/>
        <w:gridCol w:w="119"/>
        <w:gridCol w:w="119"/>
        <w:gridCol w:w="119"/>
        <w:gridCol w:w="230"/>
        <w:gridCol w:w="904"/>
        <w:gridCol w:w="119"/>
        <w:gridCol w:w="109"/>
        <w:gridCol w:w="109"/>
        <w:gridCol w:w="109"/>
        <w:gridCol w:w="109"/>
        <w:gridCol w:w="109"/>
        <w:gridCol w:w="154"/>
      </w:tblGrid>
      <w:tr>
        <w:trPr/>
        <w:tc>
          <w:tcPr>
            <w:tcW w:w="135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 the Three Months Ended 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Investment Banking &amp; Equities:</w:t>
            </w:r>
          </w:p>
        </w:tc>
        <w:tc>
          <w:tcPr>
            <w:tcW w:w="14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Advisory Fees</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1,244,739 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557,349 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Fees</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55,068 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54,255 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 and Related Revenue</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62,658 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 Banking &amp; Equities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1,362,465 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666,714 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Investment Management:</w:t>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 and Administration Fees:</w:t>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Wealth Management</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 Management</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22,643 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20,983 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both"/>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change in the Company’s contract assets and liabilities during the following periods primarily reflects timing differences between the Company’s performance and the client’s payment. The Company’s receivables, contract assets and deferred revenue (contract liabilities) for the three months ended March 31, 2026 and 2025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417" w:before="0" w:after="0"/>
        <w:jc w:val="left"/>
        <w:rPr/>
      </w:pPr>
      <w:hyperlink w:anchor="id55c8df0a38248a4bad356932827798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tbl>
      <w:tblPr>
        <w:tblW w:w="10205" w:type="dxa"/>
        <w:jc w:val="center"/>
        <w:tblInd w:w="0" w:type="dxa"/>
        <w:tblLayout w:type="fixed"/>
        <w:tblCellMar>
          <w:top w:w="28" w:type="dxa"/>
          <w:left w:w="28" w:type="dxa"/>
          <w:bottom w:w="28" w:type="dxa"/>
          <w:right w:w="28" w:type="dxa"/>
        </w:tblCellMar>
      </w:tblPr>
      <w:tblGrid>
        <w:gridCol w:w="623"/>
        <w:gridCol w:w="494"/>
        <w:gridCol w:w="498"/>
        <w:gridCol w:w="211"/>
        <w:gridCol w:w="826"/>
        <w:gridCol w:w="109"/>
        <w:gridCol w:w="109"/>
        <w:gridCol w:w="109"/>
        <w:gridCol w:w="109"/>
        <w:gridCol w:w="211"/>
        <w:gridCol w:w="826"/>
        <w:gridCol w:w="109"/>
        <w:gridCol w:w="109"/>
        <w:gridCol w:w="109"/>
        <w:gridCol w:w="109"/>
        <w:gridCol w:w="301"/>
        <w:gridCol w:w="1180"/>
        <w:gridCol w:w="155"/>
        <w:gridCol w:w="109"/>
        <w:gridCol w:w="109"/>
        <w:gridCol w:w="109"/>
        <w:gridCol w:w="341"/>
        <w:gridCol w:w="1167"/>
        <w:gridCol w:w="175"/>
        <w:gridCol w:w="109"/>
        <w:gridCol w:w="109"/>
        <w:gridCol w:w="109"/>
        <w:gridCol w:w="284"/>
        <w:gridCol w:w="972"/>
        <w:gridCol w:w="146"/>
        <w:gridCol w:w="109"/>
        <w:gridCol w:w="160"/>
      </w:tblGrid>
      <w:tr>
        <w:trPr/>
        <w:tc>
          <w:tcPr>
            <w:tcW w:w="62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 2026</w:t>
            </w:r>
          </w:p>
        </w:tc>
        <w:tc>
          <w:tcPr>
            <w:tcW w:w="269" w:type="dxa"/>
            <w:gridSpan w:val="2"/>
            <w:tcBorders/>
          </w:tcPr>
          <w:p>
            <w:pPr>
              <w:pStyle w:val="TableContents"/>
              <w:bidi w:val="0"/>
              <w:spacing w:before="0" w:after="283"/>
              <w:jc w:val="left"/>
              <w:rPr>
                <w:sz w:val="4"/>
                <w:szCs w:val="4"/>
              </w:rPr>
            </w:pPr>
            <w:r>
              <w:rPr>
                <w:sz w:val="4"/>
                <w:szCs w:val="4"/>
              </w:rPr>
            </w:r>
          </w:p>
        </w:tc>
      </w:tr>
      <w:tr>
        <w:trP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Receivables</w:t>
            </w:r>
          </w:p>
          <w:p>
            <w:pPr>
              <w:pStyle w:val="TableContents"/>
              <w:bidi w:val="0"/>
              <w:spacing w:lineRule="auto" w:line="240" w:before="0" w:after="0"/>
              <w:jc w:val="center"/>
              <w:rPr/>
            </w:pPr>
            <w:r>
              <w:rPr>
                <w:rFonts w:ascii="Times New Roman;serif" w:hAnsi="Times New Roman;serif"/>
                <w:b/>
                <w:color w:val="000000"/>
                <w:sz w:val="16"/>
              </w:rPr>
              <w:t>(Current)</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Receivables</w:t>
            </w:r>
          </w:p>
          <w:p>
            <w:pPr>
              <w:pStyle w:val="TableContents"/>
              <w:bidi w:val="0"/>
              <w:spacing w:lineRule="auto" w:line="240" w:before="0" w:after="0"/>
              <w:jc w:val="center"/>
              <w:rPr/>
            </w:pPr>
            <w:r>
              <w:rPr>
                <w:rFonts w:ascii="Times New Roman;serif" w:hAnsi="Times New Roman;serif"/>
                <w:b/>
                <w:color w:val="000000"/>
                <w:sz w:val="16"/>
              </w:rPr>
              <w:t>(Long-term)</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Contract Assets (Current)</w:t>
            </w:r>
            <w:r>
              <w:rPr>
                <w:rFonts w:ascii="Times New Roman;serif" w:hAnsi="Times New Roman;serif"/>
                <w:b/>
                <w:color w:val="000000"/>
                <w:sz w:val="10"/>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Contract Assets (Long-term)</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Deferred Revenue </w:t>
            </w:r>
          </w:p>
          <w:p>
            <w:pPr>
              <w:pStyle w:val="TableContents"/>
              <w:bidi w:val="0"/>
              <w:spacing w:lineRule="auto" w:line="240" w:before="0" w:after="0"/>
              <w:jc w:val="center"/>
              <w:rPr/>
            </w:pPr>
            <w:r>
              <w:rPr>
                <w:rFonts w:ascii="Times New Roman;serif" w:hAnsi="Times New Roman;serif"/>
                <w:b/>
                <w:color w:val="000000"/>
                <w:sz w:val="16"/>
              </w:rPr>
              <w:t>(Contract Liabilities)</w:t>
            </w:r>
            <w:r>
              <w:rPr>
                <w:rFonts w:ascii="Times New Roman;serif" w:hAnsi="Times New Roman;serif"/>
                <w:b/>
                <w:color w:val="000000"/>
                <w:sz w:val="10"/>
              </w:rPr>
              <w:t>(4)</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147,444 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(85,882)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61,562 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 2025</w:t>
            </w:r>
          </w:p>
        </w:tc>
        <w:tc>
          <w:tcPr>
            <w:tcW w:w="269" w:type="dxa"/>
            <w:gridSpan w:val="2"/>
            <w:tcBorders/>
          </w:tcPr>
          <w:p>
            <w:pPr>
              <w:pStyle w:val="TableContents"/>
              <w:bidi w:val="0"/>
              <w:spacing w:before="0" w:after="283"/>
              <w:jc w:val="left"/>
              <w:rPr>
                <w:sz w:val="4"/>
                <w:szCs w:val="4"/>
              </w:rPr>
            </w:pPr>
            <w:r>
              <w:rPr>
                <w:sz w:val="4"/>
                <w:szCs w:val="4"/>
              </w:rPr>
            </w:r>
          </w:p>
        </w:tc>
      </w:tr>
      <w:tr>
        <w:trP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Receivables</w:t>
            </w:r>
          </w:p>
          <w:p>
            <w:pPr>
              <w:pStyle w:val="TableContents"/>
              <w:bidi w:val="0"/>
              <w:spacing w:lineRule="auto" w:line="240" w:before="0" w:after="0"/>
              <w:jc w:val="center"/>
              <w:rPr/>
            </w:pPr>
            <w:r>
              <w:rPr>
                <w:rFonts w:ascii="Times New Roman;serif" w:hAnsi="Times New Roman;serif"/>
                <w:b/>
                <w:color w:val="000000"/>
                <w:sz w:val="16"/>
              </w:rPr>
              <w:t>(Current)</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Receivables</w:t>
            </w:r>
          </w:p>
          <w:p>
            <w:pPr>
              <w:pStyle w:val="TableContents"/>
              <w:bidi w:val="0"/>
              <w:spacing w:lineRule="auto" w:line="240" w:before="0" w:after="0"/>
              <w:jc w:val="center"/>
              <w:rPr/>
            </w:pPr>
            <w:r>
              <w:rPr>
                <w:rFonts w:ascii="Times New Roman;serif" w:hAnsi="Times New Roman;serif"/>
                <w:b/>
                <w:color w:val="000000"/>
                <w:sz w:val="16"/>
              </w:rPr>
              <w:t>(Long-term)</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Contract Assets (Current)</w:t>
            </w:r>
            <w:r>
              <w:rPr>
                <w:rFonts w:ascii="Times New Roman;serif" w:hAnsi="Times New Roman;serif"/>
                <w:b/>
                <w:color w:val="000000"/>
                <w:sz w:val="10"/>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Contract Assets (Long-term)</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Deferred Revenue </w:t>
            </w:r>
          </w:p>
          <w:p>
            <w:pPr>
              <w:pStyle w:val="TableContents"/>
              <w:bidi w:val="0"/>
              <w:spacing w:lineRule="auto" w:line="240" w:before="0" w:after="0"/>
              <w:jc w:val="center"/>
              <w:rPr/>
            </w:pPr>
            <w:r>
              <w:rPr>
                <w:rFonts w:ascii="Times New Roman;serif" w:hAnsi="Times New Roman;serif"/>
                <w:b/>
                <w:color w:val="000000"/>
                <w:sz w:val="16"/>
              </w:rPr>
              <w:t>(Contract Liabilities)</w:t>
            </w:r>
            <w:r>
              <w:rPr>
                <w:rFonts w:ascii="Times New Roman;serif" w:hAnsi="Times New Roman;serif"/>
                <w:b/>
                <w:color w:val="000000"/>
                <w:sz w:val="10"/>
              </w:rPr>
              <w:t>(4)</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62,379 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469,147 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15,534 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6,676 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(1)Included in Accounts Receivable on the Unaudited Condensed Consolidated Statements of Financial Condition.</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(2)Included in Other Assets on the Unaudited Condensed Consolidated Statements of Financial Condition.</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(3)Included in Other Current Assets on the Unaudited Condensed Consolidated Statements of Financial Condition.</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(4)Included in Other Current Liabilities on the Unaudited Condensed Consolidated Statements of Financial Condition.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contract assets represent arrangements in which an estimate of variable consideration has been included in the transaction price and thereby recognized as revenue that precedes the contractual due date. Under ASC 606, revenue is recognized when all material conditions for completion have been met and it is probable that a significant revenue reversal will not occur in a future period.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recognized revenue of $7,804 and $5,110 on the Unaudited Condensed Consolidated Statements of Operations for the three months ended March 31, 2026 and 2025, respectively, that was initially included in deferred revenue within Other Current Liabilities on the Company’s Unaudited Condensed Consolidated Statements of Financial Condition.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Generally, performance obligations under client arrangements will be settled within one year; therefore, the Company has elected to apply the practical expedient in ASC 606-10-50-14.</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allowance for credit losses for the three months ended March 31, 2026 and 2025 is as follows:</w:t>
      </w:r>
    </w:p>
    <w:tbl>
      <w:tblPr>
        <w:tblW w:w="8826" w:type="dxa"/>
        <w:jc w:val="left"/>
        <w:tblInd w:w="0" w:type="dxa"/>
        <w:tblLayout w:type="fixed"/>
        <w:tblCellMar>
          <w:top w:w="28" w:type="dxa"/>
          <w:left w:w="28" w:type="dxa"/>
          <w:bottom w:w="28" w:type="dxa"/>
          <w:right w:w="28" w:type="dxa"/>
        </w:tblCellMar>
      </w:tblPr>
      <w:tblGrid>
        <w:gridCol w:w="1848"/>
        <w:gridCol w:w="1621"/>
        <w:gridCol w:w="1630"/>
        <w:gridCol w:w="290"/>
        <w:gridCol w:w="849"/>
        <w:gridCol w:w="150"/>
        <w:gridCol w:w="150"/>
        <w:gridCol w:w="150"/>
        <w:gridCol w:w="150"/>
        <w:gridCol w:w="290"/>
        <w:gridCol w:w="849"/>
        <w:gridCol w:w="150"/>
        <w:gridCol w:w="109"/>
        <w:gridCol w:w="109"/>
        <w:gridCol w:w="109"/>
        <w:gridCol w:w="109"/>
        <w:gridCol w:w="109"/>
        <w:gridCol w:w="154"/>
      </w:tblGrid>
      <w:tr>
        <w:trPr/>
        <w:tc>
          <w:tcPr>
            <w:tcW w:w="1848"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 the Three Months Ended 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 net of reversals</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 foreign currency translation and other adjustments</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change in the balance during the three months ended March 31, 2026 is primarily related to a decrease in the Company's reserve for credit losses and the write-off of aged receivables.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long-term accounts receivable and long-term contract assets, the Company monitors clients’ creditworthiness based on collection experience and other internal metrics. The following table presents the Company’s long-term accounts receivable and long-term contract assets, primarily from the Company's private and secondary fund advisory businesses, as of March 31, 2026, by year of origination:</w:t>
      </w:r>
    </w:p>
    <w:tbl>
      <w:tblPr>
        <w:tblW w:w="10205" w:type="dxa"/>
        <w:jc w:val="center"/>
        <w:tblInd w:w="0" w:type="dxa"/>
        <w:tblLayout w:type="fixed"/>
        <w:tblCellMar>
          <w:top w:w="28" w:type="dxa"/>
          <w:left w:w="28" w:type="dxa"/>
          <w:bottom w:w="28" w:type="dxa"/>
          <w:right w:w="28" w:type="dxa"/>
        </w:tblCellMar>
      </w:tblPr>
      <w:tblGrid>
        <w:gridCol w:w="667"/>
        <w:gridCol w:w="586"/>
        <w:gridCol w:w="588"/>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09"/>
        <w:gridCol w:w="109"/>
        <w:gridCol w:w="109"/>
        <w:gridCol w:w="109"/>
        <w:gridCol w:w="211"/>
        <w:gridCol w:w="826"/>
        <w:gridCol w:w="156"/>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6"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Carrying Value by Origination Year</w:t>
            </w:r>
          </w:p>
        </w:tc>
        <w:tc>
          <w:tcPr>
            <w:tcW w:w="1738" w:type="dxa"/>
            <w:gridSpan w:val="8"/>
            <w:tcBorders/>
          </w:tcPr>
          <w:p>
            <w:pPr>
              <w:pStyle w:val="TableContents"/>
              <w:bidi w:val="0"/>
              <w:spacing w:before="0" w:after="283"/>
              <w:jc w:val="left"/>
              <w:rPr>
                <w:sz w:val="4"/>
                <w:szCs w:val="4"/>
              </w:rPr>
            </w:pPr>
            <w:r>
              <w:rPr>
                <w:sz w:val="4"/>
                <w:szCs w:val="4"/>
              </w:rPr>
            </w:r>
          </w:p>
        </w:tc>
      </w:tr>
      <w:tr>
        <w:trPr/>
        <w:tc>
          <w:tcPr>
            <w:tcW w:w="1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8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8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8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Accounts Receivable and Long-term Contract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417" w:before="0" w:after="0"/>
        <w:jc w:val="left"/>
        <w:rPr/>
      </w:pPr>
      <w:hyperlink w:anchor="id55c8df0a38248a4bad356932827798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5 – Business Changes and Developments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Robey Warshaw</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29, 2025, the Company entered into an agreement to acquire Robey Warshaw, an independent advisory firm headquartered in the United Kingdom. The transaction closed on October 1, 2025.</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consideration for the acquisition, the Company delivered to the sellers £71,250 ($95,767) at closing in the form of 275 shares of Class A common stock ("Class A Shares"), as well as cash of $5,345. Of the £71,250 delivered in Class A Shares at closing, £62,700 ($84,275) is subject to repayment if the sellers fail to provide service over a four-year period following the acquisition and, as such, will be treated as compensation for accounting purposes. See Note 15 for further information. Additionally, the Company will deliver to the sellers £74,813 ($100,796) due on the first anniversary of the closing (in Class A Shares or cash), the present value of which was $96,132 and $96,538 as of March 31, 2026 and December 31, 2025, respectively, and is classified within Payable to Employees and Related Parties on the Company's Unaudited Condensed Consolidated Statements of Financial Condition. The sellers are also entitled to contingent consideration, which had a fair value of $25,256 and $24,521 as of March 31, 2026 and December 31, 2025, respectively, and will be payable on various dates between closing and shortly following the sixth anniversary of closing, dependent on the achievement of certain performance thresholds over a multi-year period. This contingent consideration is recorded within Other Long-term Liabilities on the Company's Unaudited Condensed Consolidated Statements of Financial Condition. The change in the fair value of the contingent consideration resulted in Other Operating Expenses of $1,203 for the three months ended March 31, 2026 on the Unaudited Condensed Consolidated Statement of Operations.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part of the consideration transferred to the sellers, the Company also issued performance-based awards which are treated as compensation for accounting purposes. Furthermore, the Company also granted retention awards to Robey Warshaw employees joining the Company which are treated as compensation for accounting purposes. See Note 15 for further information.</w:t>
      </w:r>
    </w:p>
    <w:p>
      <w:pPr>
        <w:pStyle w:val="TextBody"/>
        <w:bidi w:val="0"/>
        <w:spacing w:lineRule="auto" w:line="288" w:before="18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Intangible Asset Amortization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Expense associated with the amortization of intangible assets for the Investment Banking &amp; Equities segment was $3,730 for the three months ended March 31, 2026, included within Depreciation and Amortization expense on the Unaudited Condensed Consolidated Statement of Operations.</w:t>
      </w:r>
    </w:p>
    <w:p>
      <w:pPr>
        <w:pStyle w:val="TextBody"/>
        <w:bidi w:val="0"/>
        <w:spacing w:lineRule="auto" w:line="288" w:before="18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Acquisition and Transition Costs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incurred acquisition-related costs of $1,800 for the three months ended March 31, 2026, related to the impairment of a lease related to the acquisition of Robey Warshaw, which are included in Acquisition and Transition Costs on the Unaudited Condensed Consolidated Statement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6 – Related Parties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Advisory Fees includes fees earned from clients that have the Company's Senior Managing Directors, certain Senior Advisors and executives as a member of their Board of Directors of $1,913 and $1,271 for the three months ended March 31, 2026 and 2025, respectively.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Assets on the Unaudited Condensed Consolidated Statements of Financial Condition includes the long-term portion of loans receivable from certain employees of $37,253 and $34,675 as of March 31, 2026 and December 31, 2025, respectively. See Note 15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417" w:before="0" w:after="0"/>
        <w:jc w:val="left"/>
        <w:rPr/>
      </w:pPr>
      <w:hyperlink w:anchor="id55c8df0a38248a4bad356932827798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7 – Investment Securities and Certificates of Deposit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Investment Securities and Certificates of Deposit as of March 31, 2026 and December 31, 2025 were as follows:</w:t>
      </w:r>
    </w:p>
    <w:tbl>
      <w:tblPr>
        <w:tblW w:w="10205" w:type="dxa"/>
        <w:jc w:val="left"/>
        <w:tblInd w:w="0" w:type="dxa"/>
        <w:tblLayout w:type="fixed"/>
        <w:tblCellMar>
          <w:top w:w="28" w:type="dxa"/>
          <w:left w:w="28" w:type="dxa"/>
          <w:bottom w:w="28" w:type="dxa"/>
          <w:right w:w="28" w:type="dxa"/>
        </w:tblCellMar>
      </w:tblPr>
      <w:tblGrid>
        <w:gridCol w:w="1289"/>
        <w:gridCol w:w="1094"/>
        <w:gridCol w:w="1103"/>
        <w:gridCol w:w="109"/>
        <w:gridCol w:w="211"/>
        <w:gridCol w:w="976"/>
        <w:gridCol w:w="109"/>
        <w:gridCol w:w="109"/>
        <w:gridCol w:w="109"/>
        <w:gridCol w:w="109"/>
        <w:gridCol w:w="109"/>
        <w:gridCol w:w="225"/>
        <w:gridCol w:w="883"/>
        <w:gridCol w:w="115"/>
        <w:gridCol w:w="109"/>
        <w:gridCol w:w="109"/>
        <w:gridCol w:w="109"/>
        <w:gridCol w:w="109"/>
        <w:gridCol w:w="211"/>
        <w:gridCol w:w="976"/>
        <w:gridCol w:w="109"/>
        <w:gridCol w:w="109"/>
        <w:gridCol w:w="109"/>
        <w:gridCol w:w="109"/>
        <w:gridCol w:w="109"/>
        <w:gridCol w:w="233"/>
        <w:gridCol w:w="1079"/>
        <w:gridCol w:w="175"/>
      </w:tblGrid>
      <w:tr>
        <w:trPr/>
        <w:tc>
          <w:tcPr>
            <w:tcW w:w="128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655" w:type="dxa"/>
            <w:gridSpan w:val="14"/>
            <w:tcBorders/>
          </w:tcPr>
          <w:p>
            <w:pPr>
              <w:pStyle w:val="TableContents"/>
              <w:bidi w:val="0"/>
              <w:spacing w:before="0" w:after="283"/>
              <w:jc w:val="left"/>
              <w:rPr>
                <w:sz w:val="4"/>
                <w:szCs w:val="4"/>
              </w:rPr>
            </w:pPr>
            <w:r>
              <w:rPr>
                <w:sz w:val="4"/>
                <w:szCs w:val="4"/>
              </w:rPr>
            </w:r>
          </w:p>
        </w:tc>
      </w:tr>
      <w:tr>
        <w:trPr/>
        <w:tc>
          <w:tcPr>
            <w:tcW w:w="34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w:t>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877,803 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Carried by EGL</w:t>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693,553 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486,641 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Funds</w:t>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142,856 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175,418 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 Securities, at fair value</w:t>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836,699 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1,540,217 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 at contract value</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7"/>
            <w:tcBorders/>
          </w:tcPr>
          <w:p>
            <w:pPr>
              <w:pStyle w:val="TableContents"/>
              <w:bidi w:val="0"/>
              <w:spacing w:before="0" w:after="283"/>
              <w:jc w:val="left"/>
              <w:rPr>
                <w:sz w:val="4"/>
                <w:szCs w:val="4"/>
              </w:rPr>
            </w:pPr>
            <w:r>
              <w:rPr>
                <w:sz w:val="4"/>
                <w:szCs w:val="4"/>
              </w:rPr>
            </w:r>
          </w:p>
        </w:tc>
      </w:tr>
      <w:tr>
        <w:trPr/>
        <w:tc>
          <w:tcPr>
            <w:tcW w:w="3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 Securities and Certificates of Deposit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1,035,030 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1,580,638 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23" w:type="dxa"/>
            <w:gridSpan w:val="7"/>
            <w:tcBorders/>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Debt Securities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Debt Securities are classified as available-for-sale securities within Investment Securities and Certificates of Deposit on the Unaudited Condensed Consolidated Statements of Financial Condition. These securities, which are primarily comprised of U.S. Treasury securities, are stated at fair value with unrealized gains and losses included in Accumulated Other Comprehensive Income (Loss) on the Unaudited Condensed Consolidated Statements of Financial Condition and realized gains and losses included in Other Revenue, Including Interest and Investments, on the Unaudited Condensed Consolidated Statements of Operations, on a specific identification basis.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Gross unrealized gains included in Accumulated Other Comprehensive Income (Loss) were $218 as of December 31, 2025. Gross unrealized losses included in Accumulated Other Comprehensive Income (Loss) were ($21) as of December 31, 2025.</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unrealized gains (losses) included in Other Comprehensive Income were ($195) and ($301) for the three months ended March 31, 2026 and 2025, respectively.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Gross realized gains included within Other Revenue, Including Interest and Investments, were $3 for each of the three months ended March 31, 2026 and 2025. Gross realized losses included within Other Revenue, Including Interest and Investments, were ($42) and ($20) for the three months ended March 31, 2026 and 2025, respectively.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Proceeds from the sales and maturities of available-for-sale securities, including interest, were $881,184 and $816,039 for the three months ended March 31, 2026 and 2025, respectively.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Scheduled maturities of the Company's available-for-sale debt securities as of March 31, 2026 and December 31, 2025 were as follows: </w:t>
      </w:r>
    </w:p>
    <w:tbl>
      <w:tblPr>
        <w:tblW w:w="6830" w:type="dxa"/>
        <w:jc w:val="left"/>
        <w:tblInd w:w="0" w:type="dxa"/>
        <w:tblLayout w:type="fixed"/>
        <w:tblCellMar>
          <w:top w:w="28" w:type="dxa"/>
          <w:left w:w="28" w:type="dxa"/>
          <w:bottom w:w="28" w:type="dxa"/>
          <w:right w:w="28" w:type="dxa"/>
        </w:tblCellMar>
      </w:tblPr>
      <w:tblGrid>
        <w:gridCol w:w="636"/>
        <w:gridCol w:w="557"/>
        <w:gridCol w:w="562"/>
        <w:gridCol w:w="253"/>
        <w:gridCol w:w="487"/>
        <w:gridCol w:w="131"/>
        <w:gridCol w:w="109"/>
        <w:gridCol w:w="109"/>
        <w:gridCol w:w="109"/>
        <w:gridCol w:w="257"/>
        <w:gridCol w:w="495"/>
        <w:gridCol w:w="134"/>
        <w:gridCol w:w="109"/>
        <w:gridCol w:w="109"/>
        <w:gridCol w:w="109"/>
        <w:gridCol w:w="211"/>
        <w:gridCol w:w="826"/>
        <w:gridCol w:w="109"/>
        <w:gridCol w:w="109"/>
        <w:gridCol w:w="109"/>
        <w:gridCol w:w="109"/>
        <w:gridCol w:w="211"/>
        <w:gridCol w:w="826"/>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877,803 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877,606 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877,803 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has the ability and intent to hold available-for-sale securities until a recovery of fair value is equal to an amount approximating its amortized cost, which may be at maturity. Further, as of December 31, 2025, the securities are all U.S. Treasury securities and the Company has not incurred credit losses on its securities. As such, the Company does not consider these securities to be impaired at December 31, 2025 and has not recorded a credit allowance on these securities.</w:t>
      </w:r>
    </w:p>
    <w:p>
      <w:pPr>
        <w:pStyle w:val="TextBody"/>
        <w:bidi w:val="0"/>
        <w:spacing w:before="180" w:after="283"/>
        <w:jc w:val="both"/>
        <w:rPr/>
      </w:pPr>
      <w:r>
        <w:rPr/>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417" w:before="0" w:after="0"/>
        <w:jc w:val="left"/>
        <w:rPr/>
      </w:pPr>
      <w:hyperlink w:anchor="id55c8df0a38248a4bad356932827798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Equity Securities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Equity Securities are carried at fair value with changes in fair value recorded in Other Revenue, Including Interest and Investments, on the Unaudited Condensed Consolidated Statements of Operations. The Company had net unrealized losses of ($65) and ($89) for the three months ended March 31, 2026 and 2025, respectively.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Debt Securities Carried by EGL</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EGL invests in a fixed income portfolio consisting primarily of U.S. Treasury securities. These securities are carried at fair value, with changes in fair value recorded in Other Revenue, Including Interest and Investments, on the Unaudited Condensed Consolidated Statements of Operations, as required for broker-dealers in securities. The Company had net realized and unrealized losses of ($53) and ($104) for the three months ended March 31, 2026 and 2025, respectively.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Investment Funds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invests in a portfolio of exchange-traded funds as an economic hedge against its deferred cash compensation program. See Note 15 for further information. These securities are carried at fair value, with changes in fair value recorded in Other Revenue, Including Interest and Investments, on the Unaudited Condensed Consolidated Statements of Operations. The Company had net realized and unrealized losses of ($7,214) and ($5,931) for the three months ended March 31, 2026 and 2025, respectively (of which ($35,094) and ($28,539), respectively, were net unrealized losses).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Certificates of Deposit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At March 31, 2026 and December 31, 2025, the Company held certificates of deposit of $198,331 and $40,421, respectively, with certain banks with original maturities of seven months or less when purchased.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8 – Investments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investments reported on the Unaudited Condensed Consolidated Statements of Financial Condition consist of investments in unconsolidated affiliated companies, other investments in private equity partnerships and equity securities in private companies. The Company's investments are relatively high-risk and illiquid assets.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investments in Atalanta Sosnoff and Seneca Evercore are in voting interest entities. The Company's share of earnings (losses) from these investments is included within Income from Equity Method Investments on the Unaudited Condensed Consolidated Statements of Operations.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also has investments in private equity partnerships which consist of investment interests in private equity funds which are voting interest entities. Realized and unrealized gains and losses on private equity investments are included within Other Revenue, Including Interest and Investments, on the Unaudited Condensed Consolidated Statements of Operations.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Equity Method Investments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summary of the Company's investments accounted for under the equity method of accounting as of March 31, 2026 and December 31, 2025 was as follows:</w:t>
      </w:r>
    </w:p>
    <w:tbl>
      <w:tblPr>
        <w:tblW w:w="4600" w:type="dxa"/>
        <w:jc w:val="left"/>
        <w:tblInd w:w="0" w:type="dxa"/>
        <w:tblLayout w:type="fixed"/>
        <w:tblCellMar>
          <w:top w:w="28" w:type="dxa"/>
          <w:left w:w="28" w:type="dxa"/>
          <w:bottom w:w="28" w:type="dxa"/>
          <w:right w:w="28" w:type="dxa"/>
        </w:tblCellMar>
      </w:tblPr>
      <w:tblGrid>
        <w:gridCol w:w="533"/>
        <w:gridCol w:w="467"/>
        <w:gridCol w:w="469"/>
        <w:gridCol w:w="255"/>
        <w:gridCol w:w="873"/>
        <w:gridCol w:w="132"/>
        <w:gridCol w:w="109"/>
        <w:gridCol w:w="109"/>
        <w:gridCol w:w="109"/>
        <w:gridCol w:w="299"/>
        <w:gridCol w:w="1025"/>
        <w:gridCol w:w="220"/>
      </w:tblGrid>
      <w:tr>
        <w:trPr/>
        <w:tc>
          <w:tcPr>
            <w:tcW w:w="53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871" w:type="dxa"/>
            <w:gridSpan w:val="6"/>
            <w:tcBorders/>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Atalanta Sosnoff</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11,261 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Seneca Evercore</w:t>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12,420 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12,573 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Atalanta Sosnoff</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has an investment accounted for under the equity method of accounting in Atalanta Sosnoff. At March 31, 2026, the Company's ownership interest in Atalanta Sosnoff was 49%. This investment resulted in earnings of $1,043 and $917 for the three months ended March 31, 2026 and 2025, respectively, included within Income from Equity Method Investments on the Unaudited Condensed Consolidated Statements of Operations.</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417" w:before="0" w:after="0"/>
        <w:jc w:val="left"/>
        <w:rPr/>
      </w:pPr>
      <w:hyperlink w:anchor="id55c8df0a38248a4bad356932827798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Seneca Evercore</w:t>
      </w:r>
    </w:p>
    <w:p>
      <w:pPr>
        <w:pStyle w:val="TextBody"/>
        <w:bidi w:val="0"/>
        <w:spacing w:lineRule="auto" w:line="288" w:before="180" w:after="283"/>
        <w:ind w:left="0" w:right="0" w:firstLine="450"/>
        <w:jc w:val="both"/>
        <w:rPr/>
      </w:pPr>
      <w:r>
        <w:rPr>
          <w:rFonts w:ascii="Times New Roman;serif" w:hAnsi="Times New Roman;serif"/>
          <w:b w:val="false"/>
          <w:color w:val="000000"/>
          <w:sz w:val="20"/>
        </w:rPr>
        <w:t>The Company has an investment accounted for under the equity method of accounting in Seneca Evercore. At March 31, 2026, the Company's ownership interest in Seneca Evercore was 20%. This investment resulted in earnings (losses) of $8 and ($38) for the three months ended March 31, 2026 and 2025, respectively, included within Income from Equity Method Investments on the Unaudited Condensed Consolidated Statements of Operations. This investment is subject to currency translation from the Brazilian real to the U.S. dollar, included in Accumulated Other Comprehensive Income (Loss), on the Unaudited Condensed Consolidated Statements of Financial Condition</w:t>
      </w:r>
      <w:r>
        <w:rPr>
          <w:rFonts w:ascii="Times New Roman;serif" w:hAnsi="Times New Roman;serif"/>
          <w:b w:val="false"/>
          <w:color w:val="000000"/>
          <w:sz w:val="20"/>
          <w:shd w:fill="FFFFFF" w:val="clear"/>
        </w:rPr>
        <w:t>.</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Other</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allocates the purchase price of its equity method investments, in part, to the inherent finite-lived identifiable intangible assets of the investees. The Company's share of the earnings of the investees has been reduced by the amortization of these identifiable intangible assets of $62 for each of the three months ended March 31, 2026 and 2025.</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assesses each of its equity method investments for impairment annually, or more frequently if circumstances indicate impairment may have occurred.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Investments in Private Equity</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Private Equity Funds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investments related to private equity partnerships and associated entities include investments in Glisco Partners II, L.P. ("Glisco II"), Glisco Partners III, L.P. ("Glisco III"), Glisco Capital Partners IV ("Glisco IV"), Trilantic Capital Partners V, L.P. ("Trilantic V") and Trilantic Capital Partners Associates IV, L.P. ("Trilantic IV", through December 2025). Portfolio holdings of the private equity funds are carried at fair value. Accordingly, the Company reflects its pro rata share of unrealized gains and losses occurring from changes in fair value, as well as its pro rata share of realized gains, losses and carried interest associated with any investment realizations.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summary of the Company's investments in the private equity funds as of March 31, 2026 and December 31, 2025 was as follows:</w:t>
      </w:r>
    </w:p>
    <w:tbl>
      <w:tblPr>
        <w:tblW w:w="5935" w:type="dxa"/>
        <w:jc w:val="left"/>
        <w:tblInd w:w="0" w:type="dxa"/>
        <w:tblLayout w:type="fixed"/>
        <w:tblCellMar>
          <w:top w:w="28" w:type="dxa"/>
          <w:left w:w="28" w:type="dxa"/>
          <w:bottom w:w="28" w:type="dxa"/>
          <w:right w:w="28" w:type="dxa"/>
        </w:tblCellMar>
      </w:tblPr>
      <w:tblGrid>
        <w:gridCol w:w="1016"/>
        <w:gridCol w:w="890"/>
        <w:gridCol w:w="899"/>
        <w:gridCol w:w="284"/>
        <w:gridCol w:w="829"/>
        <w:gridCol w:w="146"/>
        <w:gridCol w:w="109"/>
        <w:gridCol w:w="109"/>
        <w:gridCol w:w="109"/>
        <w:gridCol w:w="331"/>
        <w:gridCol w:w="970"/>
        <w:gridCol w:w="243"/>
      </w:tblGrid>
      <w:tr>
        <w:trPr/>
        <w:tc>
          <w:tcPr>
            <w:tcW w:w="101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871" w:type="dxa"/>
            <w:gridSpan w:val="6"/>
            <w:tcBorders/>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Glisco II, Glisco III and Glisco IV</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Trilantic V</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Private Equity Funds</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realized and unrealized gains (losses) on private equity fund investments were $1 and ($980) for the three months ended March 31, 2026 and 2025, respectively. In the event the funds perform poorly, the Company may be obligated to repay certain carried interest previously distributed. As of March 31, 2026, there was no previously distributed carried interest received from the funds subject to repayment.</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General Partners of Private Equity Funds which are VIEs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has concluded that Glisco Capital Partners II, Glisco Capital Partners III and Glisco Manager Holdings LP are VIEs and that the Company is not the primary beneficiary of these VIEs. The Company's assessment of the primary beneficiary of these entities included assessing which parties have the power to significantly impact the economic performance of these entities and the obligation to absorb losses, which could be potentially significant to the entities, or the right to receive benefits from the entities that could be potentially significant. Neither the Company nor its related parties will have the ability to make decisions that significantly impact the economic performance of these entities. Further, as a limited partner in these entities, the Company does not possess substantive participating rights. The Company had assets of $1,327 included in its Unaudited Condensed Consolidated Statements of Financial Condition at March 31, 2026 and December 31, 2025 related to these unconsolidated VIEs, representing the carrying value of the Company's investments in the entities. The Company's exposure to the obligations of these VIEs is generally limited to its investments in these entities. The Company's maximum exposure to loss as of March 31, 2026 and December 31, 2025 was $3,510 which represents the carrying value of the Company's investments in these VIEs, as well as any unfunded commitments to the current and future funds.</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417" w:before="0" w:after="0"/>
        <w:jc w:val="left"/>
        <w:rPr/>
      </w:pPr>
      <w:hyperlink w:anchor="id55c8df0a38248a4bad356932827798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Other Investments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certain instances, the Company makes investments in private companies in exchange for equity securities and warrants, or receives equity securities in private companies in exchange for advisory services. These investments, which had a balance of $1,660 and $1,673 as of March 31, 2026 and December 31, 2025, respectively, are accounted for at their cost minus impairment, if any, plus or minus changes resulting from observable price changes.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9 – Leases</w:t>
      </w:r>
    </w:p>
    <w:p>
      <w:pPr>
        <w:pStyle w:val="TextBody"/>
        <w:bidi w:val="0"/>
        <w:spacing w:lineRule="auto" w:line="288" w:before="180" w:after="283"/>
        <w:ind w:left="0" w:right="0" w:firstLine="450"/>
        <w:jc w:val="both"/>
        <w:rPr/>
      </w:pPr>
      <w:r>
        <w:rPr>
          <w:rFonts w:ascii="Times New Roman;serif" w:hAnsi="Times New Roman;serif"/>
          <w:b/>
          <w:i/>
          <w:color w:val="000000"/>
          <w:sz w:val="20"/>
        </w:rPr>
        <w:t>Operating Leases</w:t>
      </w:r>
      <w:r>
        <w:rPr>
          <w:color w:val="000000"/>
        </w:rPr>
        <w:t xml:space="preserve"> – </w:t>
      </w:r>
      <w:r>
        <w:rPr>
          <w:rFonts w:ascii="Times New Roman;serif" w:hAnsi="Times New Roman;serif"/>
          <w:b w:val="false"/>
          <w:color w:val="000000"/>
          <w:sz w:val="20"/>
        </w:rPr>
        <w:t>The Company leases office space under non-cancelable lease agreements, which expire on various dates through 2035. The Company reflects lease expense over the lease terms on a straight-line basis, which include options to extend the lease when it is reasonably certain that the Company will exercise that option. Occupancy lease agreements, in addition to base rentals, generally are subject to escalation provisions based on certain costs incurred by the landlord. The Company does not have any leases with variable lease payments. Occupancy and Equipment Rental on the Unaudited Condensed Consolidated Statements of Operations includes operating lease cost for office space of $20,521 and $17,353 for the three months ended March 31, 2026 and 2025, respectively, and variable lease cost, which principally include costs for real estate taxes, common area maintenance and other operating expenses of $1,380 and $1,655 for the three months ended March 31, 2026 and 2025, respectively.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conjunction with the lease of office space, the Company has entered into letters of credit in the amount of $6,083 and $6,037 as of March 31, 2026 and December 31, 2025, respectively, which are secured by cash that is included in Other Assets on the Unaudited Condensed Consolidated Statements of Financial Condition.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various operating leases for the use of office equipment (primarily computers, printers, copiers and other information technology related equipment). Occupancy and Equipment Rental on the Unaudited Condensed Consolidated Statements of Operations includes operating lease cost for office equipment of $1,520 and $1,550 for the three months ended March 31, 2026 and 2025, respectively.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uses its secured incremental borrowing rate to determine the present value of its right-of-use assets and lease liabilities. The determination of an appropriate incremental borrowing rate requires significant assumptions and judgment. The Company's incremental borrowing rate was calculated based on the Company's recent debt issuances and current market conditions. The Company scales the rates appropriately depending on the life of the leases.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incurred net operating cash outflows of $21,240 and $15,609 for the three months ended March 31, 2026 and 2025, respectively, related to its operating leases, which was net of cash received from lease incentives of $3,408 for the three months ended March 31, 2025.</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information as it relates to the Company's operating leases is as follows:</w:t>
      </w:r>
    </w:p>
    <w:tbl>
      <w:tblPr>
        <w:tblW w:w="10205" w:type="dxa"/>
        <w:jc w:val="center"/>
        <w:tblInd w:w="0" w:type="dxa"/>
        <w:tblLayout w:type="fixed"/>
        <w:tblCellMar>
          <w:top w:w="28" w:type="dxa"/>
          <w:left w:w="28" w:type="dxa"/>
          <w:bottom w:w="28" w:type="dxa"/>
          <w:right w:w="28" w:type="dxa"/>
        </w:tblCellMar>
      </w:tblPr>
      <w:tblGrid>
        <w:gridCol w:w="2068"/>
        <w:gridCol w:w="1733"/>
        <w:gridCol w:w="1738"/>
        <w:gridCol w:w="109"/>
        <w:gridCol w:w="109"/>
        <w:gridCol w:w="216"/>
        <w:gridCol w:w="216"/>
        <w:gridCol w:w="418"/>
        <w:gridCol w:w="1222"/>
        <w:gridCol w:w="537"/>
        <w:gridCol w:w="109"/>
        <w:gridCol w:w="109"/>
        <w:gridCol w:w="109"/>
        <w:gridCol w:w="218"/>
        <w:gridCol w:w="747"/>
        <w:gridCol w:w="281"/>
        <w:gridCol w:w="109"/>
        <w:gridCol w:w="157"/>
      </w:tblGrid>
      <w:tr>
        <w:trPr/>
        <w:tc>
          <w:tcPr>
            <w:tcW w:w="2068"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5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Right-of-Use Assets obtained in exchange for new 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5,385 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17,146 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75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years</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2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March 31, 2026, the maturities of the undiscounted operating lease liabilities for which the Company has commenced use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417" w:before="0" w:after="0"/>
        <w:jc w:val="left"/>
        <w:rPr/>
      </w:pPr>
      <w:hyperlink w:anchor="id55c8df0a38248a4bad356932827798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tbl>
      <w:tblPr>
        <w:tblW w:w="4461" w:type="dxa"/>
        <w:jc w:val="left"/>
        <w:tblInd w:w="0" w:type="dxa"/>
        <w:tblLayout w:type="fixed"/>
        <w:tblCellMar>
          <w:top w:w="28" w:type="dxa"/>
          <w:left w:w="28" w:type="dxa"/>
          <w:bottom w:w="28" w:type="dxa"/>
          <w:right w:w="28" w:type="dxa"/>
        </w:tblCellMar>
      </w:tblPr>
      <w:tblGrid>
        <w:gridCol w:w="1184"/>
        <w:gridCol w:w="1039"/>
        <w:gridCol w:w="1047"/>
        <w:gridCol w:w="211"/>
        <w:gridCol w:w="826"/>
        <w:gridCol w:w="154"/>
      </w:tblGrid>
      <w:tr>
        <w:trPr/>
        <w:tc>
          <w:tcPr>
            <w:tcW w:w="118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(April 1 through December 31)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711,262 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Tenant Improvement Allowances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558,545 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497,434 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certain lease agreements, primarily for office space, which have not yet commenced and thus are not yet included on the Company's Unaudited Condensed Consolidated Statements of Financial Condition as right-of-use assets and lease liabilities. The Company anticipates that these leases will commence in 2026 and will have lease terms of 3 to 7 years once they have commenced. The additional future payments under these arrangements are $6,088 as of March 31, 2026.</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September 2024, the Company entered into a binding agreement affirming its intent to lease office space in London, United Kingdom. The Company anticipates signing the lease in 2026, following construction of the building, and anticipates that it will take possession of this space by the end of 2026. The lease term will end in 2041. The expected approximate additional annual expense under this lease agreement, net of certain lease incentives, is £12,000, and the aggregate expected additional future payments under this arrangement are £175,000.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10 – Fair Value Measurements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ASC 820, </w:t>
      </w:r>
      <w:r>
        <w:rPr>
          <w:rFonts w:ascii="Times New Roman;serif" w:hAnsi="Times New Roman;serif"/>
          <w:b w:val="false"/>
          <w:i/>
          <w:color w:val="000000"/>
          <w:sz w:val="20"/>
        </w:rPr>
        <w:t xml:space="preserve">"Fair Value Measurements and Disclosures" </w:t>
      </w:r>
      <w:r>
        <w:rPr>
          <w:rFonts w:ascii="Times New Roman;serif" w:hAnsi="Times New Roman;serif"/>
          <w:b w:val="false"/>
          <w:color w:val="000000"/>
          <w:sz w:val="20"/>
        </w:rPr>
        <w:t>("ASC 820") establishes a hierarchical disclosure framework which prioritizes and ranks the level of market price observability used in measuring investments at fair value. Market price observability is affected by a number of factors, including the type of investment and the characteristics specific to the investment. Investments with readily-available active quoted prices, or for which fair value can be measured from actively quoted prices, generally will have a higher degree of market price observability and a lesser degree of judgment used in measuring fair value.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Investments and certain other financial assets and liabilities measured and reported at fair value are classified and disclosed in one of the following categories: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Level 1 – Quoted prices are available in active markets for identical assets and liabilities as of the reporting date. The type of investments included in Level 1 include listed equities, listed derivatives and U.S. Treasury securities. As required by ASC 820, the Company does not adjust the quoted price for these investments, even in situations where the Company holds a large position and a sale could reasonably impact the quoted price.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Level 2 – Pricing inputs are other than quoted prices in active markets, which are either directly or indirectly observable as of the reporting date, and fair value is determined through the use of models or other valuation methodologies. Periodically, the Company holds investments in corporate bonds, municipal bonds and other debt securities, the estimated fair values of which are based on prices provided by external pricing services. The Company also periodically holds foreign exchange currency forward contracts, the estimated fair value of which is based on foreign currency exchange rates provided by external services.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Level 3 – Pricing inputs are unobservable for the asset or liability and includes situations where there is little, if any, market activity. The inputs into the determination of fair value require significant management judgment or estimation.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categorization of investments and certain other financial assets and liabilities measured at fair value on a recurring basis as of March 31, 2026 and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417" w:before="0" w:after="0"/>
        <w:jc w:val="left"/>
        <w:rPr/>
      </w:pPr>
      <w:hyperlink w:anchor="id55c8df0a38248a4bad356932827798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tbl>
      <w:tblPr>
        <w:tblW w:w="8744" w:type="dxa"/>
        <w:jc w:val="left"/>
        <w:tblInd w:w="0" w:type="dxa"/>
        <w:tblLayout w:type="fixed"/>
        <w:tblCellMar>
          <w:top w:w="28" w:type="dxa"/>
          <w:left w:w="28" w:type="dxa"/>
          <w:bottom w:w="28" w:type="dxa"/>
          <w:right w:w="28" w:type="dxa"/>
        </w:tblCellMar>
      </w:tblPr>
      <w:tblGrid>
        <w:gridCol w:w="1211"/>
        <w:gridCol w:w="1066"/>
        <w:gridCol w:w="1082"/>
        <w:gridCol w:w="211"/>
        <w:gridCol w:w="976"/>
        <w:gridCol w:w="109"/>
        <w:gridCol w:w="109"/>
        <w:gridCol w:w="109"/>
        <w:gridCol w:w="109"/>
        <w:gridCol w:w="211"/>
        <w:gridCol w:w="406"/>
        <w:gridCol w:w="109"/>
        <w:gridCol w:w="109"/>
        <w:gridCol w:w="109"/>
        <w:gridCol w:w="109"/>
        <w:gridCol w:w="211"/>
        <w:gridCol w:w="721"/>
        <w:gridCol w:w="109"/>
        <w:gridCol w:w="109"/>
        <w:gridCol w:w="109"/>
        <w:gridCol w:w="109"/>
        <w:gridCol w:w="211"/>
        <w:gridCol w:w="976"/>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Carried by EGL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Debt and Equity Securities</w:t>
            </w:r>
            <w:r>
              <w:rPr>
                <w:rFonts w:ascii="Times New Roman;serif" w:hAnsi="Times New Roman;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Investment Funds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848,407 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Contingent Consideration Liability</w:t>
            </w:r>
            <w:r>
              <w:rPr>
                <w:rFonts w:ascii="Times New Roman;serif" w:hAnsi="Times New Roman;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Measured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8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Carried by EGL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486,641 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Debt and Equity Securities</w:t>
            </w:r>
            <w:r>
              <w:rPr>
                <w:rFonts w:ascii="Times New Roman;serif" w:hAnsi="Times New Roman;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Funds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1,563,325 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Contingent Consideration Liability</w:t>
            </w:r>
            <w:r>
              <w:rPr>
                <w:rFonts w:ascii="Times New Roman;serif" w:hAnsi="Times New Roman;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Measured at Fair Value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$11,708 and $23,108 of U.S. Treasury securities classified within Cash and Cash Equivalents on the Unaudited Condensed Consolidated Statements of Financial Condition as of March 31, 2026 and December 31, 2025, respectively.</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Company's contingent consideration liability is reflected, at fair value, within Other Long-term Liabilities on the Company's Unaudited Condensed Consolidated Statements of Financial Condition. The fair value of the contingent consideration liability is remeasured at each reporting period using the probability-weighted expected return method. The inputs used to derive the fair value of the contingent consideration include the application of probabilities when assessing certain performance thresholds for the relevant periods. The change in the fair value of the contingent consideration resulted in Other Operating Expenses of $1,203 for the three months ended March 31, 2026 on the Unaudited Condensed Consolidated Statement of Operations.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considers factors specific to the investment.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carrying amount and estimated fair value of the Company's financial instrument assets and liabilities, which are not measured at fair value on the Unaudited Condensed Consolidated Statements of Financial Condition, are listed in the tables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417" w:before="0" w:after="0"/>
        <w:jc w:val="left"/>
        <w:rPr/>
      </w:pPr>
      <w:hyperlink w:anchor="id55c8df0a38248a4bad356932827798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tbl>
      <w:tblPr>
        <w:tblW w:w="10205" w:type="dxa"/>
        <w:jc w:val="left"/>
        <w:tblInd w:w="0" w:type="dxa"/>
        <w:tblLayout w:type="fixed"/>
        <w:tblCellMar>
          <w:top w:w="28" w:type="dxa"/>
          <w:left w:w="28" w:type="dxa"/>
          <w:bottom w:w="28" w:type="dxa"/>
          <w:right w:w="28" w:type="dxa"/>
        </w:tblCellMar>
      </w:tblPr>
      <w:tblGrid>
        <w:gridCol w:w="1178"/>
        <w:gridCol w:w="1006"/>
        <w:gridCol w:w="1012"/>
        <w:gridCol w:w="211"/>
        <w:gridCol w:w="976"/>
        <w:gridCol w:w="109"/>
        <w:gridCol w:w="109"/>
        <w:gridCol w:w="109"/>
        <w:gridCol w:w="109"/>
        <w:gridCol w:w="211"/>
        <w:gridCol w:w="976"/>
        <w:gridCol w:w="109"/>
        <w:gridCol w:w="109"/>
        <w:gridCol w:w="109"/>
        <w:gridCol w:w="109"/>
        <w:gridCol w:w="211"/>
        <w:gridCol w:w="721"/>
        <w:gridCol w:w="109"/>
        <w:gridCol w:w="109"/>
        <w:gridCol w:w="109"/>
        <w:gridCol w:w="109"/>
        <w:gridCol w:w="211"/>
        <w:gridCol w:w="406"/>
        <w:gridCol w:w="109"/>
        <w:gridCol w:w="109"/>
        <w:gridCol w:w="109"/>
        <w:gridCol w:w="109"/>
        <w:gridCol w:w="211"/>
        <w:gridCol w:w="976"/>
        <w:gridCol w:w="155"/>
      </w:tblGrid>
      <w:tr>
        <w:trPr/>
        <w:tc>
          <w:tcPr>
            <w:tcW w:w="1178"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1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31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31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and Cash Equivalents</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974,279 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1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Receivables</w:t>
            </w:r>
            <w:r>
              <w:rPr>
                <w:rFonts w:ascii="Times New Roman;serif" w:hAnsi="Times New Roman;serif"/>
                <w:b w:val="false"/>
                <w:color w:val="000000"/>
                <w:sz w:val="13"/>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684,256 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Contract Assets</w:t>
            </w:r>
            <w:r>
              <w:rPr>
                <w:rFonts w:ascii="Times New Roman;serif" w:hAnsi="Times New Roman;serif"/>
                <w:b w:val="false"/>
                <w:color w:val="000000"/>
                <w:sz w:val="13"/>
              </w:rPr>
              <w:t>(3)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1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Closely-held Equity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 to Employees and Related Parties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519,725 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1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and Cash Equivalents</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1,402,912 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1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Receivables</w:t>
            </w:r>
            <w:r>
              <w:rPr>
                <w:rFonts w:ascii="Times New Roman;serif" w:hAnsi="Times New Roman;serif"/>
                <w:b w:val="false"/>
                <w:color w:val="000000"/>
                <w:sz w:val="13"/>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680,998 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Contract Assets</w:t>
            </w:r>
            <w:r>
              <w:rPr>
                <w:rFonts w:ascii="Times New Roman;serif" w:hAnsi="Times New Roman;serif"/>
                <w:b w:val="false"/>
                <w:color w:val="000000"/>
                <w:sz w:val="13"/>
              </w:rPr>
              <w:t>(3)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1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Closely-held Equity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 to Employees and Related Parties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Notes Payable</w:t>
            </w:r>
            <w:r>
              <w:rPr>
                <w:rFonts w:ascii="Times New Roman;serif" w:hAnsi="Times New Roman;serif"/>
                <w:b w:val="false"/>
                <w:color w:val="000000"/>
                <w:sz w:val="13"/>
              </w:rPr>
              <w:t>(4)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575,879 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(1)Excludes $11,708 and $23,108 of U.S. Treasury securities classified within Cash and Cash Equivalents on the Unaudited Condensed Consolidated Statements of Financial Condition as of March 31, 2026 and December 31, 2025, respectively.</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(2)Includes Accounts Receivable, as well as long-term receivables, which are included in Other Assets on the Unaudited Condensed Consolidated Statements of Financial Condition.</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(3)Includes current and long-term contract assets included in Other Current Assets and Other Assets on the Unaudited Condensed Consolidated Statements of Financial Condition.</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(4)Includes current and long-term Notes Payable included in Current Portion of Notes Payable and Notes Payable on the Unaudited Condensed Consolidated Statements of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Note 11 – Notes Payable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March 30, 2016, the Company issued an aggregate of $170,000 of senior notes, including: $38,000 aggregate principal amount of its 4.88% Series A senior notes which were due and repaid on March 30, 2021 (the "Series A Notes"), $67,000 aggregate principal amount of its 5.23% Series B senior notes which were originally due March 30, 2023 and prepaid on June 28, 2022 (the "Series B Notes"), $48,000 aggregate principal amount of its 5.48% Series C senior notes which were due and repaid on March 30, 2026 (the "Series C Notes") and $17,000 aggregate principal amount of its 5.58% Series D senior notes due March 30, 2028 (the "Series D Notes" and together with the Series A Notes, the Series B Notes and the Series C Notes, the "2016 Private Placement Notes"), pursuant to a note purchase agreement dated as of March 30, 2016 (the "2016 Note Purchase Agreement") and amended on July 10, 2025, among the Company and the purchasers party thereto in a private placement exempt from registration under the Securities Act of 1933. In March 2026, the Company repaid the $48,000 aggregate principal amount of its Series C Notes.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 2019, the Company issued $175,000 and £25,000 of senior unsecured notes through private placement. These notes include: $75,000 aggregate principal amount of its 4.34% Series E senior notes due August 1, 2029 (the "Series 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417" w:before="0" w:after="0"/>
        <w:jc w:val="left"/>
        <w:rPr/>
      </w:pPr>
      <w:hyperlink w:anchor="id55c8df0a38248a4bad356932827798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Notes"), $60,000 aggregate principal amount of its 4.44% Series F senior notes due August 1, 2031 (the "Series F Notes"), $40,000 aggregate principal amount of its 4.54% Series G senior notes due August 1, 2033 (the "Series G Notes") and £25,000 aggregate principal amount of its 3.33% Series H senior notes due August 1, 2033 (the "Series H Notes" and together with the Series E Notes, the Series F Notes and the Series G Notes, the "2019 Private Placement Notes"), each of which were issued pursuant to a note purchase agreement dated as of August 1, 2019 (the "2019 Note Purchase Agreement") and amended on July 10, 2025, among the Company and the purchasers party thereto in a private placement exempt from registration under the Securities Act of 1933.</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March 29, 2021, the Company issued $38,000 aggregate principal amount of its 1.97% Series I senior notes which were due and repaid on August 1, 2025 (the "Series I Notes" or the "2021 Private Placement Notes"), pursuant to a note purchase agreement dated as of March 29, 2021 (the "2021 Note Purchase Agreement"), among the Company and the purchasers party thereto in a private placement exempt from registration under the Securities Act of 1933.</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June 28, 2022, the Company issued $67,000 aggregate principal amount of its 4.61% Series J senior notes due November 15, 2028 (the "Series J Notes" or the "2022 Private Placement Notes"), pursuant to a note purchase agreement dated as of June 28, 2022 (the "2022 Note Purchase Agreement") and amended on July 10, 2025, among the Company and the purchasers party thereto in a private placement exempt from registration under the Securities Act of 1933.</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24, 2025, the Company issued an aggregate of $250,000 of senior notes, including: $125,000 aggregate principal amount of its 5.17% Series K senior notes due July 24, 2030 (the "Series K Notes") and $125,000 aggregate principal amount of its 5.47% Series L senior notes due July 24, 2032 (the "Series L Notes" and together with the Series K Notes, the "2025 Private Placement Notes"), pursuant to a note purchase agreement dated as of July 10, 2025 (the "2025 Note Purchase Agreement"), among the Company and the purchasers party thereto in a private placement exempt from registration under the Securities Act of 1933.</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on the above issuances is payable semi-annually and the notes are guaranteed by certain of the Company's domestic subsidiaries. The Company may, at its option, prepay all, or from time to time any part of, the notes (without regard to Series), in an amount not less than 5% of the aggregate principal amount of each of the individual issuances then outstanding at 100% of the principal amount thereof plus an applicable "make-whole amount." The 2025 Private Placement Notes also allow for prepayment within six months of maturity without an applicable "make-whole amount." Upon the occurrence of a change of control, the holders of the notes will have the right to require the Company to prepay the entire unpaid principal amounts held by each holder of the notes plus accrued and unpaid interest to the prepayment date. The respective Note Purchase Agreements contain customary covenants, including financial covenants requiring compliance with a maximum leverage ratio, a minimum tangible net worth and a minimum interest coverage ratio, and customary events of default. Interest on the notes is subject to certain escalation provisions in the event that the leverage ratio exceeds certain thresholds. As of March 31, 2026, the Company was in compliance with all of these covenants.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Notes Payable is comprised of the following as of March 31, 2026 and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417" w:before="0" w:after="0"/>
        <w:jc w:val="left"/>
        <w:rPr/>
      </w:pPr>
      <w:hyperlink w:anchor="id55c8df0a38248a4bad356932827798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tbl>
      <w:tblPr>
        <w:tblW w:w="10205" w:type="dxa"/>
        <w:jc w:val="left"/>
        <w:tblInd w:w="0" w:type="dxa"/>
        <w:tblLayout w:type="fixed"/>
        <w:tblCellMar>
          <w:top w:w="28" w:type="dxa"/>
          <w:left w:w="28" w:type="dxa"/>
          <w:bottom w:w="28" w:type="dxa"/>
          <w:right w:w="28" w:type="dxa"/>
        </w:tblCellMar>
      </w:tblPr>
      <w:tblGrid>
        <w:gridCol w:w="1095"/>
        <w:gridCol w:w="966"/>
        <w:gridCol w:w="980"/>
        <w:gridCol w:w="109"/>
        <w:gridCol w:w="109"/>
        <w:gridCol w:w="109"/>
        <w:gridCol w:w="360"/>
        <w:gridCol w:w="360"/>
        <w:gridCol w:w="362"/>
        <w:gridCol w:w="109"/>
        <w:gridCol w:w="109"/>
        <w:gridCol w:w="109"/>
        <w:gridCol w:w="481"/>
        <w:gridCol w:w="449"/>
        <w:gridCol w:w="1123"/>
        <w:gridCol w:w="109"/>
        <w:gridCol w:w="109"/>
        <w:gridCol w:w="109"/>
        <w:gridCol w:w="228"/>
        <w:gridCol w:w="892"/>
        <w:gridCol w:w="117"/>
        <w:gridCol w:w="109"/>
        <w:gridCol w:w="109"/>
        <w:gridCol w:w="109"/>
        <w:gridCol w:w="261"/>
        <w:gridCol w:w="1026"/>
        <w:gridCol w:w="197"/>
      </w:tblGrid>
      <w:tr>
        <w:trPr/>
        <w:tc>
          <w:tcPr>
            <w:tcW w:w="1095"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8"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Carrying Value</w:t>
            </w:r>
            <w:r>
              <w:rPr>
                <w:rFonts w:ascii="Times New Roman;serif" w:hAnsi="Times New Roman;serif"/>
                <w:b/>
                <w:color w:val="000000"/>
                <w:sz w:val="10"/>
              </w:rPr>
              <w:t>(1)</w:t>
            </w:r>
          </w:p>
        </w:tc>
      </w:tr>
      <w:tr>
        <w:trPr/>
        <w:tc>
          <w:tcPr>
            <w:tcW w:w="3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811" w:type="dxa"/>
            <w:gridSpan w:val="6"/>
            <w:tcBorders/>
          </w:tcPr>
          <w:p>
            <w:pPr>
              <w:pStyle w:val="TableContents"/>
              <w:bidi w:val="0"/>
              <w:spacing w:before="0" w:after="283"/>
              <w:jc w:val="left"/>
              <w:rPr>
                <w:sz w:val="4"/>
                <w:szCs w:val="4"/>
              </w:rPr>
            </w:pPr>
            <w:r>
              <w:rPr>
                <w:sz w:val="4"/>
                <w:szCs w:val="4"/>
              </w:rPr>
            </w:r>
          </w:p>
        </w:tc>
      </w:tr>
      <w:tr>
        <w:trPr/>
        <w:tc>
          <w:tcPr>
            <w:tcW w:w="3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Annual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Evercore Inc. 5.48% Series C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1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47,981 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Evercore Inc. 5.58% Series D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1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Evercore Inc. 4.34% Series 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1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74,715 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74,696 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Evercore Inc. 4.44% Series F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1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59,696 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59,684 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Evercore Inc. 4.54% Series G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1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39,761 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Evercore Inc. 3.33% Series H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1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32,878 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0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Evercore Inc. 4.61% Series J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1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66,338 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66,280 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Evercore Inc. 5.17% Series K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1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124,710 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124,695 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Evercore Inc. 5.47% Series L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1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124,696 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124,686 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539,749 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588,224 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(47,981)</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539,749 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540,243 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(1)Carrying value has been adjusted to reflect the presentation of debt issuance costs as a direct reduction from the related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12 – Evercore Inc. Stockholders' Equity</w:t>
      </w:r>
    </w:p>
    <w:p>
      <w:pPr>
        <w:pStyle w:val="TextBody"/>
        <w:bidi w:val="0"/>
        <w:spacing w:lineRule="auto" w:line="288" w:before="180" w:after="283"/>
        <w:ind w:left="0" w:right="0" w:firstLine="450"/>
        <w:jc w:val="both"/>
        <w:rPr/>
      </w:pPr>
      <w:r>
        <w:rPr>
          <w:rFonts w:ascii="Times New Roman;serif" w:hAnsi="Times New Roman;serif"/>
          <w:b/>
          <w:i/>
          <w:color w:val="000000"/>
          <w:sz w:val="20"/>
        </w:rPr>
        <w:t>Dividends</w:t>
      </w:r>
      <w:r>
        <w:rPr>
          <w:color w:val="000000"/>
        </w:rPr>
        <w:t xml:space="preserve"> – </w:t>
      </w:r>
      <w:r>
        <w:rPr>
          <w:rFonts w:ascii="Times New Roman;serif" w:hAnsi="Times New Roman;serif"/>
          <w:b w:val="false"/>
          <w:color w:val="000000"/>
          <w:sz w:val="20"/>
        </w:rPr>
        <w:t>On April 28, 2026, the Company's Board of Directors declared a quarterly cash dividend of $0.89 per share to the holders of record of the Company's Class A Shares as of May 29, 2026, which will be paid on June 12, 2026. During the three months ended March 31, 2026, the Company declared and paid dividends of $0.84 per share, totaling $32,990, and accrued deferred cash dividends on restricted stock units ("RSUs") totaling $3,723. During the three months ended March 31, 2026, the Company also paid deferred cash dividends of $16,800. During the three months ended March 31, 2025, the Company declared and paid dividends of $0.80 per share, totaling $31,216, and accrued deferred cash dividends on RSUs totaling $3,763. During the three months ended March 31, 2025, the Company also paid deferred cash dividends of $15,236.</w:t>
      </w:r>
    </w:p>
    <w:p>
      <w:pPr>
        <w:pStyle w:val="TextBody"/>
        <w:bidi w:val="0"/>
        <w:spacing w:lineRule="auto" w:line="288" w:before="180" w:after="283"/>
        <w:ind w:left="0" w:right="0" w:firstLine="450"/>
        <w:jc w:val="both"/>
        <w:rPr/>
      </w:pPr>
      <w:r>
        <w:rPr>
          <w:rFonts w:ascii="Times New Roman;serif" w:hAnsi="Times New Roman;serif"/>
          <w:b/>
          <w:i/>
          <w:color w:val="000000"/>
          <w:sz w:val="20"/>
        </w:rPr>
        <w:t xml:space="preserve">Treasury Stock </w:t>
      </w:r>
      <w:r>
        <w:rPr>
          <w:color w:val="000000"/>
        </w:rPr>
        <w:t xml:space="preserve">– </w:t>
      </w:r>
      <w:r>
        <w:rPr>
          <w:rFonts w:ascii="Times New Roman;serif" w:hAnsi="Times New Roman;serif"/>
          <w:b w:val="false"/>
          <w:color w:val="000000"/>
          <w:sz w:val="20"/>
        </w:rPr>
        <w:t>During the three months ended March 31, 2026, the Company purchased 904 Class A Shares from employees at an average cost per share of $344.71, primarily for the net settlement of stock-based compensation awards, and 1,026 Class A Shares at an average cost per share of $302.01 pursuant to the Company's share repurchase program. The aggregate 1,930 Class A Shares were purchased at an average cost per share of $322.00 and the result of these purchases was an increase in Treasury Stock of $621,349 on the Company's Unaudited Condensed Consolidated Statement of Financial Condition as of March 31, 2026.</w:t>
      </w:r>
    </w:p>
    <w:p>
      <w:pPr>
        <w:pStyle w:val="TextBody"/>
        <w:bidi w:val="0"/>
        <w:spacing w:lineRule="auto" w:line="288" w:before="180" w:after="283"/>
        <w:ind w:left="0" w:right="0" w:firstLine="450"/>
        <w:jc w:val="both"/>
        <w:rPr/>
      </w:pPr>
      <w:r>
        <w:rPr>
          <w:rFonts w:ascii="Times New Roman;serif" w:hAnsi="Times New Roman;serif"/>
          <w:b/>
          <w:i/>
          <w:color w:val="000000"/>
          <w:sz w:val="20"/>
        </w:rPr>
        <w:t>Evercore LP Units</w:t>
      </w:r>
      <w:r>
        <w:rPr>
          <w:color w:val="000000"/>
        </w:rPr>
        <w:t xml:space="preserve"> – </w:t>
      </w:r>
      <w:r>
        <w:rPr>
          <w:rFonts w:ascii="Times New Roman;serif" w:hAnsi="Times New Roman;serif"/>
          <w:b w:val="false"/>
          <w:color w:val="000000"/>
          <w:sz w:val="20"/>
        </w:rPr>
        <w:t>During the three months ended March 31, 2026, 65 Evercore LP partnership units ("LP Units") were exchanged for Class A Shares, resulting in an increase to Class A Common Stock and Additional Paid-In Capital of $1 and $6,855, respectively, on the Company's Unaudited Condensed Consolidated Statement of Financial Condition as of March 31, 2026. See Note 13 for further information.</w:t>
      </w:r>
    </w:p>
    <w:p>
      <w:pPr>
        <w:pStyle w:val="TextBody"/>
        <w:bidi w:val="0"/>
        <w:spacing w:lineRule="auto" w:line="288" w:before="180" w:after="283"/>
        <w:ind w:left="0" w:right="0" w:firstLine="450"/>
        <w:jc w:val="both"/>
        <w:rPr/>
      </w:pPr>
      <w:r>
        <w:rPr>
          <w:rFonts w:ascii="Times New Roman;serif" w:hAnsi="Times New Roman;serif"/>
          <w:b/>
          <w:i/>
          <w:color w:val="000000"/>
          <w:sz w:val="20"/>
        </w:rPr>
        <w:t>Accumulated Other Comprehensive Income (Loss)</w:t>
      </w:r>
      <w:r>
        <w:rPr>
          <w:color w:val="000000"/>
        </w:rPr>
        <w:t xml:space="preserve"> – </w:t>
      </w:r>
      <w:r>
        <w:rPr>
          <w:rFonts w:ascii="Times New Roman;serif" w:hAnsi="Times New Roman;serif"/>
          <w:b w:val="false"/>
          <w:color w:val="000000"/>
          <w:sz w:val="20"/>
        </w:rPr>
        <w:t>As of March 31, 2026, Accumulated Other Comprehensive Income (Loss) on the Company's Unaudited Condensed Consolidated Statement of Financial Condition includes an accumulated Unrealized Gain (Loss) on Securities and Investments, net, and Foreign Currency Translation Adjustment Gain (Loss), net, of ($44) and ($23,155),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13 – Noncontrolling Interest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Noncontrolling Interest recorded in the unaudited condensed consolidated financial statements of the Company relates to the following approximate interests in certain consolidated subsidiaries, which are not owned by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417" w:before="0" w:after="0"/>
        <w:jc w:val="left"/>
        <w:rPr/>
      </w:pPr>
      <w:hyperlink w:anchor="id55c8df0a38248a4bad356932827798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tbl>
      <w:tblPr>
        <w:tblW w:w="5229" w:type="dxa"/>
        <w:jc w:val="left"/>
        <w:tblInd w:w="0" w:type="dxa"/>
        <w:tblLayout w:type="fixed"/>
        <w:tblCellMar>
          <w:top w:w="28" w:type="dxa"/>
          <w:left w:w="28" w:type="dxa"/>
          <w:bottom w:w="28" w:type="dxa"/>
          <w:right w:w="28" w:type="dxa"/>
        </w:tblCellMar>
      </w:tblPr>
      <w:tblGrid>
        <w:gridCol w:w="1218"/>
        <w:gridCol w:w="1073"/>
        <w:gridCol w:w="1084"/>
        <w:gridCol w:w="180"/>
        <w:gridCol w:w="181"/>
        <w:gridCol w:w="271"/>
        <w:gridCol w:w="109"/>
        <w:gridCol w:w="109"/>
        <w:gridCol w:w="109"/>
        <w:gridCol w:w="180"/>
        <w:gridCol w:w="181"/>
        <w:gridCol w:w="271"/>
        <w:gridCol w:w="109"/>
        <w:gridCol w:w="154"/>
      </w:tblGrid>
      <w:tr>
        <w:trPr/>
        <w:tc>
          <w:tcPr>
            <w:tcW w:w="121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Evercore LP</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Evercore Wealth Management ("EWM")</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Noncontrolling Interests for Evercore LP and EWM have rights, in certain circumstances, to convert into Class A Shares.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has outstanding Class A LP Units, Class E limited partnership units of Evercore LP ("Class E LP Units"), Class I limited partnership units of Evercore LP ("Class I LP Units") and Class K limited partnership units of Evercore LP ("Class K LP Units"), which give the holders the right to receive Class A Shares upon exchange on a one-for-one basis. See Note 14 for further information.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Changes in Noncontrolling Interest for the three months ended March 31, 2026 and 2025 were as follows:</w:t>
      </w:r>
    </w:p>
    <w:tbl>
      <w:tblPr>
        <w:tblW w:w="10071" w:type="dxa"/>
        <w:jc w:val="left"/>
        <w:tblInd w:w="0" w:type="dxa"/>
        <w:tblLayout w:type="fixed"/>
        <w:tblCellMar>
          <w:top w:w="28" w:type="dxa"/>
          <w:left w:w="28" w:type="dxa"/>
          <w:bottom w:w="28" w:type="dxa"/>
          <w:right w:w="28" w:type="dxa"/>
        </w:tblCellMar>
      </w:tblPr>
      <w:tblGrid>
        <w:gridCol w:w="2300"/>
        <w:gridCol w:w="2016"/>
        <w:gridCol w:w="2028"/>
        <w:gridCol w:w="244"/>
        <w:gridCol w:w="955"/>
        <w:gridCol w:w="126"/>
        <w:gridCol w:w="126"/>
        <w:gridCol w:w="126"/>
        <w:gridCol w:w="126"/>
        <w:gridCol w:w="244"/>
        <w:gridCol w:w="955"/>
        <w:gridCol w:w="126"/>
        <w:gridCol w:w="109"/>
        <w:gridCol w:w="109"/>
        <w:gridCol w:w="109"/>
        <w:gridCol w:w="109"/>
        <w:gridCol w:w="109"/>
        <w:gridCol w:w="154"/>
      </w:tblGrid>
      <w:tr>
        <w:trPr/>
        <w:tc>
          <w:tcPr>
            <w:tcW w:w="2300"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 the Three Months Ended 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6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288,290 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234,166 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w:t>
            </w:r>
          </w:p>
        </w:tc>
        <w:tc>
          <w:tcPr>
            <w:tcW w:w="11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20,574 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Evercore LP Units Exchanged for Class A Shares</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and Vesting of LP Units (see Note 15) and EWM Class A Units </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4"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Items:</w:t>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4"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4"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4"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Noncontrolling Interest</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4"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4"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4"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4"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Items</w:t>
            </w:r>
          </w:p>
        </w:tc>
        <w:tc>
          <w:tcPr>
            <w:tcW w:w="11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(11,633)</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(7,848)</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4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306,515 </w:t>
            </w:r>
          </w:p>
        </w:tc>
        <w:tc>
          <w:tcPr>
            <w:tcW w:w="1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245,095 </w:t>
            </w:r>
          </w:p>
        </w:tc>
        <w:tc>
          <w:tcPr>
            <w:tcW w:w="1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pPr>
      <w:r>
        <w:rPr>
          <w:rFonts w:ascii="Times New Roman;serif" w:hAnsi="Times New Roman;serif"/>
          <w:b/>
          <w:i/>
          <w:color w:val="000000"/>
          <w:sz w:val="20"/>
        </w:rPr>
        <w:t xml:space="preserve">Other Comprehensive Income </w:t>
      </w:r>
      <w:r>
        <w:rPr>
          <w:color w:val="000000"/>
        </w:rPr>
        <w:t xml:space="preserve">– </w:t>
      </w:r>
      <w:r>
        <w:rPr>
          <w:rFonts w:ascii="Times New Roman;serif" w:hAnsi="Times New Roman;serif"/>
          <w:b w:val="false"/>
          <w:color w:val="000000"/>
          <w:sz w:val="20"/>
        </w:rPr>
        <w:t>Other Comprehensive Income (Loss) Attributed to Noncontrolling Interest includes unrealized losses on securities and investments, net, of ($12) and ($17) for the three months ended March 31, 2026 and 2025, respectively, and foreign currency translation adjustment gains (losses), net, of ($900) and $656 for the three months ended March 31, 2026 and 2025, respectively.</w:t>
      </w:r>
    </w:p>
    <w:p>
      <w:pPr>
        <w:pStyle w:val="TextBody"/>
        <w:bidi w:val="0"/>
        <w:spacing w:lineRule="auto" w:line="288" w:before="180" w:after="283"/>
        <w:ind w:left="0" w:right="0" w:firstLine="450"/>
        <w:jc w:val="both"/>
        <w:rPr/>
      </w:pPr>
      <w:r>
        <w:rPr>
          <w:rFonts w:ascii="Times New Roman;serif" w:hAnsi="Times New Roman;serif"/>
          <w:b/>
          <w:i/>
          <w:color w:val="000000"/>
          <w:sz w:val="20"/>
        </w:rPr>
        <w:t>Evercore LP Units</w:t>
      </w:r>
      <w:r>
        <w:rPr>
          <w:color w:val="000000"/>
        </w:rPr>
        <w:t xml:space="preserve"> – </w:t>
      </w:r>
      <w:r>
        <w:rPr>
          <w:rFonts w:ascii="Times New Roman;serif" w:hAnsi="Times New Roman;serif"/>
          <w:b w:val="false"/>
          <w:color w:val="000000"/>
          <w:sz w:val="20"/>
        </w:rPr>
        <w:t>During the three months ended March 31, 2026, 65 LP Units were exchanged for Class A Shares. This resulted in a decrease to Noncontrolling Interest of $6,856 and increases to Class A Common Stock and Additional Paid-In Capital of $1 and $6,855, respectively, on the Company's Unaudited Condensed Consolidated Statement of Financial Condition as of March 31, 2026. See Note 12 for further information.</w:t>
      </w:r>
    </w:p>
    <w:p>
      <w:pPr>
        <w:pStyle w:val="TextBody"/>
        <w:bidi w:val="0"/>
        <w:spacing w:lineRule="auto" w:line="288" w:before="180" w:after="283"/>
        <w:ind w:left="0" w:right="0" w:firstLine="450"/>
        <w:jc w:val="both"/>
        <w:rPr/>
      </w:pPr>
      <w:r>
        <w:rPr>
          <w:rFonts w:ascii="Times New Roman;serif" w:hAnsi="Times New Roman;serif"/>
          <w:b/>
          <w:i/>
          <w:color w:val="000000"/>
          <w:sz w:val="20"/>
        </w:rPr>
        <w:t xml:space="preserve">EWM Class A Units </w:t>
      </w:r>
      <w:r>
        <w:rPr>
          <w:color w:val="000000"/>
        </w:rPr>
        <w:t xml:space="preserve">– </w:t>
      </w:r>
      <w:r>
        <w:rPr>
          <w:rFonts w:ascii="Times New Roman;serif" w:hAnsi="Times New Roman;serif"/>
          <w:b w:val="false"/>
          <w:color w:val="000000"/>
          <w:sz w:val="20"/>
        </w:rPr>
        <w:t>During the second quarter of 2025 and 2024, the Company granted 395 and 297 EWM Class A Units, respectively, which generally vest ratably over three years. Compensation expense related to EWM Class A Units was $525 and $238 for the three months ended March 31, 2026 and 2025, respectively.</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Interests Purchased</w:t>
      </w:r>
      <w:r>
        <w:rPr>
          <w:color w:val="000000"/>
        </w:rPr>
        <w:t xml:space="preserve"> – </w:t>
      </w:r>
      <w:r>
        <w:rPr>
          <w:rFonts w:ascii="Times New Roman;serif" w:hAnsi="Times New Roman;serif"/>
          <w:b w:val="false"/>
          <w:color w:val="000000"/>
          <w:sz w:val="20"/>
        </w:rPr>
        <w:t xml:space="preserve">During the second quarter of 2025, the Company purchased, at fair value, an additional 0.1% of EWM Class A Units for $1,259. The Company has also committed to purchase an additional 0.5% of interests from individuals in equal tranches over the next three years, at fair value at the time of the purchase. The Company recorded $770 and $1,319 in Payable to Employees and Related Parties and Other Long-term Liabilities, respectively, on the Unaudited Condensed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417" w:before="0" w:after="0"/>
        <w:jc w:val="left"/>
        <w:rPr/>
      </w:pPr>
      <w:hyperlink w:anchor="id55c8df0a38248a4bad356932827798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Consolidated Statements of Financial Condition as of March 31, 2026 and December 31, 2025, reflecting the current fair value of amounts committed to be purchased in the future and accrued distributions related to those interests. The Company incurred expense of $113 within Interest Expense on the Unaudited Condensed Consolidated Statement of Operations for the three months ended March 31, 2026 in conjunction with these arrangements.</w:t>
      </w:r>
    </w:p>
    <w:p>
      <w:pPr>
        <w:pStyle w:val="TextBody"/>
        <w:bidi w:val="0"/>
        <w:spacing w:lineRule="auto" w:line="288" w:before="180" w:after="283"/>
        <w:ind w:left="0" w:right="0" w:firstLine="450"/>
        <w:jc w:val="both"/>
        <w:rPr/>
      </w:pPr>
      <w:r>
        <w:rPr>
          <w:rFonts w:ascii="Times New Roman;serif" w:hAnsi="Times New Roman;serif"/>
          <w:b/>
          <w:i/>
          <w:color w:val="000000"/>
          <w:sz w:val="20"/>
        </w:rPr>
        <w:t xml:space="preserve">EWM Class P-I Units </w:t>
      </w:r>
      <w:r>
        <w:rPr>
          <w:color w:val="000000"/>
        </w:rPr>
        <w:t xml:space="preserve">– </w:t>
      </w:r>
      <w:r>
        <w:rPr>
          <w:rFonts w:ascii="Times New Roman;serif" w:hAnsi="Times New Roman;serif"/>
          <w:b w:val="false"/>
          <w:color w:val="000000"/>
          <w:sz w:val="20"/>
        </w:rPr>
        <w:t>In December 2025, the Company awarded 0.3 EWM Class P-I Units. These EWM Class P-I Units convert into a number of EWM Class A Units contingent and based upon the achievement of certain market conditions related to the value of EWM Class A Units, defined benchmark results and continued service through June 30, 2028. The number of EWM Class A Units received in conversion is dependent on the level of defined benchmarks achieved, as well as the value of EWM Class A Units at the time of conversion. The EWM Class A Units received in conversion vest in three equal tranches on the first, second and third anniversaries of the date of conversion, subject to continued service. As this award contains market, performance and service conditions, the expense for this award will be recognized over the service period of the award and will reflect the fair value of the underlying units, taking into account the probable outcome of the market condition being achieved, as well as the probable outcome of the performance condition. As of March 31, 2026, the Company determined that the achievement of performance conditions of these awards were not probable and therefore no expense was recognized for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14 – Net Income Per Share Attributable to Evercore Inc. Common Shareholders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calculations of basic and diluted net income per share attributable to Evercore Inc. common shareholders for the three months ended March 31, 2026 and 2025 are described and presented below.</w:t>
      </w:r>
    </w:p>
    <w:tbl>
      <w:tblPr>
        <w:tblW w:w="10205" w:type="dxa"/>
        <w:jc w:val="left"/>
        <w:tblInd w:w="0" w:type="dxa"/>
        <w:tblLayout w:type="fixed"/>
        <w:tblCellMar>
          <w:top w:w="28" w:type="dxa"/>
          <w:left w:w="28" w:type="dxa"/>
          <w:bottom w:w="28" w:type="dxa"/>
          <w:right w:w="28" w:type="dxa"/>
        </w:tblCellMar>
      </w:tblPr>
      <w:tblGrid>
        <w:gridCol w:w="2466"/>
        <w:gridCol w:w="2109"/>
        <w:gridCol w:w="2114"/>
        <w:gridCol w:w="226"/>
        <w:gridCol w:w="888"/>
        <w:gridCol w:w="117"/>
        <w:gridCol w:w="117"/>
        <w:gridCol w:w="117"/>
        <w:gridCol w:w="117"/>
        <w:gridCol w:w="226"/>
        <w:gridCol w:w="888"/>
        <w:gridCol w:w="117"/>
        <w:gridCol w:w="109"/>
        <w:gridCol w:w="109"/>
        <w:gridCol w:w="109"/>
        <w:gridCol w:w="109"/>
        <w:gridCol w:w="109"/>
        <w:gridCol w:w="158"/>
      </w:tblGrid>
      <w:tr>
        <w:trPr/>
        <w:tc>
          <w:tcPr>
            <w:tcW w:w="2466"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 the Three Months Ended 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6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Net Income Per Share Attributable to Evercore Inc. Common Shareholders</w:t>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Evercore Inc. common shareholders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301,235 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146,184 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Class A Shares outstanding, including vested RSUs</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38,969 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per share attributable to Evercore Inc. common shareholders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Net Income Per Share Attributable to Evercore Inc. Common Shareholders</w:t>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Evercore Inc. common shareholders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301,235 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146,184 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Noncontrolling interest related to the assumed exchange of LP Units for Class A Shares</w:t>
            </w:r>
            <w:r>
              <w:rPr>
                <w:rFonts w:ascii="Times New Roman;serif" w:hAnsi="Times New Roman;serif"/>
                <w:b w:val="false"/>
                <w:color w:val="000000"/>
                <w:sz w:val="13"/>
              </w:rPr>
              <w:t>(1)</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Associated corporate taxes related to the assumed elimination of Noncontrolling Interest described above</w:t>
            </w:r>
            <w:r>
              <w:rPr>
                <w:rFonts w:ascii="Times New Roman;serif" w:hAnsi="Times New Roman;serif"/>
                <w:b w:val="false"/>
                <w:color w:val="000000"/>
                <w:sz w:val="13"/>
              </w:rPr>
              <w:t>(1)</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net income attributable to Evercore Inc. common shareholders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301,235 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146,184 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Class A Shares outstanding, including vested RSUs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38,969 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Assumed exchange of LP Units for Class A Shares</w:t>
            </w:r>
            <w:r>
              <w:rPr>
                <w:rFonts w:ascii="Times New Roman;serif" w:hAnsi="Times New Roman;serif"/>
                <w:b w:val="false"/>
                <w:color w:val="000000"/>
                <w:sz w:val="13"/>
              </w:rPr>
              <w:t>(1)</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Additional shares of the Company's common stock assumed to be issued pursuant to non-vested RSUs, as calculated using the Treasury Stock Method</w:t>
            </w:r>
            <w:r>
              <w:rPr>
                <w:rFonts w:ascii="Times New Roman;serif" w:hAnsi="Times New Roman;serif"/>
                <w:b w:val="false"/>
                <w:color w:val="000000"/>
                <w:sz w:val="13"/>
              </w:rPr>
              <w:t>(2)</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Shares that are contingently issuable</w:t>
            </w:r>
            <w:r>
              <w:rPr>
                <w:rFonts w:ascii="Times New Roman;serif" w:hAnsi="Times New Roman;serif"/>
                <w:b w:val="false"/>
                <w:color w:val="000000"/>
                <w:sz w:val="13"/>
              </w:rPr>
              <w:t>(3)</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Class A Shares outstanding</w:t>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41,850 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42,058 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per share attributable to Evercore Inc. common shareholders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(1)The Company has outstanding LP Units, which give the holders the right to receive Class A Shares upon exchange on a one-for-one basis. During the three months ended March 31, 2026 and 2025, these LP Units were antidilutive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417" w:before="0" w:after="0"/>
        <w:jc w:val="left"/>
        <w:rPr/>
      </w:pPr>
      <w:hyperlink w:anchor="id55c8df0a38248a4bad356932827798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consequently the effect of their exchange into Class A Shares has been excluded from the calculation of diluted net income per share attributable to Evercore Inc. common shareholders. The units that would have been included in the denominator of the computation of diluted net income per share attributable to Evercore Inc. common shareholders if the effect would have been dilutive were 2,581 and 2,325 for the three months ended March 31, 2026 and 2025, respectively. The adjustment to the numerator, diluted net income attributable to Class A common shareholders, if the effect would have been dilutive, would have been $21,703 and $9,556 for the three months ended March 31, 2026 and 2025, respectively. In computing this adjustment, the Company assumes that all LP Units are converted into Class A Shares, that all earnings attributable to those shares are attributed to Evercore Inc. and that the Company is subject to the statutory tax rates of a C-Corporation under a conventional corporate tax structure in the U.S. at prevailing corporate tax rates. The Company does not anticipate that the LP Units will result in a dilutive computation in future periods.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(2)During the three months ended March 31, 2026 and 2025, certain shares of the Company's common stock assumed to be issued pursuant to non-vested RSUs, as calculated using the Treasury Stock Method, were antidilutive and consequently the effect of their exchange into Class A Shares has been excluded from the calculation of diluted net income per share attributable to Evercore Inc. common shareholders. The shares that would have been included in the treasury stock method calculation if the effect would have been dilutive were 12 and 1,163 for the three months ended March 31, 2026 and 2025, respectively.</w:t>
      </w:r>
    </w:p>
    <w:p>
      <w:pPr>
        <w:pStyle w:val="TextBody"/>
        <w:bidi w:val="0"/>
        <w:spacing w:lineRule="auto" w:line="288" w:before="180" w:after="283"/>
        <w:ind w:left="0" w:right="0" w:hanging="360"/>
        <w:jc w:val="both"/>
        <w:rPr/>
      </w:pPr>
      <w:r>
        <w:rPr>
          <w:rFonts w:ascii="Times New Roman;serif" w:hAnsi="Times New Roman;serif"/>
          <w:b w:val="false"/>
          <w:color w:val="000000"/>
          <w:sz w:val="20"/>
          <w:shd w:fill="FFFFFF" w:val="clear"/>
        </w:rPr>
        <w:t>(3)</w:t>
      </w:r>
      <w:r>
        <w:rPr>
          <w:rFonts w:ascii="Times New Roman;serif" w:hAnsi="Times New Roman;serif"/>
          <w:b w:val="false"/>
          <w:color w:val="000000"/>
          <w:sz w:val="20"/>
        </w:rPr>
        <w:t xml:space="preserve">The Company has outstanding Class K-P units of Evercore LP ("Class K-P Units") which are contingently exchangeable into Class K LP Units, and ultimately Class A Shares, as they are subject to certain performance thresholds being achieved. The Company also has certain outstanding RSUs and acquisition-related awards which vest contingent upon certain performance thresholds being achieved. See Note 15 for further information. For the purpose of calculating diluted net income per share attributable to Evercore Inc. common shareholders, the Company's Class K-P Units and these certain outstanding RSUs and acquisition-related awards are included in diluted weighted average Class A Shares outstanding, as calculated using the Treasury Stock Method, as of the beginning of the period in which all necessary performance conditions have been satisfied. If all necessary performance conditions have not been satisfied by the end of the period, the number of shares that are included in diluted weighted average Class A Shares outstanding is based on the number of shares that would be issuable if the end of the reporting period were the end of the performance period.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shares of Class B common stock have no right to receive dividends or a distribution on liquidation or winding up of the Company. The shares of Class B common stock do not share in the earnings of the Company and no earnings are allocable to such class. Accordingly, basic and diluted net income per share of Class B common stock have not been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15 – Share-Based and Other Deferred Compensation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LP Units</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 xml:space="preserve">Class K-P Units </w:t>
      </w:r>
      <w:r>
        <w:rPr>
          <w:color w:val="000000"/>
        </w:rPr>
        <w:t xml:space="preserve">– </w:t>
      </w:r>
      <w:r>
        <w:rPr>
          <w:rFonts w:ascii="Times New Roman;serif" w:hAnsi="Times New Roman;serif"/>
          <w:b w:val="false"/>
          <w:color w:val="000000"/>
          <w:sz w:val="20"/>
        </w:rPr>
        <w:t>The Company has awarded the following Class K-P Units to certain employees:</w:t>
      </w:r>
    </w:p>
    <w:p>
      <w:pPr>
        <w:pStyle w:val="TextBody"/>
        <w:bidi w:val="0"/>
        <w:spacing w:lineRule="auto" w:line="288" w:before="180" w:after="283"/>
        <w:ind w:left="0" w:right="0" w:hanging="360"/>
        <w:jc w:val="both"/>
        <w:rPr/>
      </w:pPr>
      <w:r>
        <w:rPr>
          <w:color w:val="000000"/>
          <w:shd w:fill="FFFFFF" w:val="clear"/>
        </w:rPr>
        <w:t>•</w:t>
      </w:r>
      <w:r>
        <w:rPr>
          <w:rFonts w:ascii="Times New Roman;serif" w:hAnsi="Times New Roman;serif"/>
          <w:b w:val="false"/>
          <w:color w:val="000000"/>
          <w:sz w:val="20"/>
        </w:rPr>
        <w:t>In June 2019, the Company awarded 220 Class K-P Units. These Class K-P Units convert into a number of Class K LP Units (which are exchangeable on a one-for-one basis to Class A Shares) contingent and based upon the achievement of certain defined benchmark results and continued service through February 4, 2023 for the first tranche, which consisted of 120 Class K-P Units, and February 4, 2028 for the second tranche, which consists of 100 Class K-P Units. In February 2023, the first tranche of 120 Class K-P Units converted into 193 Class K LP Units upon the achievement of certain performance and service conditions. The second tranche of these Class K-P Units may convert into a maximum of 173 Class K LP Units, contingent upon the achievement of defined benchmark results and continued service as described above.</w:t>
      </w:r>
    </w:p>
    <w:p>
      <w:pPr>
        <w:pStyle w:val="TextBody"/>
        <w:bidi w:val="0"/>
        <w:spacing w:lineRule="auto" w:line="288" w:before="180" w:after="283"/>
        <w:ind w:left="0" w:right="0" w:hanging="360"/>
        <w:jc w:val="both"/>
        <w:rPr/>
      </w:pPr>
      <w:r>
        <w:rPr>
          <w:color w:val="000000"/>
          <w:shd w:fill="FFFFFF" w:val="clear"/>
        </w:rPr>
        <w:t>•</w:t>
      </w:r>
      <w:r>
        <w:rPr>
          <w:rFonts w:ascii="Times New Roman;serif" w:hAnsi="Times New Roman;serif"/>
          <w:b w:val="false"/>
          <w:color w:val="000000"/>
          <w:sz w:val="20"/>
        </w:rPr>
        <w:t>In December 2021, the Company awarded 400 Class K-P Units. These Class K-P Units convert into a number of Class K LP Units (which are exchangeable on a one-for-one basis to Class A Shares) contingent and based upon the achievement of certain market conditions, defined benchmark results and continued service through December 31, 2025. In December 2025, these Class K-P Units converted into 600 Class K LP Units upon the achievement of certain market conditions, defined benchmark results and service conditions.</w:t>
      </w:r>
    </w:p>
    <w:p>
      <w:pPr>
        <w:pStyle w:val="TextBody"/>
        <w:bidi w:val="0"/>
        <w:spacing w:lineRule="auto" w:line="288" w:before="180" w:after="283"/>
        <w:ind w:left="0" w:right="0" w:hanging="360"/>
        <w:jc w:val="both"/>
        <w:rPr/>
      </w:pPr>
      <w:r>
        <w:rPr>
          <w:color w:val="000000"/>
          <w:shd w:fill="FFFFFF" w:val="clear"/>
        </w:rPr>
        <w:t>•</w:t>
      </w:r>
      <w:r>
        <w:rPr>
          <w:rFonts w:ascii="Times New Roman;serif" w:hAnsi="Times New Roman;serif"/>
          <w:b w:val="false"/>
          <w:color w:val="000000"/>
          <w:sz w:val="20"/>
        </w:rPr>
        <w:t xml:space="preserve">In December 2022, the Company awarded 200 Class K-P Units. These Class K-P Units are segregated into four tranches of 50 Class K-P Units each. The first three tranches each convert into 50 Class K LP Units (which are exchangeable on a one-for-one basis to Class A Shares) contingent and based upon the achievement of certain market conditions and continued service through February 28, 2025, 2026 and 2027, respectively, while the final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417" w:before="0" w:after="0"/>
        <w:jc w:val="left"/>
        <w:rPr/>
      </w:pPr>
      <w:hyperlink w:anchor="id55c8df0a38248a4bad356932827798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tranche converts into a number of Class K LP Units (which are exchangeable on a one-for-one basis to Class A Shares) contingent and based upon the achievement of certain market conditions, defined benchmark results and continued service through February 28, 2028. In February 2025 and 2026, each of the first and second tranches of 50 Class K-P Units converted into 50 Class K LP Units upon the achievement of certain market and service conditions. The remaining Class K-P Units may convert into a maximum of 220 Class K LP Units, contingent upon the achievement of certain market conditions, defined benchmark results and continued service as described above.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 June 2023, the Company awarded 60 Class K-P Units. These Class K-P Units convert into a number of Class K LP Units (which are exchangeable on a one-for-one basis to Class A Shares) contingent and based upon the achievement of certain market conditions, defined benchmark results and continued service through June 30, 2027. These Class K-P Units may convert into 60 Class K LP Units contingent upon the achievement of certain market conditions and continued service, while additional units may be received upon conversion based on the level of defined benchmark results achieved.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 June 2024, the Company awarded 328 Class K-P Units. These Class K-P Units convert into a number of Class K LP Units (which are exchangeable on a one-for-one basis to Class A Shares) contingent and based upon the achievement of certain market conditions, defined benchmark results and continued service through April 1, 2029. These Class K-P Units may convert into 328 Class K LP Units contingent upon the achievement of certain market conditions and continued service, while additional units may be received upon conversion based on the level of defined benchmark results achieved.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 February 2025, the Company awarded 35 Class K-P Units. These Class K-P Units convert into a number of Class K LP Units (which are exchangeable on a one-for-one basis to Class A Shares) contingent and based upon the achievement of certain market conditions, defined benchmark results and continued service through April 1, 2029 for the first tranche, which consists of 17.5 Class K-P Units, and April 1, 2030 for the second tranche, which consists of 17.5 Class K-P Units. These Class K-P Units may convert into a maximum of 100 Class K LP Units contingent upon the achievement of certain market conditions, defined benchmark results and continued service as described above.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 February 2025, the Company also awarded 20 Class K-P Units. These Class K-P Units convert into a number of Class K LP Units (which are exchangeable on a one-for-one basis to Class A Shares) contingent and based upon the achievement of certain market conditions, defined benchmark results and continued service through March 1, 2030 for the first tranche, which consists of 10 Class K-P Units, and March 1, 2031 for the second tranche, which consists of 10 Class K-P Units. These Class K-P Units may convert into a maximum of 100 Class K LP Units contingent upon the achievement of certain market conditions, defined benchmark results and continued service as described above.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 March 2026, the Company awarded 25 Class K-P Units. These Class K-P Units convert into a number of Class K LP Units (which are exchangeable on a one-for-one basis to Class A Shares) contingent and based upon the achievement of certain market conditions, defined benchmark results and continued service through each of the three tranches on March 1, 2031, 2032 and 2033, which each consist of 8.3 Class K-P Units. These Class K-P Units may convert into a maximum of 100 Class K LP Units contingent upon the achievement of certain market conditions, defined benchmark results and continued service as described above.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these awards contain service, performance and, in certain issuances, market conditions, the expense for these awards is recognized over the service period of the award and reflects the fair value of the underlying units as determined at the award’s grant date, taking into account the probable outcome of the market condition being achieved, if applicable, as well as the probable outcome of the performance condition.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March 31, 2026, 668 unvested Class K-P Units were outstanding. The Company determined the grant date fair value of these awards probable to vest as of March 31, 2026 to be $254,485, related to 1,544 Class K LP Units which were probable of achievement, and recognizes expense for these units over the respective service periods. Aggregate compensation expense related to the Class K-P Units was $15,615 and $12,489 for the three months ended March 31, 2026 and 2025, respectively.</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417" w:before="0" w:after="0"/>
        <w:jc w:val="left"/>
        <w:rPr/>
      </w:pPr>
      <w:hyperlink w:anchor="id55c8df0a38248a4bad356932827798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p>
      <w:pPr>
        <w:pStyle w:val="TextBody"/>
        <w:bidi w:val="0"/>
        <w:spacing w:lineRule="auto" w:line="288" w:before="180" w:after="283"/>
        <w:jc w:val="both"/>
        <w:rPr/>
      </w:pPr>
      <w:r>
        <w:rPr>
          <w:rFonts w:ascii="Times New Roman;serif" w:hAnsi="Times New Roman;serif"/>
          <w:b/>
          <w:i/>
          <w:color w:val="000000"/>
          <w:sz w:val="20"/>
        </w:rPr>
        <w:t>Class L Interests</w:t>
      </w:r>
      <w:r>
        <w:rPr>
          <w:color w:val="000000"/>
        </w:rPr>
        <w:t xml:space="preserve">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January 2024, 2025 and 2026, the Company's Board of Directors approved the issuance of Class L Interests of Evercore LP ("Class L Interests") to certain of the named executive officers of the Company, pursuant to which the named executive officers received a discretionary distribution of profits from Evercore LP, paid in the first quarters of 2025, 2026 and 2027, respectively. Distributions pursuant to these interests are made in lieu of any cash incentive compensation payments which may otherwise have been made to those named executive officers of the Company in respect of their service for 2024, 2025 and 2026, respectively. Following the distributions, the Class L Interests are cancelled pursuant to their terms.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records expense related to these Class L Interests as part of its accrual for incentive compensation within Employee Compensation and Benefits on the Unaudited Condensed Consolidated Statements of Operations.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Stock Incentive Plan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2024, the Company's stockholders approved the Third Amended and Restated 2016 Evercore Inc. Stock Incentive Plan (the "Third Amended 2016 Plan"), which amended the Second Amended and Restated 2016 Evercore Inc. Stock Incentive Plan. The Third Amended 2016 Plan, among other things, authorizes the grant of an additional 6,000 of the Company's Class A Shares and permits the Company to grant to certain employees, directors and consultants incentive stock options, non-qualified stock options, stock appreciation rights, restricted stock, RSUs and other awards based on the Company's Class A Shares. The Company intends to use newly-issued Class A Shares to satisfy any awards under the Third Amended 2016 Plan and its predecessor plan. Class A Shares underlying any award granted under the Third Amended 2016 Plan that expire, terminate or are canceled or satisfied for any reason without being settled in stock again become available for awards under the plan. The total shares available to be granted in the future under the Third Amended 2016 Plan was 4,857 as of March 31, 2026.</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also grants, at its discretion, dividend equivalents, in the form of deferred cash dividends or unvested RSU awards, concurrently with the payment of dividends to the holders of Class A Shares, on all RSU grants. The dividend equivalents have the same vesting and delivery terms as the underlying RSU award.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estimates forfeitures in the aggregate compensation cost to be amortized over the requisite service period of its awards. The Company periodically monitors its estimated forfeiture rate and adjusts its assumptions to the actual occurrence of forfeited awards. A change in estimated forfeitures is recognized through a cumulative adjustment in the period of the change.</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Equity Grants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pursuant to the Third Amended 2016 Plan, the Company granted employees 1,630 RSUs that are subject to service-based vesting requirements ("Service-based Awards"). Service-based Awards granted during the three months ended March 31, 2026 had grant date fair values of $290.92 to $356.99 per share, with an average value of $327.15 per share, for an aggregate fair value of $533,209, and generally vest ratably over four years. During the three months ended March 31, 2026, 1,946 Service-based Awards vested and 12 Service-based Awards were forfeited. Compensation expense related to Service-based Awards was $103,837 and $80,064 for the three months ended March 31, 2026 and 2025, respectively.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in June 2024, the Company granted 30 RSUs which may convert into a maximum of 80 RSUs contingent and based upon the achievement of certain defined benchmark results and continued service through April 1, 2031. The grant date fair value of these awards probable to vest as of March 31, 2026 was $11,577, related to 60 RSUs which were probable of achievement, and compensation expense related to these units was $964 and $343 for the three months ended March 31, 2026 and 2025, respectively.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Acquisition-related Awards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October 1, 2025, in conjunction with the acquisition of Robey Warshaw, £71,250 ($95,767) was paid to the sellers in the form of 275 Class A Shares, of which £62,700 ($84,275) is subject to repayment if the sellers fail to provide service over a four-year period following closing. The Company amortizes the payment subject to forfeiture over the requisite four-year service period. Compensation expense related to this award was $6,143 for the three months ended March 31, 2026. As of March 31, 2026, the total remaining expense to be recognized pursuant to this arrangement over the future vesting period is $70,854.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417" w:before="0" w:after="0"/>
        <w:jc w:val="left"/>
        <w:rPr/>
      </w:pPr>
      <w:hyperlink w:anchor="id55c8df0a38248a4bad356932827798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conjunction with the acquisition of Robey Warshaw, the Company will also deliver consideration in the form of Class A Shares if certain defined benchmark results are exceeded over a five-year performance period, beginning January 1, 2026. This consideration is treated as compensation for accounting purposes. The expense for this award will be recognized over the five-year performance period of the award and will reflect the fair value of the Class A Shares as determined at the award's grant date, as well as the probable outcome of the performance condition. The Company determined that the performance conditions related to this award were not probable of achievement as of March 31, 2026.</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also granted 46 Service-based Awards in 2025 to certain former employees of Robey Warshaw, who joined the Company, as retention awards. These awards had a grant date fair value of $15,419 and vest over a four-year service period. The Company will recognize expense for these awards ratably over the service period. Compensation expense related to these awards was $816 for the three months ended March 31, 2026, included in the above compensation expense related to Service-based Awards.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Deferred Cash </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Deferred Cash Compensation Program</w:t>
      </w:r>
      <w:r>
        <w:rPr>
          <w:color w:val="000000"/>
        </w:rPr>
        <w:t xml:space="preserve"> – </w:t>
      </w:r>
      <w:r>
        <w:rPr>
          <w:rFonts w:ascii="Times New Roman;serif" w:hAnsi="Times New Roman;serif"/>
          <w:b w:val="false"/>
          <w:color w:val="000000"/>
          <w:sz w:val="20"/>
        </w:rPr>
        <w:t>The Company's deferred cash compensation program provides participants the ability to elect to receive a portion of their deferred compensation in cash, which is indexed to notional investment portfolios selected by the participant and generally vests ratably over four years and requires payment upon vesting. The Company granted $100,074 of deferred cash awards pursuant to the deferred cash compensation program during the first quarter of 2026.</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Compensation expense related to the Company's deferred cash compensation program was $36,163 and $38,560 for the three months ended March 31, 2026 and 2025, respectively. As of March 31, 2026, the Company expects to pay an aggregate of $295,075 related to the Company's deferred cash compensation program at various dates through 2030 and total compensation expense not yet recognized related to these awards was $221,265. The weighted-average period over which this compensation cost is expected to be recognized is 33 months. Amounts due pursuant to this program are expensed over the requisite service period of the award and are reflected in Accrued Compensation and Benefits on the Unaudited Condensed Consolidated Statement of Financial Condition.</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 xml:space="preserve">Other Deferred Cash Awards </w:t>
      </w:r>
      <w:r>
        <w:rPr>
          <w:color w:val="000000"/>
        </w:rPr>
        <w:t xml:space="preserve">– </w:t>
      </w:r>
      <w:r>
        <w:rPr>
          <w:rFonts w:ascii="Times New Roman;serif" w:hAnsi="Times New Roman;serif"/>
          <w:b w:val="false"/>
          <w:color w:val="000000"/>
          <w:sz w:val="20"/>
        </w:rPr>
        <w:t>During the first quarter of 2026, 2025 and 2024, the Company granted $19,725, $11,410 and $6,662, respectively, of deferred cash awards to certain employees. These awards generally vest ratably over one to two years.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also periodically grants performance-based deferred cash awards to certain employees.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Compensation expense related to other deferred cash awards was $5,033 and $3,058 for the three months ended March 31, 2026 and 2025, respectively.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Long-term Incentive Plan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Long-term Incentive Plans provide for incentive compensation awards for Investment Banking Senior Managing Directors, excluding executive officers of the Company, who exceed defined benchmark results over four-year performance periods beginning January 1, 2021 (the "2021 Long-term Incentive Plan", which ended on December 31, 2024) and January 1, 2025 (the "2025 Long-term Incentive Plan", which was approved by the Company's Board of Directors in April 2025). In conjunction with the 2021 Long-term Incentive Plan, the Company distributed cash payments of $71,910 and $71,522 in the three months ended March 31, 2026 and 2025, respectively. Remaining amounts due pursuant to these plans are to be paid in cash or Class A Shares, at the Company's discretion, in the first quarter of 2027 (for the 2021 Long-term Incentive Plan), and in the first quarter of 2029, 2030 and 2031 (for the 2025 Long-term Incentive Plan), subject to employment at the time of payment. As of March 31, 2026, the Company has accrued $123,948 pursuant to the above Long-term Incentive Plans, including $60,111 within Accrued Compensation and Benefits and $63,837 within Other Long-term Liabilities, on the Unaudited Condensed Consolidated Statement of Financial Condition. The Company periodically assesses the probability of the benchmarks being achieved and expenses the probable payout over the requisite service period of the award. The Company recorded compensation expense related to these plans of $32,277 and $10,478 for the three months ended March 31, 2026 and 2025, respectively.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March 31, 2026, the total remaining expense to be recognized for the 2021 Long-term Incentive Plan over the future vesting period ending March 15, 2027 is $11,687. As of March 31, 2026, the total remaining expense to be recognized for the 2025 Long-term Incentive Plan over the future vesting period ending March 14, 2031, based on the current anticipated probable payout for the plan, is $272,342.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417" w:before="0" w:after="0"/>
        <w:jc w:val="left"/>
        <w:rPr/>
      </w:pPr>
      <w:hyperlink w:anchor="id55c8df0a38248a4bad356932827798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Employee Loans Receivable</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Periodically, the Company provides new and existing employees with cash payments in the form of loans and/or other cash awards which are subject to ratable vesting terms with service requirements ranging from one to five years, and in certain circumstances are also subject to the achievement of performance requirements. Generally, these awards, based on the terms, include a requirement of either full or partial repayment by the employee if the service or other requirements of the agreements with the Company are not achieved. In circumstances where the employee meets the Company's minimum credit standards, the Company amortizes these awards to compensation expense over the relevant service period, which is generally the period they are subject to forfeiture. Compensation expense related to these awards was $11,281 and $8,952 for the three months ended March 31, 2026 and 2025, respectively. </w:t>
      </w:r>
      <w:r>
        <w:rPr>
          <w:rFonts w:ascii="Times New Roman;serif" w:hAnsi="Times New Roman;serif"/>
          <w:b w:val="false"/>
          <w:color w:val="000000"/>
          <w:sz w:val="20"/>
          <w:shd w:fill="FFFFFF" w:val="clear"/>
        </w:rPr>
        <w:t>As of March 31, 2026, the total compensation cost not yet recognized related to these awards</w:t>
      </w:r>
      <w:r>
        <w:rPr>
          <w:color w:val="000000"/>
        </w:rPr>
        <w:t xml:space="preserve"> </w:t>
      </w:r>
      <w:r>
        <w:rPr>
          <w:rFonts w:ascii="Times New Roman;serif" w:hAnsi="Times New Roman;serif"/>
          <w:b w:val="false"/>
          <w:color w:val="000000"/>
          <w:sz w:val="20"/>
        </w:rPr>
        <w:t>was $87,110.</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Separation and Transition Benefits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change in the Company's liability related to separation benefits, stay arrangements and accelerated deferred cash compensation (together, "Termination Costs") for the three months ended March 31, 2026 and 2025:</w:t>
      </w:r>
    </w:p>
    <w:tbl>
      <w:tblPr>
        <w:tblW w:w="5370" w:type="dxa"/>
        <w:jc w:val="left"/>
        <w:tblInd w:w="0" w:type="dxa"/>
        <w:tblLayout w:type="fixed"/>
        <w:tblCellMar>
          <w:top w:w="28" w:type="dxa"/>
          <w:left w:w="28" w:type="dxa"/>
          <w:bottom w:w="28" w:type="dxa"/>
          <w:right w:w="28" w:type="dxa"/>
        </w:tblCellMar>
      </w:tblPr>
      <w:tblGrid>
        <w:gridCol w:w="848"/>
        <w:gridCol w:w="744"/>
        <w:gridCol w:w="748"/>
        <w:gridCol w:w="285"/>
        <w:gridCol w:w="832"/>
        <w:gridCol w:w="147"/>
        <w:gridCol w:w="147"/>
        <w:gridCol w:w="147"/>
        <w:gridCol w:w="147"/>
        <w:gridCol w:w="285"/>
        <w:gridCol w:w="832"/>
        <w:gridCol w:w="208"/>
      </w:tblGrid>
      <w:tr>
        <w:trPr/>
        <w:tc>
          <w:tcPr>
            <w:tcW w:w="84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Termination Costs Incurred</w:t>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Benefits Paid</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Charges</w:t>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to the above Termination Costs incurred, for the three months ended March 31, 2026 and 2025, the Company also incurred expenses related to the acceleration of the amortization of share-based payments previously granted to affected employees of $1,363 and $3,195, respectively (related to 7 and 31 RSUs, respectively) recorded in Employee Compensation and Benefits, principally within the Investment Banking &amp; Equities segment, on the Company's Unaudited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16 – Commitments and Contingencies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a further discussion of the Company's commitments, refer to the Company's Annual Report on Form 10-K for the year ended December 31, 2025.</w:t>
      </w:r>
    </w:p>
    <w:p>
      <w:pPr>
        <w:pStyle w:val="TextBody"/>
        <w:bidi w:val="0"/>
        <w:spacing w:lineRule="auto" w:line="288" w:before="180" w:after="283"/>
        <w:ind w:left="0" w:right="0" w:firstLine="450"/>
        <w:jc w:val="both"/>
        <w:rPr/>
      </w:pPr>
      <w:r>
        <w:rPr>
          <w:rFonts w:ascii="Times New Roman;serif" w:hAnsi="Times New Roman;serif"/>
          <w:b/>
          <w:i/>
          <w:color w:val="000000"/>
          <w:sz w:val="20"/>
        </w:rPr>
        <w:t xml:space="preserve">Private Equity </w:t>
      </w:r>
      <w:r>
        <w:rPr>
          <w:color w:val="000000"/>
        </w:rPr>
        <w:t xml:space="preserve">– </w:t>
      </w:r>
      <w:r>
        <w:rPr>
          <w:rFonts w:ascii="Times New Roman;serif" w:hAnsi="Times New Roman;serif"/>
          <w:b w:val="false"/>
          <w:color w:val="000000"/>
          <w:sz w:val="20"/>
        </w:rPr>
        <w:t xml:space="preserve">As of March 31, 2026, the Company had unfunded commitments for capital contributions of $2,486 to private equity funds. These commitments will be funded as required through the end of each private equity fund's investment period, subject to certain conditions. Such commitments are satisfied in cash and are generally required to be made as investment opportunities are consummated by the private equity funds. </w:t>
      </w:r>
    </w:p>
    <w:p>
      <w:pPr>
        <w:pStyle w:val="TextBody"/>
        <w:bidi w:val="0"/>
        <w:spacing w:lineRule="auto" w:line="288" w:before="180" w:after="283"/>
        <w:ind w:left="0" w:right="0" w:firstLine="450"/>
        <w:jc w:val="both"/>
        <w:rPr/>
      </w:pPr>
      <w:r>
        <w:rPr>
          <w:rFonts w:ascii="Times New Roman;serif" w:hAnsi="Times New Roman;serif"/>
          <w:b/>
          <w:i/>
          <w:color w:val="000000"/>
          <w:sz w:val="20"/>
        </w:rPr>
        <w:t xml:space="preserve">Lines of Credit </w:t>
      </w:r>
      <w:r>
        <w:rPr>
          <w:color w:val="000000"/>
        </w:rPr>
        <w:t xml:space="preserve">– </w:t>
      </w:r>
      <w:r>
        <w:rPr>
          <w:rFonts w:ascii="Times New Roman;serif" w:hAnsi="Times New Roman;serif"/>
          <w:b w:val="false"/>
          <w:color w:val="000000"/>
          <w:sz w:val="20"/>
        </w:rPr>
        <w:t>On July 10, 2025, the Company amended its $85,000 revolving credit facility Evercore Partners Services East L.L.C. ("East") held with PNC Bank, National Association ("PNC") such that the aggregate principal amount was increased to up to $225,000 (the "PNC Facility") to be used for working capital and other corporate activities. The facility is unsecured. In addition, the agreement contains certain reporting covenants, as well as certain debt covenants, that prohibit East and the Company from incurring other indebtedness, subject to specified exceptions. The Company and its consolidated subsidiaries were in compliance with these covenants as of March 31, 2026. Drawings for this facility bear interest at Daily SOFR plus 130 basis points and the maturity date was extended to July 10, 2028. There were no drawings under this facility at March 31, 2026.</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EGL maintains a subordinated revolving credit facility with PNC, as amended on October 10, 2025, in an aggregate principal amount of up to $75,000, to be used as needed in support of capital requirements from time to time of EGL. This facility is unsecured and is guaranteed by Evercore LP and other affiliates, pursuant to a guaranty agreement, which provides for certain reporting requirements and debt covenants consistent with the PNC Facility. The interest rate provisions are Daily SOFR plus 130 basis points and the maturity date is October 10, 2029. There were no drawings under this facility at March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417" w:before="0" w:after="0"/>
        <w:jc w:val="left"/>
        <w:rPr/>
      </w:pPr>
      <w:hyperlink w:anchor="id55c8df0a38248a4bad356932827798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EGL's clearing broker provides temporary funding for the settlement of securities transactions.</w:t>
      </w:r>
    </w:p>
    <w:p>
      <w:pPr>
        <w:pStyle w:val="TextBody"/>
        <w:bidi w:val="0"/>
        <w:spacing w:lineRule="auto" w:line="288" w:before="180" w:after="283"/>
        <w:ind w:left="0" w:right="0" w:firstLine="450"/>
        <w:jc w:val="both"/>
        <w:rPr/>
      </w:pPr>
      <w:r>
        <w:rPr>
          <w:rFonts w:ascii="Times New Roman;serif" w:hAnsi="Times New Roman;serif"/>
          <w:b/>
          <w:i/>
          <w:color w:val="000000"/>
          <w:sz w:val="20"/>
        </w:rPr>
        <w:t xml:space="preserve">Other Commitments </w:t>
      </w:r>
      <w:r>
        <w:rPr>
          <w:color w:val="000000"/>
        </w:rPr>
        <w:t xml:space="preserve">– </w:t>
      </w:r>
      <w:r>
        <w:rPr>
          <w:rFonts w:ascii="Times New Roman;serif" w:hAnsi="Times New Roman;serif"/>
          <w:b w:val="false"/>
          <w:color w:val="000000"/>
          <w:sz w:val="20"/>
        </w:rPr>
        <w:t>The Company entered into commitments to pay additional consideration, including contingent consideration and certain other contingent compensation arrangements related to its acquisition of Robey Warshaw in 2025. See Notes 5 and 15 for further information.</w:t>
      </w:r>
    </w:p>
    <w:p>
      <w:pPr>
        <w:pStyle w:val="TextBody"/>
        <w:bidi w:val="0"/>
        <w:spacing w:lineRule="auto" w:line="288" w:before="180" w:after="283"/>
        <w:ind w:left="0" w:right="0" w:firstLine="450"/>
        <w:jc w:val="both"/>
        <w:rPr/>
      </w:pPr>
      <w:r>
        <w:rPr>
          <w:rFonts w:ascii="Times New Roman;serif" w:hAnsi="Times New Roman;serif"/>
          <w:b/>
          <w:i/>
          <w:color w:val="000000"/>
          <w:sz w:val="20"/>
        </w:rPr>
        <w:t xml:space="preserve">Restricted Cash </w:t>
      </w:r>
      <w:r>
        <w:rPr>
          <w:color w:val="000000"/>
        </w:rPr>
        <w:t xml:space="preserve">– </w:t>
      </w:r>
      <w:r>
        <w:rPr>
          <w:rFonts w:ascii="Times New Roman;serif" w:hAnsi="Times New Roman;serif"/>
          <w:b w:val="false"/>
          <w:color w:val="000000"/>
          <w:sz w:val="20"/>
        </w:rPr>
        <w:t>The following table provides a reconciliation of cash, cash equivalents and restricted cash reported within the Unaudited Condensed Consolidated Statements of Financial Condition that sum to the total of amounts shown in the Unaudited Condensed Consolidated Statements of Cash Flows:</w:t>
      </w:r>
    </w:p>
    <w:tbl>
      <w:tblPr>
        <w:tblW w:w="10187" w:type="dxa"/>
        <w:jc w:val="left"/>
        <w:tblInd w:w="0" w:type="dxa"/>
        <w:tblLayout w:type="fixed"/>
        <w:tblCellMar>
          <w:top w:w="28" w:type="dxa"/>
          <w:left w:w="28" w:type="dxa"/>
          <w:bottom w:w="28" w:type="dxa"/>
          <w:right w:w="28" w:type="dxa"/>
        </w:tblCellMar>
      </w:tblPr>
      <w:tblGrid>
        <w:gridCol w:w="2645"/>
        <w:gridCol w:w="2327"/>
        <w:gridCol w:w="2333"/>
        <w:gridCol w:w="211"/>
        <w:gridCol w:w="826"/>
        <w:gridCol w:w="109"/>
        <w:gridCol w:w="109"/>
        <w:gridCol w:w="109"/>
        <w:gridCol w:w="109"/>
        <w:gridCol w:w="211"/>
        <w:gridCol w:w="826"/>
        <w:gridCol w:w="109"/>
        <w:gridCol w:w="109"/>
        <w:gridCol w:w="154"/>
      </w:tblGrid>
      <w:tr>
        <w:trPr/>
        <w:tc>
          <w:tcPr>
            <w:tcW w:w="2645"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7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 shown in the Statement of Cash Flows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996,092 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Restricted Cash included in Other Assets on the Unaudited Condensed Consolidated Statements of Financial Condition primarily represents letters of credit which are secured by cash as collateral for the lease of office space and security deposits for certain equipment. The restrictions will lapse when the leases end.</w:t>
      </w:r>
    </w:p>
    <w:p>
      <w:pPr>
        <w:pStyle w:val="TextBody"/>
        <w:bidi w:val="0"/>
        <w:spacing w:lineRule="auto" w:line="288" w:before="180" w:after="283"/>
        <w:ind w:left="0" w:right="0" w:firstLine="450"/>
        <w:jc w:val="both"/>
        <w:rPr/>
      </w:pPr>
      <w:r>
        <w:rPr>
          <w:rFonts w:ascii="Times New Roman;serif" w:hAnsi="Times New Roman;serif"/>
          <w:b/>
          <w:i/>
          <w:color w:val="000000"/>
          <w:sz w:val="20"/>
        </w:rPr>
        <w:t xml:space="preserve">Self-Funded Medical Insurance Program </w:t>
      </w:r>
      <w:r>
        <w:rPr>
          <w:color w:val="000000"/>
        </w:rPr>
        <w:t xml:space="preserve">– </w:t>
      </w:r>
      <w:r>
        <w:rPr>
          <w:rFonts w:ascii="Times New Roman;serif" w:hAnsi="Times New Roman;serif"/>
          <w:b w:val="false"/>
          <w:color w:val="000000"/>
          <w:sz w:val="20"/>
        </w:rPr>
        <w:t>The Company's medical insurance plan in the U.S. is a self-funded plan and the Company is liable for the funding of claims under the plan. The Company maintains stop-loss insurance for its medical plan to provide coverage for claims over a defined financial threshold. The estimated present value of incurred but not reported or paid claims is $5,380 and $4,821 as of March 31, 2026 and December 31, 2025, respectively, which is included within Accrued Compensation and Benefits on the Unaudited Condensed Consolidated Statements of Financial Condition.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lineRule="auto" w:line="288" w:before="180" w:after="180"/>
        <w:ind w:left="0" w:right="0" w:firstLine="450"/>
        <w:jc w:val="both"/>
        <w:rPr/>
      </w:pPr>
      <w:r>
        <w:rPr>
          <w:rFonts w:ascii="Times New Roman;serif" w:hAnsi="Times New Roman;serif"/>
          <w:b w:val="false"/>
          <w:color w:val="000000"/>
          <w:sz w:val="20"/>
        </w:rPr>
        <w:t xml:space="preserve">In the normal course of business, from time to time, the Company and its affiliates are involved in judicial or regulatory proceedings, arbitration or mediation concerning matters arising in connection with the conduct of its businesses, including contractual and employment matters. In addition, United Kingdom, German, Hong Kong, Singapore, Canadian, Dubai, Saudi, Indonesian and United States government agencies and self-regulatory organizations, as well as state securities commissions in the United States, conduct periodic examinations and initiate administrative proceedings regarding the Company's business, including, among other matters, accounting and operational matters, that can result in censure, fine, the issuance of cease-and-desist orders or the suspension or expulsion of a broker-dealer, investment advisor, or its directors, officers or employees. In view of the inherent difficulty of determining whether any loss in connection with such matters is probable and whether the amount of such loss can be reasonably estimated, particularly in cases where claimants seek substantial or indeterminate damages or where investigations and proceedings are in the early stages, the Company cannot estimate the amount of such loss or range of loss, if any, related to such matters, how or if such matters will be resolved, when they will ultimately be resolved, or what the eventual settlement, fine, penalty or other relief, if any, might be. Subject to the foregoing, the Company believes, based on current knowledge and after consultation with counsel, that it is not currently party to any material pending proceedings, individually or in the aggregate, the resolution of which would have a material effect on the Company. Provisions for losses are established in accordance with ASC 450, </w:t>
      </w:r>
      <w:r>
        <w:rPr>
          <w:rFonts w:ascii="Times New Roman;serif" w:hAnsi="Times New Roman;serif"/>
          <w:b w:val="false"/>
          <w:i/>
          <w:color w:val="000000"/>
          <w:sz w:val="20"/>
        </w:rPr>
        <w:t xml:space="preserve">"Contingencies" </w:t>
      </w:r>
      <w:r>
        <w:rPr>
          <w:rFonts w:ascii="Times New Roman;serif" w:hAnsi="Times New Roman;serif"/>
          <w:b w:val="false"/>
          <w:color w:val="000000"/>
          <w:sz w:val="20"/>
        </w:rPr>
        <w:t>("ASC 450")</w:t>
      </w:r>
      <w:r>
        <w:rPr>
          <w:color w:val="000000"/>
        </w:rPr>
        <w:t xml:space="preserve"> </w:t>
      </w:r>
      <w:r>
        <w:rPr>
          <w:rFonts w:ascii="Times New Roman;serif" w:hAnsi="Times New Roman;serif"/>
          <w:b w:val="false"/>
          <w:color w:val="000000"/>
          <w:sz w:val="20"/>
        </w:rPr>
        <w:t xml:space="preserve">when warranted. Once established, such provisions are adjusted when there is more information available or when an event occurs requiring a change. </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and its subsidiaries are subject to employment and tax laws, regulations and treaties in various U.S. and non-U.S. jurisdictions. These laws, regulations and treaties are complex, and the manner in which they apply to the Company’s facts and circumstances is open to evolving interpretation. Although management believes it has applied these laws, regulations and treaties in a compliant manner, a recent interpretation reached by a judicial authority has challenged the employment tax treatment of members of a partnership which is not affiliated with the Company. While that challenge remains subject to a judicial review process, and the Company and its subsidiaries are not a party to the proceedings, the ultimate outcome may adversely impact the Company’s tax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left"/>
        <w:rPr/>
      </w:pPr>
      <w:r>
        <w:rPr/>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417" w:before="0" w:after="0"/>
        <w:jc w:val="left"/>
        <w:rPr/>
      </w:pPr>
      <w:hyperlink w:anchor="id55c8df0a38248a4bad356932827798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17 – Regulatory Authorities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EGL is a U.S. registered broker-dealer and is subject to the net capital requirements of Rule 15c3-1 under the Securities Exchange Act of 1934, as amended (the "Exchange Act"). Under the Alternative Net Capital Requirement, EGL's minimum net capital requirement is $250. EGL's regulatory net capital as of March 31, 2026 and December 31, 2025 was $525,169 and $373,081, respectively, which exceeded the minimum net capital requirement by $524,919 and $372,831, respectively.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Evercore Trust Company, N.A. ("ETC"), which is limited to fiduciary activities, is regulated by the Office of the Comptroller of the Currency ("OCC") and is a member bank of the Federal Reserve System. The Company, Evercore LP and ETC are subject to written agreements with the OCC that, among other things, require the Company and Evercore LP to maintain at least $5,000 in Tier 1 capital in ETC (or such other amount as the OCC may require) and maintain liquid assets in ETC in an amount at least equal to the greater of $3,500 or 180 days coverage of ETC's operating expenses. The Company was in compliance with the aforementioned agreements as of March 31, 2026.</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Evercore U.K., our U.K. Advisory affiliate, is regulated by the Financial Conduct Authority. The regulatory capital requirement of Evercore U.K. as of March 31, 2026 and December 31, 2025 was $290,884 and $296,406, respectively. The Company's regulatory capital was in excess of these requirements.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Certain other non-U.S. subsidiaries are subject to various securities and banking regulations and capital adequacy requirements promulgated by the regulatory and exchange authorities of the countries in which they operate. These subsidiaries are in excess of their local capital adequacy requirements at March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18 – Income Taxes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Provision (Benefit) for Income Taxes was $9,056 and ($41,727) for the three months ended March 31, 2026 and 2025, respectively. The effective tax rate was 2.7% and (37.2%) for the three months ended March 31, 2026 and 2025, respectively. The effective tax rate reflects the recognition of net excess tax benefits associated with appreciation in the Company's share price upon vesting of employee share-based awards above the original grant price of $88,528 and $74,311 for the three months ended March 31, 2026 and 2025, respectively, which resulted in a reduction in the effective tax rate of 26.7 and 66.3 percentage points for the three months ended March 31, 2026 and 2025, respectively. The effective tax rate for the three months ended March 31, 2026 and 2025 also reflects the effect of certain nondeductible expenses, including expenses related to Class K-P Units, as well as the noncontrolling interest associated with LP Units and other adjustments.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October 2021, members of the Organization for Economic Co-operation and Development ("OECD") agreed on a two-pillar tax framework to realign international taxation with economic activities, including a coordinated set of rules designed to ensure large multinational enterprises pay a minimum 15% tax rate across all jurisdictions, known as Pillar Two. The U.S. has not yet adopted these rules, but several countries have enacted Pillar Two with an effective date beginning January 1, 2024. On January 5, 2026, the OECD announced the implementation of a side-by-side ("SbS") system, which allows U.S.-parented multinationals to be exempt from certain components of the global minimum tax due to having an eligible taxation system already in place under existing U.S. tax rules. The SbS system is effective for fiscal years beginning on or after January 1, 2026. The impact of Pillar Two on the Company's effective tax rate during the year was not material and it is not expected to materially impact the Company's effective tax rate in the future.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Additionally, the Company is subject to the income tax effects associated with the global intangible low-taxed income ("GILTI") provisions in the period incurred. For the three months ended March 31, 2026 and 2025, no additional income tax expense associated with the GILTI provisions has been recognized and it is not expected to be material to the Company's effective tax rate for the year.</w:t>
      </w:r>
    </w:p>
    <w:p>
      <w:pPr>
        <w:pStyle w:val="TextBody"/>
        <w:bidi w:val="0"/>
        <w:spacing w:lineRule="auto" w:line="288" w:before="180" w:after="283"/>
        <w:ind w:left="0" w:right="0" w:firstLine="480"/>
        <w:jc w:val="both"/>
        <w:rPr>
          <w:rFonts w:ascii="Times New Roman;serif" w:hAnsi="Times New Roman;serif"/>
          <w:b w:val="false"/>
          <w:color w:val="000000"/>
          <w:sz w:val="20"/>
        </w:rPr>
      </w:pPr>
      <w:r>
        <w:rPr>
          <w:rFonts w:ascii="Times New Roman;serif" w:hAnsi="Times New Roman;serif"/>
          <w:b w:val="false"/>
          <w:color w:val="000000"/>
          <w:sz w:val="20"/>
        </w:rPr>
        <w:t>On July 4, 2025, the United States enacted House Resolution 1 of the 119th Congress ("the Act"). The Act makes permanent key elements of the Tax Cuts and Jobs Act, including 100% bonus depreciation, domestic research cost expensing, and beginning after December 31, 2025, updates for Net CFC Tested Income (formerly GILTI), which is not expected to materially impact the Company’s effective tax rate for the year.</w:t>
      </w:r>
    </w:p>
    <w:p>
      <w:pPr>
        <w:pStyle w:val="TextBody"/>
        <w:bidi w:val="0"/>
        <w:spacing w:lineRule="auto" w:line="288" w:before="180" w:after="283"/>
        <w:ind w:left="0" w:right="0" w:firstLine="4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recorded an increase in deferred tax assets of $47 associated with changes in Unrealized Gain (Loss) on Securities and Investments and an increase of $3,528 associated with changes in Foreign Currency Translation Adjustment Gain (Loss), in Accumulated Other Comprehensive Income (Loss), for the three months ended March 31, 2026. The Company recorded an increase in deferred tax assets of $73 associated with changes in Unrealized Gain (Loss) on Securities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417" w:before="0" w:after="0"/>
        <w:jc w:val="left"/>
        <w:rPr/>
      </w:pPr>
      <w:hyperlink w:anchor="id55c8df0a38248a4bad356932827798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Investments and a decrease of $2,784 associated with changes in Foreign Currency Translation Adjustment Gain (Loss), in Accumulated Other Comprehensive Income (Loss), for the three months ended March 31, 2025.</w:t>
      </w:r>
    </w:p>
    <w:p>
      <w:pPr>
        <w:pStyle w:val="TextBody"/>
        <w:bidi w:val="0"/>
        <w:spacing w:lineRule="auto" w:line="288" w:before="180" w:after="283"/>
        <w:ind w:left="0" w:right="0" w:firstLine="480"/>
        <w:jc w:val="both"/>
        <w:rPr>
          <w:rFonts w:ascii="Times New Roman;serif" w:hAnsi="Times New Roman;serif"/>
          <w:b w:val="false"/>
          <w:color w:val="000000"/>
          <w:sz w:val="20"/>
        </w:rPr>
      </w:pPr>
      <w:r>
        <w:rPr>
          <w:rFonts w:ascii="Times New Roman;serif" w:hAnsi="Times New Roman;serif"/>
          <w:b w:val="false"/>
          <w:color w:val="000000"/>
          <w:sz w:val="20"/>
        </w:rPr>
        <w:t>The Company classifies interest relating to tax matters and tax penalties as a component of income tax expense in its Unaudited Condensed Consolidated Statements of Operations. As of March 31, 2026, there were $126 of unrecognized tax benefits that, if recognized, $103 would affect the effective tax rate. Related to the unrecognized tax benefits, the Company accrued interest of $2 during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19 – Segment Operating Results</w:t>
      </w:r>
    </w:p>
    <w:p>
      <w:pPr>
        <w:pStyle w:val="TextBody"/>
        <w:bidi w:val="0"/>
        <w:spacing w:lineRule="auto" w:line="288" w:before="180" w:after="283"/>
        <w:ind w:left="0" w:right="0" w:firstLine="450"/>
        <w:jc w:val="both"/>
        <w:rPr/>
      </w:pPr>
      <w:r>
        <w:rPr>
          <w:rFonts w:ascii="Times New Roman;serif" w:hAnsi="Times New Roman;serif"/>
          <w:b/>
          <w:i/>
          <w:color w:val="000000"/>
          <w:sz w:val="20"/>
        </w:rPr>
        <w:t>Business Segments</w:t>
      </w:r>
      <w:r>
        <w:rPr>
          <w:color w:val="000000"/>
        </w:rPr>
        <w:t xml:space="preserve"> – </w:t>
      </w:r>
      <w:r>
        <w:rPr>
          <w:rFonts w:ascii="Times New Roman;serif" w:hAnsi="Times New Roman;serif"/>
          <w:b w:val="false"/>
          <w:color w:val="000000"/>
          <w:sz w:val="20"/>
        </w:rPr>
        <w:t>The Company's business results are categorized into the following two segments: Investment Banking &amp; Equities and Investment Management. The Investment Banking &amp; Equities segment includes providing advice to clients on significant mergers, acquisitions, divestitures and other strategic corporate transactions, as well as services related to securities underwriting, private placement services and commissions for agency-based equity trading services and equity research. The Investment Banking &amp; Equities segment also includes an interest in Seneca Evercore, which is accounted for under the equity method of accounting. The Investment Management segment includes Wealth Management and interests in private equity funds which are not managed by the Company, as well as an interest in Atalanta Sosnoff, which is accounted for under the equity method of accounting.</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segment information is prepared using the following methodology: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Revenue, expenses and income (loss) from equity method investments directly associated with each segment are included in determining pre-tax income.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Expenses not directly associated with specific segments are allocated based on the most relevant measures applicable, including headcount, square footage and other performance and time-based factors.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Segment assets are based on those directly associated with each segment, or for certain assets shared across segments, those assets are allocated based on the most relevant measures applicable, including headcount and other factors.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Investment gains and losses, interest income and interest expense are allocated between the segments based on the segment in which the underlying asset or liability is held.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Revenue, net, included in each segment's Net Revenues includes the following:</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Interest income, including accretion, and income (losses) on investment securities, including the Company's investment funds (which are used as an economic hedge against the Company's deferred cash compensation program), certificates of deposit, cash and cash equivalents and long-term accounts receivable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Gains (losses) resulting from foreign currency exchange rate fluctuations and foreign currency exchange forward contracts used as an economic hedge against exchange rate risk for foreign currency denominated accounts receivable or other commitments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Realized and unrealized gains and losses on interests in private equity funds which are not managed by the Company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Interest expense associated with the Company’s Notes Payable, lines of credit and other financing arrangements, including interest expense related to deferred acquisition consideration and mandatorily redeemable interests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Adjustments to amounts due pursuant to the Company’s tax receivable agreement, subsequent to its initial establishment, related to changes in enacted tax rates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Each segment's expenses include: a) employee compensation and benefits expenses that are incurred directly in support of the segment and b) non-compensation expenses, which include expenses for premises and occupancy, professional fees, travel and entertainment, technology and information services, execution, clearing and custody fees, equipment and indirect support costs (including compensation and other operating expenses related thereto) for corporate services. Such corporate services include, but are not limited to, accounting, tax, legal, technology, human capital, facilities management and senior management activities.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evaluates segment results based on net revenues and pre-tax income. The Company's resources are allocated and performance is assessed by the Company's CEO and Chairman, whom the Company has determined to be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417" w:before="0" w:after="0"/>
        <w:jc w:val="left"/>
        <w:rPr/>
      </w:pPr>
      <w:hyperlink w:anchor="id55c8df0a38248a4bad356932827798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Chief Operating Decision Maker ("CODM"). For both segments, the CODM reviews net revenues and pre-tax income against current and past performance on a quarterly basis when making decisions about allocating resources to the segments, inclusive of decisions regarding new hires, expansion into new geographical locations and entering into material contracts, including lease agreements and significant investments in technology. The CODM also uses these measures in determining appropriate levels of employee compensation.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 client accounted for more than 10% of the Company's Consolidated Net Revenues for the three months ended March 31, 2026 and 2025.</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information presents each segment's contribution.</w:t>
      </w:r>
    </w:p>
    <w:tbl>
      <w:tblPr>
        <w:tblW w:w="7718" w:type="dxa"/>
        <w:jc w:val="left"/>
        <w:tblInd w:w="0" w:type="dxa"/>
        <w:tblLayout w:type="fixed"/>
        <w:tblCellMar>
          <w:top w:w="28" w:type="dxa"/>
          <w:left w:w="28" w:type="dxa"/>
          <w:bottom w:w="28" w:type="dxa"/>
          <w:right w:w="28" w:type="dxa"/>
        </w:tblCellMar>
      </w:tblPr>
      <w:tblGrid>
        <w:gridCol w:w="1446"/>
        <w:gridCol w:w="1268"/>
        <w:gridCol w:w="1276"/>
        <w:gridCol w:w="219"/>
        <w:gridCol w:w="1013"/>
        <w:gridCol w:w="113"/>
        <w:gridCol w:w="113"/>
        <w:gridCol w:w="113"/>
        <w:gridCol w:w="113"/>
        <w:gridCol w:w="219"/>
        <w:gridCol w:w="1013"/>
        <w:gridCol w:w="113"/>
        <w:gridCol w:w="109"/>
        <w:gridCol w:w="109"/>
        <w:gridCol w:w="109"/>
        <w:gridCol w:w="109"/>
        <w:gridCol w:w="109"/>
        <w:gridCol w:w="154"/>
      </w:tblGrid>
      <w:tr>
        <w:trPr/>
        <w:tc>
          <w:tcPr>
            <w:tcW w:w="144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 the Three Months Ended 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Investment Banking &amp; Equities</w:t>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Revenues</w:t>
            </w:r>
            <w:r>
              <w:rPr>
                <w:rFonts w:ascii="Times New Roman;serif" w:hAnsi="Times New Roman;serif"/>
                <w:b w:val="false"/>
                <w:color w:val="000000"/>
                <w:sz w:val="13"/>
              </w:rPr>
              <w:t>(1)</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1,368,750 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674,532 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889,154 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448,029 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Non-Compensation</w:t>
            </w:r>
            <w:r>
              <w:rPr>
                <w:rFonts w:ascii="Times New Roman;serif" w:hAnsi="Times New Roman;serif"/>
                <w:b w:val="false"/>
                <w:color w:val="000000"/>
                <w:sz w:val="13"/>
              </w:rPr>
              <w:t>(2)</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152,656 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119,774 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326,940 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106,729 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Equity Method Investments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Pre-Tax Income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326,948 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106,691 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Identifiable Segment Assets</w:t>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4,186,844 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3,178,276 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Investment Management</w:t>
            </w:r>
          </w:p>
        </w:tc>
        <w:tc>
          <w:tcPr>
            <w:tcW w:w="13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Revenues</w:t>
            </w:r>
            <w:r>
              <w:rPr>
                <w:rFonts w:ascii="Times New Roman;serif" w:hAnsi="Times New Roman;serif"/>
                <w:b w:val="false"/>
                <w:color w:val="000000"/>
                <w:sz w:val="13"/>
              </w:rPr>
              <w:t>(1)</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Non-Compensation</w:t>
            </w:r>
            <w:r>
              <w:rPr>
                <w:rFonts w:ascii="Times New Roman;serif" w:hAnsi="Times New Roman;serif"/>
                <w:b w:val="false"/>
                <w:color w:val="000000"/>
                <w:sz w:val="13"/>
              </w:rPr>
              <w:t>(2)</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Investments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Income</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Identifiable Segment Assets</w:t>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127,429 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92,839 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3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Revenues</w:t>
            </w:r>
            <w:r>
              <w:rPr>
                <w:rFonts w:ascii="Times New Roman;serif" w:hAnsi="Times New Roman;serif"/>
                <w:b w:val="false"/>
                <w:color w:val="000000"/>
                <w:sz w:val="13"/>
              </w:rPr>
              <w:t>(1)</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1,391,578 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694,829 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904,070 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459,825 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Non-Compensation</w:t>
            </w:r>
            <w:r>
              <w:rPr>
                <w:rFonts w:ascii="Times New Roman;serif" w:hAnsi="Times New Roman;serif"/>
                <w:b w:val="false"/>
                <w:color w:val="000000"/>
                <w:sz w:val="13"/>
              </w:rPr>
              <w:t>(2)</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156,782 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123,820 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330,726 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111,184 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Investments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Income</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331,777 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112,063 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Identifiable Segment Assets</w:t>
            </w:r>
          </w:p>
        </w:tc>
        <w:tc>
          <w:tcPr>
            <w:tcW w:w="2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4,314,273 </w:t>
            </w:r>
          </w:p>
        </w:tc>
        <w:tc>
          <w:tcPr>
            <w:tcW w:w="1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3,271,115 </w:t>
            </w:r>
          </w:p>
        </w:tc>
        <w:tc>
          <w:tcPr>
            <w:tcW w:w="1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(1)Net Revenues include Other Revenue, net, allocated to the segments as follows:</w:t>
      </w:r>
    </w:p>
    <w:tbl>
      <w:tblPr>
        <w:tblW w:w="6591" w:type="dxa"/>
        <w:jc w:val="left"/>
        <w:tblInd w:w="0" w:type="dxa"/>
        <w:tblLayout w:type="fixed"/>
        <w:tblCellMar>
          <w:top w:w="28" w:type="dxa"/>
          <w:left w:w="28" w:type="dxa"/>
          <w:bottom w:w="28" w:type="dxa"/>
          <w:right w:w="28" w:type="dxa"/>
        </w:tblCellMar>
      </w:tblPr>
      <w:tblGrid>
        <w:gridCol w:w="1037"/>
        <w:gridCol w:w="912"/>
        <w:gridCol w:w="915"/>
        <w:gridCol w:w="290"/>
        <w:gridCol w:w="849"/>
        <w:gridCol w:w="150"/>
        <w:gridCol w:w="150"/>
        <w:gridCol w:w="150"/>
        <w:gridCol w:w="150"/>
        <w:gridCol w:w="290"/>
        <w:gridCol w:w="849"/>
        <w:gridCol w:w="150"/>
        <w:gridCol w:w="109"/>
        <w:gridCol w:w="109"/>
        <w:gridCol w:w="109"/>
        <w:gridCol w:w="109"/>
        <w:gridCol w:w="109"/>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 the Three Months Ended 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Investment Banking &amp; Equities</w:t>
            </w:r>
            <w:r>
              <w:rPr>
                <w:rFonts w:ascii="Times New Roman;serif" w:hAnsi="Times New Roman;serif"/>
                <w:b w:val="false"/>
                <w:color w:val="000000"/>
                <w:sz w:val="13"/>
              </w:rPr>
              <w:t>(A)</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Investment Management</w:t>
            </w:r>
            <w:r>
              <w:rPr>
                <w:rFonts w:ascii="Times New Roman;serif" w:hAnsi="Times New Roman;serif"/>
                <w:b w:val="false"/>
                <w:color w:val="000000"/>
                <w:sz w:val="13"/>
              </w:rPr>
              <w:t>(B)</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Revenue, net</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6,470 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7,132 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(A)Other Revenue, net, from the Investment Banking &amp; Equities segment includes interest expense on the Notes Payable, lines of credit and other financing arrangements, including interest expense related to deferred acquisition consideration of $8,778 and $4,193 for the three months ended March 31, 2026 and 2025, respectively.</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(B)Other Revenue, net, from the Investment Management segment includes interest expense on mandatorily redeemable interests of $113 for the three months ended March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417" w:before="0" w:after="0"/>
        <w:jc w:val="left"/>
        <w:rPr/>
      </w:pPr>
      <w:hyperlink w:anchor="id55c8df0a38248a4bad356932827798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(2)Non-Compensation expenses are as follows:</w:t>
      </w:r>
    </w:p>
    <w:tbl>
      <w:tblPr>
        <w:tblW w:w="7087" w:type="dxa"/>
        <w:jc w:val="left"/>
        <w:tblInd w:w="0" w:type="dxa"/>
        <w:tblLayout w:type="fixed"/>
        <w:tblCellMar>
          <w:top w:w="28" w:type="dxa"/>
          <w:left w:w="28" w:type="dxa"/>
          <w:bottom w:w="28" w:type="dxa"/>
          <w:right w:w="28" w:type="dxa"/>
        </w:tblCellMar>
      </w:tblPr>
      <w:tblGrid>
        <w:gridCol w:w="1218"/>
        <w:gridCol w:w="1068"/>
        <w:gridCol w:w="1074"/>
        <w:gridCol w:w="244"/>
        <w:gridCol w:w="955"/>
        <w:gridCol w:w="126"/>
        <w:gridCol w:w="126"/>
        <w:gridCol w:w="126"/>
        <w:gridCol w:w="126"/>
        <w:gridCol w:w="244"/>
        <w:gridCol w:w="955"/>
        <w:gridCol w:w="126"/>
        <w:gridCol w:w="109"/>
        <w:gridCol w:w="109"/>
        <w:gridCol w:w="109"/>
        <w:gridCol w:w="109"/>
        <w:gridCol w:w="109"/>
        <w:gridCol w:w="154"/>
      </w:tblGrid>
      <w:tr>
        <w:trPr/>
        <w:tc>
          <w:tcPr>
            <w:tcW w:w="121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 the Three Months Ended 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Investment Banking &amp; Equities</w:t>
            </w:r>
          </w:p>
        </w:tc>
        <w:tc>
          <w:tcPr>
            <w:tcW w:w="13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and Equipment Rental</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Professional Fees</w:t>
            </w:r>
            <w:r>
              <w:rPr>
                <w:rFonts w:ascii="Times New Roman;serif" w:hAnsi="Times New Roman;serif"/>
                <w:b w:val="false"/>
                <w:color w:val="000000"/>
                <w:sz w:val="13"/>
              </w:rPr>
              <w:t>(A)</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Travel and Related Expenses</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Technology and Information Services</w:t>
            </w:r>
            <w:r>
              <w:rPr>
                <w:rFonts w:ascii="Times New Roman;serif" w:hAnsi="Times New Roman;serif"/>
                <w:b w:val="false"/>
                <w:color w:val="000000"/>
                <w:sz w:val="13"/>
              </w:rPr>
              <w:t>(A)</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38,959 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32,252 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Execution, Clearing and Custody Fees</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Transition Costs</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Non-Compensation</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152,656 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119,774 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Investment Management</w:t>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and Equipment Rental</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Professional Fees</w:t>
            </w:r>
            <w:r>
              <w:rPr>
                <w:rFonts w:ascii="Times New Roman;serif" w:hAnsi="Times New Roman;serif"/>
                <w:b w:val="false"/>
                <w:color w:val="000000"/>
                <w:sz w:val="13"/>
              </w:rPr>
              <w:t>(B)</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Travel and Related Expenses</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Technology and Information Services</w:t>
            </w:r>
            <w:r>
              <w:rPr>
                <w:rFonts w:ascii="Times New Roman;serif" w:hAnsi="Times New Roman;serif"/>
                <w:b w:val="false"/>
                <w:color w:val="000000"/>
                <w:sz w:val="13"/>
              </w:rPr>
              <w:t>(B)</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Execution, Clearing and Custody Fees</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Non-Compensation</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and Equipment Rental</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25,731 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Professional Fees</w:t>
            </w:r>
            <w:r>
              <w:rPr>
                <w:rFonts w:ascii="Times New Roman;serif" w:hAnsi="Times New Roman;serif"/>
                <w:b w:val="false"/>
                <w:color w:val="000000"/>
                <w:sz w:val="13"/>
              </w:rPr>
              <w:t>(C)</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Travel and Related Expenses</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Technology and Information Services</w:t>
            </w:r>
            <w:r>
              <w:rPr>
                <w:rFonts w:ascii="Times New Roman;serif" w:hAnsi="Times New Roman;serif"/>
                <w:b w:val="false"/>
                <w:color w:val="000000"/>
                <w:sz w:val="13"/>
              </w:rPr>
              <w:t>(C)</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40,418 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Execution, Clearing and Custody Fees</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Transition Costs</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Non-Compensation</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156,782 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123,820 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(A)The Company reclassified $9,950 of technology and related expenses from "Professional Fees" to "Technology and Information Services" in the Investment Banking &amp; Equities segment for the three months ended March 31, 2025 to conform to the current presentation. See Note 2 for further information.</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(B)The Company reclassified $273 of technology and related expenses from "Professional Fees" to "Technology and Information Services" in the Investment Management segment for the three months ended March 31, 2025 to conform to the current presentation. See Note 2 for further information.</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(C)The Company reclassified $10,223 of technology and related expenses from "Professional Fees" to "Technology and Information Services" for the three months ended March 31, 2025 to conform to the current presentation. See Note 2 for further information.</w:t>
      </w:r>
    </w:p>
    <w:p>
      <w:pPr>
        <w:pStyle w:val="TextBody"/>
        <w:bidi w:val="0"/>
        <w:spacing w:before="180" w:after="283"/>
        <w:ind w:left="0" w:right="0" w:firstLine="450"/>
        <w:jc w:val="both"/>
        <w:rPr/>
      </w:pPr>
      <w:r>
        <w:rPr/>
      </w:r>
    </w:p>
    <w:p>
      <w:pPr>
        <w:pStyle w:val="TextBody"/>
        <w:bidi w:val="0"/>
        <w:spacing w:before="180" w:after="283"/>
        <w:ind w:left="0" w:right="0" w:firstLine="450"/>
        <w:jc w:val="both"/>
        <w:rPr/>
      </w:pPr>
      <w:r>
        <w:rPr/>
      </w:r>
    </w:p>
    <w:p>
      <w:pPr>
        <w:pStyle w:val="TextBody"/>
        <w:bidi w:val="0"/>
        <w:spacing w:before="180" w:after="283"/>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417" w:before="0" w:after="0"/>
        <w:jc w:val="left"/>
        <w:rPr/>
      </w:pPr>
      <w:hyperlink w:anchor="id55c8df0a38248a4bad356932827798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p>
      <w:pPr>
        <w:pStyle w:val="TextBody"/>
        <w:bidi w:val="0"/>
        <w:spacing w:lineRule="auto" w:line="288" w:before="180" w:after="283"/>
        <w:ind w:left="0" w:right="0" w:firstLine="450"/>
        <w:jc w:val="both"/>
        <w:rPr/>
      </w:pPr>
      <w:r>
        <w:rPr>
          <w:rFonts w:ascii="Times New Roman;serif" w:hAnsi="Times New Roman;serif"/>
          <w:b/>
          <w:i/>
          <w:color w:val="000000"/>
          <w:sz w:val="20"/>
        </w:rPr>
        <w:t>Geographic Information</w:t>
      </w:r>
      <w:r>
        <w:rPr>
          <w:color w:val="000000"/>
        </w:rPr>
        <w:t xml:space="preserve"> – </w:t>
      </w:r>
      <w:r>
        <w:rPr>
          <w:rFonts w:ascii="Times New Roman;serif" w:hAnsi="Times New Roman;serif"/>
          <w:b w:val="false"/>
          <w:color w:val="000000"/>
          <w:sz w:val="20"/>
        </w:rPr>
        <w:t>The Company manages its business based on the profitability of the enterprise as a whole.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revenues were derived from clients located and managed in the following geographical areas:</w:t>
      </w:r>
    </w:p>
    <w:tbl>
      <w:tblPr>
        <w:tblW w:w="7266" w:type="dxa"/>
        <w:jc w:val="left"/>
        <w:tblInd w:w="0" w:type="dxa"/>
        <w:tblLayout w:type="fixed"/>
        <w:tblCellMar>
          <w:top w:w="28" w:type="dxa"/>
          <w:left w:w="28" w:type="dxa"/>
          <w:bottom w:w="28" w:type="dxa"/>
          <w:right w:w="28" w:type="dxa"/>
        </w:tblCellMar>
      </w:tblPr>
      <w:tblGrid>
        <w:gridCol w:w="1281"/>
        <w:gridCol w:w="1127"/>
        <w:gridCol w:w="1132"/>
        <w:gridCol w:w="230"/>
        <w:gridCol w:w="1068"/>
        <w:gridCol w:w="119"/>
        <w:gridCol w:w="119"/>
        <w:gridCol w:w="119"/>
        <w:gridCol w:w="119"/>
        <w:gridCol w:w="230"/>
        <w:gridCol w:w="904"/>
        <w:gridCol w:w="119"/>
        <w:gridCol w:w="109"/>
        <w:gridCol w:w="109"/>
        <w:gridCol w:w="109"/>
        <w:gridCol w:w="109"/>
        <w:gridCol w:w="109"/>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 the Three Months Ended 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Revenues:</w:t>
            </w:r>
            <w:r>
              <w:rPr>
                <w:rFonts w:ascii="Times New Roman;serif" w:hAnsi="Times New Roman;serif"/>
                <w:b w:val="false"/>
                <w:color w:val="000000"/>
                <w:sz w:val="13"/>
              </w:rPr>
              <w:t>(1)</w:t>
            </w:r>
          </w:p>
        </w:tc>
        <w:tc>
          <w:tcPr>
            <w:tcW w:w="14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Americas</w:t>
            </w:r>
            <w:r>
              <w:rPr>
                <w:rFonts w:ascii="Times New Roman;serif" w:hAnsi="Times New Roman;serif"/>
                <w:b w:val="false"/>
                <w:color w:val="000000"/>
                <w:sz w:val="13"/>
              </w:rPr>
              <w:t>(2)</w:t>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1,151,978 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587,905 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 ("EMEA")</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219,006 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72,657 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Asia-Pacific</w:t>
            </w:r>
          </w:p>
        </w:tc>
        <w:tc>
          <w:tcPr>
            <w:tcW w:w="12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27,135 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1,385,108 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687,697 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(1)Excludes Other Revenue, Including Interest and Investments, and Interest Expense.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(2)Primarily includes revenue attributable to the United States of $1,057,974 and $559,801 for the three months ended March 31, 2026 and 2025, respectively.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total assets are located in the following geographical areas:</w:t>
      </w:r>
    </w:p>
    <w:tbl>
      <w:tblPr>
        <w:tblW w:w="4338" w:type="dxa"/>
        <w:jc w:val="left"/>
        <w:tblInd w:w="0" w:type="dxa"/>
        <w:tblLayout w:type="fixed"/>
        <w:tblCellMar>
          <w:top w:w="28" w:type="dxa"/>
          <w:left w:w="28" w:type="dxa"/>
          <w:bottom w:w="28" w:type="dxa"/>
          <w:right w:w="28" w:type="dxa"/>
        </w:tblCellMar>
      </w:tblPr>
      <w:tblGrid>
        <w:gridCol w:w="423"/>
        <w:gridCol w:w="373"/>
        <w:gridCol w:w="374"/>
        <w:gridCol w:w="211"/>
        <w:gridCol w:w="976"/>
        <w:gridCol w:w="109"/>
        <w:gridCol w:w="109"/>
        <w:gridCol w:w="109"/>
        <w:gridCol w:w="109"/>
        <w:gridCol w:w="243"/>
        <w:gridCol w:w="1125"/>
        <w:gridCol w:w="177"/>
      </w:tblGrid>
      <w:tr>
        <w:trPr/>
        <w:tc>
          <w:tcPr>
            <w:tcW w:w="42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872" w:type="dxa"/>
            <w:gridSpan w:val="6"/>
            <w:tcBorders/>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Americas</w:t>
            </w:r>
            <w:r>
              <w:rPr>
                <w:rFonts w:ascii="Times New Roman;serif" w:hAnsi="Times New Roman;serif"/>
                <w:b w:val="false"/>
                <w:color w:val="000000"/>
                <w:sz w:val="13"/>
              </w:rPr>
              <w:t>(1)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2,570,493 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3,396,905 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EMEA</w:t>
            </w:r>
            <w:r>
              <w:rPr>
                <w:rFonts w:ascii="Times New Roman;serif" w:hAnsi="Times New Roman;serif"/>
                <w:b w:val="false"/>
                <w:color w:val="000000"/>
                <w:sz w:val="13"/>
              </w:rPr>
              <w:t>(2)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1,887,541 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Asia-Pacific</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73,651 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4,314,273 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5,358,097 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(1)Primarily includes assets located in the United States.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(2)Primarily includes assets located in the United Kingdom.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d55c8df0a38248a4bad3569328277986_7">
        <w:r>
          <w:rPr>
            <w:rStyle w:val="InternetLink"/>
          </w:rPr>
          <w:t>T</w:t>
        </w:r>
      </w:hyperlink>
      <w:hyperlink w:anchor="id55c8df0a38248a4bad3569328277986_7">
        <w:r>
          <w:rPr>
            <w:rStyle w:val="InternetLink"/>
          </w:rPr>
          <w:t>a</w:t>
        </w:r>
      </w:hyperlink>
      <w:hyperlink w:anchor="id55c8df0a38248a4bad3569328277986_7">
        <w:r>
          <w:rPr>
            <w:rStyle w:val="InternetLink"/>
          </w:rPr>
          <w:t>b</w:t>
        </w:r>
      </w:hyperlink>
      <w:hyperlink w:anchor="id55c8df0a38248a4bad3569328277986_7">
        <w:r>
          <w:rPr>
            <w:rStyle w:val="InternetLink"/>
          </w:rPr>
          <w:t>l</w:t>
        </w:r>
      </w:hyperlink>
      <w:hyperlink w:anchor="id55c8df0a38248a4bad3569328277986_7">
        <w:r>
          <w:rPr>
            <w:rStyle w:val="InternetLink"/>
          </w:rPr>
          <w:t>e</w:t>
        </w:r>
      </w:hyperlink>
      <w:hyperlink w:anchor="id55c8df0a38248a4bad3569328277986_7">
        <w:r>
          <w:rPr>
            <w:rStyle w:val="InternetLink"/>
          </w:rPr>
          <w:t xml:space="preserve"> </w:t>
        </w:r>
      </w:hyperlink>
      <w:hyperlink w:anchor="id55c8df0a38248a4bad3569328277986_7">
        <w:r>
          <w:rPr>
            <w:rStyle w:val="InternetLink"/>
          </w:rPr>
          <w:t>o</w:t>
        </w:r>
      </w:hyperlink>
      <w:hyperlink w:anchor="id55c8df0a38248a4bad3569328277986_7">
        <w:r>
          <w:rPr>
            <w:rStyle w:val="InternetLink"/>
          </w:rPr>
          <w:t>f</w:t>
        </w:r>
      </w:hyperlink>
      <w:hyperlink w:anchor="id55c8df0a38248a4bad3569328277986_7">
        <w:r>
          <w:rPr>
            <w:rStyle w:val="InternetLink"/>
          </w:rPr>
          <w:t xml:space="preserve"> </w:t>
        </w:r>
      </w:hyperlink>
      <w:hyperlink w:anchor="id55c8df0a38248a4bad3569328277986_7">
        <w:r>
          <w:rPr>
            <w:rStyle w:val="InternetLink"/>
          </w:rPr>
          <w:t>C</w:t>
        </w:r>
      </w:hyperlink>
      <w:hyperlink w:anchor="id55c8df0a38248a4bad3569328277986_7">
        <w:r>
          <w:rPr>
            <w:rStyle w:val="InternetLink"/>
          </w:rPr>
          <w:t>o</w:t>
        </w:r>
      </w:hyperlink>
      <w:hyperlink w:anchor="id55c8df0a38248a4bad3569328277986_7">
        <w:r>
          <w:rPr>
            <w:rStyle w:val="InternetLink"/>
          </w:rPr>
          <w:t>n</w:t>
        </w:r>
      </w:hyperlink>
      <w:hyperlink w:anchor="id55c8df0a38248a4bad3569328277986_7">
        <w:r>
          <w:rPr>
            <w:rStyle w:val="InternetLink"/>
          </w:rPr>
          <w:t>t</w:t>
        </w:r>
      </w:hyperlink>
      <w:hyperlink w:anchor="id55c8df0a38248a4bad3569328277986_7">
        <w:r>
          <w:rPr>
            <w:rStyle w:val="InternetLink"/>
          </w:rPr>
          <w:t>e</w:t>
        </w:r>
      </w:hyperlink>
      <w:hyperlink w:anchor="id55c8df0a38248a4bad3569328277986_7">
        <w:r>
          <w:rPr>
            <w:rStyle w:val="InternetLink"/>
          </w:rPr>
          <w:t>n</w:t>
        </w:r>
      </w:hyperlink>
      <w:hyperlink w:anchor="id55c8df0a38248a4bad3569328277986_7">
        <w:r>
          <w:rPr>
            <w:rStyle w:val="InternetLink"/>
          </w:rPr>
          <w:t>t</w:t>
        </w:r>
      </w:hyperlink>
      <w:hyperlink w:anchor="id55c8df0a38248a4bad3569328277986_7">
        <w:r>
          <w:rPr>
            <w:rStyle w:val="InternetLink"/>
          </w:rPr>
          <w:t>s</w:t>
        </w:r>
      </w:hyperlink>
      <w:r>
        <w:rPr>
          <w:color w:val="000000"/>
        </w:rPr>
        <w:t>                                              </w:t>
      </w:r>
    </w:p>
    <w:tbl>
      <w:tblPr>
        <w:tblW w:w="8309" w:type="dxa"/>
        <w:jc w:val="left"/>
        <w:tblInd w:w="0" w:type="dxa"/>
        <w:tblLayout w:type="fixed"/>
        <w:tblCellMar>
          <w:top w:w="28" w:type="dxa"/>
          <w:left w:w="28" w:type="dxa"/>
          <w:bottom w:w="28" w:type="dxa"/>
          <w:right w:w="28" w:type="dxa"/>
        </w:tblCellMar>
      </w:tblPr>
      <w:tblGrid>
        <w:gridCol w:w="255"/>
        <w:gridCol w:w="223"/>
        <w:gridCol w:w="226"/>
        <w:gridCol w:w="2228"/>
        <w:gridCol w:w="2228"/>
        <w:gridCol w:w="3149"/>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3149"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7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should be read in conjunction with Evercore Inc.'s unaudited condensed consolidated financial statements and the related notes included elsewhere in this Form 10-Q.</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both"/>
        <w:rPr/>
      </w:pPr>
      <w:r>
        <w:rPr/>
      </w:r>
    </w:p>
    <w:p>
      <w:pPr>
        <w:pStyle w:val="TextBody"/>
        <w:bidi w:val="0"/>
        <w:spacing w:lineRule="auto" w:line="288" w:before="0" w:after="0"/>
        <w:ind w:left="0" w:right="0" w:firstLine="480"/>
        <w:jc w:val="both"/>
        <w:rPr>
          <w:rFonts w:ascii="Times New Roman;serif" w:hAnsi="Times New Roman;serif"/>
          <w:b w:val="false"/>
          <w:color w:val="000000"/>
          <w:sz w:val="20"/>
        </w:rPr>
      </w:pPr>
      <w:r>
        <w:rPr>
          <w:rFonts w:ascii="Times New Roman;serif" w:hAnsi="Times New Roman;serif"/>
          <w:b w:val="false"/>
          <w:color w:val="000000"/>
          <w:sz w:val="20"/>
        </w:rPr>
        <w:t>This report contains, or incorporates by reference, forward-looking statements within the meaning of Section 27A of the Securities Act of 1933, and Section 21E of the Exchange Act, which reflect our current views with respect to, among other things, our operations and financial performance. In some cases, you can identify these forward-looking statements by the use of words such as "outlook," "backlog," "believes," "expects," "potential," "probable," "continues," "may," "will," "should," "seeks," "approximately," "predicts," "intends," "plans," "estimates," "anticipates" or the negative version of these words or other comparable words. All statements, other than statements of historical fact, included in this report are forward-looking statements and are based on various underlying assumptions and expectations and are subject to known and unknown risks, uncertainties and assumptions, and may include projections of our future financial performance based on our growth strategies and anticipated trends in our business.</w:t>
      </w:r>
    </w:p>
    <w:p>
      <w:pPr>
        <w:pStyle w:val="TextBody"/>
        <w:bidi w:val="0"/>
        <w:spacing w:before="0" w:after="0"/>
        <w:ind w:left="0" w:right="0" w:firstLine="480"/>
        <w:jc w:val="both"/>
        <w:rPr/>
      </w:pPr>
      <w:r>
        <w:rPr/>
      </w:r>
    </w:p>
    <w:p>
      <w:pPr>
        <w:pStyle w:val="TextBody"/>
        <w:bidi w:val="0"/>
        <w:spacing w:lineRule="auto" w:line="288" w:before="0" w:after="0"/>
        <w:ind w:left="0" w:right="0" w:firstLine="480"/>
        <w:jc w:val="both"/>
        <w:rPr>
          <w:rFonts w:ascii="Times New Roman;serif" w:hAnsi="Times New Roman;serif"/>
          <w:b w:val="false"/>
          <w:color w:val="000000"/>
          <w:sz w:val="20"/>
        </w:rPr>
      </w:pPr>
      <w:r>
        <w:rPr>
          <w:rFonts w:ascii="Times New Roman;serif" w:hAnsi="Times New Roman;serif"/>
          <w:b w:val="false"/>
          <w:color w:val="000000"/>
          <w:sz w:val="20"/>
        </w:rPr>
        <w:t>Accordingly, there are or will be important factors that could cause actual outcomes or results to differ materially from those indicated in these statements. All statements other than statements of historical fact are forward-looking statements and, based on various underlying assumptions and expectations, are subject to known and unknown risks, uncertainties and assumptions and may include projections of our future financial performance based on our growth strategies and anticipated trends in Evercore's business. We believe these factors include, but are not limited to, those described under "Risk Factors" discussed in the Annual Report on Form 10-K for the year ended December 31, 2025. These factors should not be construed as exhaustive and should be read in conjunction with the other cautionary statements that are included or incorporated by reference in this report. In addition, new risks and uncertainties emerge from time to time, and it is not possible for us to predict all risks and uncertainties, nor can we assess the impact of all factors on our business or the extent to which any factor, or combination of factors, may cause actual results to differ materially from those contained in any forward-looking statements. We undertake no obligation to publicly update or review any forward-looking statement, whether as a result of new information, future developments or otherwise except as required by law.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Key Financial Measures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revenues reflect revenues from our Investment Banking &amp; Equities and Investment Management business segments that include fees for services, transaction-related client reimbursements and other revenue. Net revenues reflect total revenues less interest expense.</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Investment Banking &amp; Equities.</w:t>
      </w:r>
      <w:r>
        <w:rPr>
          <w:color w:val="000000"/>
        </w:rPr>
        <w:t xml:space="preserve"> </w:t>
      </w:r>
      <w:r>
        <w:rPr>
          <w:rFonts w:ascii="Times New Roman;serif" w:hAnsi="Times New Roman;serif"/>
          <w:b w:val="false"/>
          <w:color w:val="000000"/>
          <w:sz w:val="20"/>
        </w:rPr>
        <w:t xml:space="preserve">Our Investment Banking &amp; Equities segment earns fees from its clients for providing advice on mergers, acquisitions, divestitures, capital raising, leveraged buyouts, liability management and restructurings, private funds advisory and private capital markets services, activism and defense and similar corporate finance matters, and from underwriting and private placement activities, as well as commissions, fees and principal revenues from research and sales and trading activities. The amount and timing of the fees paid vary by the type of engagement or services provided. In general, advisory fees are paid at the time we sign an engagement letter, during the course of the engagement or when an engagement is completed. The majority of our revenue consists of advisory fees for which realizations are dependent on the successful completion of client transactions. A transaction can fail to be completed for many reasons which are outside of our control, including failure of parties to agree upon final terms with the counterparty, to secure necessary board or shareholder approvals, to secure necessary financing, to achieve necessary regulatory approvals, or due to adverse market conditions. In the case of bankruptcy engagements, fees may be subject to court approval. Underwriting fees are recognized when the offering has been deemed to be completed and placement fees are generally recognized at the time of the client's acceptance of capital or capital commitments. Commissions and Related Revenue includes commissions, which are recorded on a trade-date basis or, in the case of payments under commission sharing arrangements, on the date earned. Commissions and Related Revenue also includes subscription fees for the sale of research, as well as revenues from trades primarily executed on a riskless principal basis. Cash received before the subscription period ends is initially recorded as deferred revenue (a contract liability) and recognized as revenue over the remaining subscription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d55c8df0a38248a4bad3569328277986_7">
        <w:r>
          <w:rPr>
            <w:rStyle w:val="InternetLink"/>
          </w:rPr>
          <w:t>T</w:t>
        </w:r>
      </w:hyperlink>
      <w:hyperlink w:anchor="id55c8df0a38248a4bad3569328277986_7">
        <w:r>
          <w:rPr>
            <w:rStyle w:val="InternetLink"/>
          </w:rPr>
          <w:t>a</w:t>
        </w:r>
      </w:hyperlink>
      <w:hyperlink w:anchor="id55c8df0a38248a4bad3569328277986_7">
        <w:r>
          <w:rPr>
            <w:rStyle w:val="InternetLink"/>
          </w:rPr>
          <w:t>b</w:t>
        </w:r>
      </w:hyperlink>
      <w:hyperlink w:anchor="id55c8df0a38248a4bad3569328277986_7">
        <w:r>
          <w:rPr>
            <w:rStyle w:val="InternetLink"/>
          </w:rPr>
          <w:t>l</w:t>
        </w:r>
      </w:hyperlink>
      <w:hyperlink w:anchor="id55c8df0a38248a4bad3569328277986_7">
        <w:r>
          <w:rPr>
            <w:rStyle w:val="InternetLink"/>
          </w:rPr>
          <w:t>e</w:t>
        </w:r>
      </w:hyperlink>
      <w:hyperlink w:anchor="id55c8df0a38248a4bad3569328277986_7">
        <w:r>
          <w:rPr>
            <w:rStyle w:val="InternetLink"/>
          </w:rPr>
          <w:t xml:space="preserve"> </w:t>
        </w:r>
      </w:hyperlink>
      <w:hyperlink w:anchor="id55c8df0a38248a4bad3569328277986_7">
        <w:r>
          <w:rPr>
            <w:rStyle w:val="InternetLink"/>
          </w:rPr>
          <w:t>o</w:t>
        </w:r>
      </w:hyperlink>
      <w:hyperlink w:anchor="id55c8df0a38248a4bad3569328277986_7">
        <w:r>
          <w:rPr>
            <w:rStyle w:val="InternetLink"/>
          </w:rPr>
          <w:t>f</w:t>
        </w:r>
      </w:hyperlink>
      <w:hyperlink w:anchor="id55c8df0a38248a4bad3569328277986_7">
        <w:r>
          <w:rPr>
            <w:rStyle w:val="InternetLink"/>
          </w:rPr>
          <w:t xml:space="preserve"> </w:t>
        </w:r>
      </w:hyperlink>
      <w:hyperlink w:anchor="id55c8df0a38248a4bad3569328277986_7">
        <w:r>
          <w:rPr>
            <w:rStyle w:val="InternetLink"/>
          </w:rPr>
          <w:t>C</w:t>
        </w:r>
      </w:hyperlink>
      <w:hyperlink w:anchor="id55c8df0a38248a4bad3569328277986_7">
        <w:r>
          <w:rPr>
            <w:rStyle w:val="InternetLink"/>
          </w:rPr>
          <w:t>o</w:t>
        </w:r>
      </w:hyperlink>
      <w:hyperlink w:anchor="id55c8df0a38248a4bad3569328277986_7">
        <w:r>
          <w:rPr>
            <w:rStyle w:val="InternetLink"/>
          </w:rPr>
          <w:t>n</w:t>
        </w:r>
      </w:hyperlink>
      <w:hyperlink w:anchor="id55c8df0a38248a4bad3569328277986_7">
        <w:r>
          <w:rPr>
            <w:rStyle w:val="InternetLink"/>
          </w:rPr>
          <w:t>t</w:t>
        </w:r>
      </w:hyperlink>
      <w:hyperlink w:anchor="id55c8df0a38248a4bad3569328277986_7">
        <w:r>
          <w:rPr>
            <w:rStyle w:val="InternetLink"/>
          </w:rPr>
          <w:t>e</w:t>
        </w:r>
      </w:hyperlink>
      <w:hyperlink w:anchor="id55c8df0a38248a4bad3569328277986_7">
        <w:r>
          <w:rPr>
            <w:rStyle w:val="InternetLink"/>
          </w:rPr>
          <w:t>n</w:t>
        </w:r>
      </w:hyperlink>
      <w:hyperlink w:anchor="id55c8df0a38248a4bad3569328277986_7">
        <w:r>
          <w:rPr>
            <w:rStyle w:val="InternetLink"/>
          </w:rPr>
          <w:t>t</w:t>
        </w:r>
      </w:hyperlink>
      <w:hyperlink w:anchor="id55c8df0a38248a4bad3569328277986_7">
        <w:r>
          <w:rPr>
            <w:rStyle w:val="InternetLink"/>
          </w:rPr>
          <w:t>s</w:t>
        </w:r>
      </w:hyperlink>
      <w:r>
        <w:rPr>
          <w:color w:val="000000"/>
        </w:rPr>
        <w:t>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Revenue trends in our advisory business generally are correlated to the volume of merger and acquisitions ("M&amp;A") activity, restructuring activity, which generally tends to be counter-cyclical to M&amp;A, and capital advisory activity. Demand for these capabilities can vary in any given year or quarter for a number of reasons. For example, changes in our market share or the ability of our clients to close certain large transactions can cause our revenue results to diverge from the level of overall M&amp;A, restructuring or capital advisory activity. Revenue trends in our equities business are correlated, in part, to market volumes, which generally decrease in periods of low market volatility or unfavorable market or economic conditions. See "Liquidity and Capital Resources"</w:t>
      </w:r>
      <w:r>
        <w:rPr>
          <w:color w:val="000000"/>
        </w:rPr>
        <w:t xml:space="preserve"> </w:t>
      </w:r>
      <w:r>
        <w:rPr>
          <w:rFonts w:ascii="Times New Roman;serif" w:hAnsi="Times New Roman;serif"/>
          <w:b w:val="false"/>
          <w:color w:val="000000"/>
          <w:sz w:val="20"/>
        </w:rPr>
        <w:t>below for further information.</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Investment Management.</w:t>
      </w:r>
      <w:r>
        <w:rPr>
          <w:color w:val="000000"/>
        </w:rPr>
        <w:t xml:space="preserve"> </w:t>
      </w:r>
      <w:r>
        <w:rPr>
          <w:rFonts w:ascii="Times New Roman;serif" w:hAnsi="Times New Roman;serif"/>
          <w:b w:val="false"/>
          <w:color w:val="000000"/>
          <w:sz w:val="20"/>
        </w:rPr>
        <w:t>Our Investment Management segment includes operations related to the Wealth Management business and interests in private equity funds which we do not manage. Revenue sources primarily include management fees, fiduciary fees and gains (or losses) on our investments.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Management fees for third party clients generally represent a percentage of assets under management ("AUM"). Fiduciary fees, which are generally a function of the size and complexity of each engagement, are individually negotiated. Gains and losses include both realized and unrealized gains and losses on principal investments, including those arising from our equity interest in investment partnerships.</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Transaction-Related Client Reimbursements</w:t>
      </w:r>
      <w:r>
        <w:rPr>
          <w:rFonts w:ascii="Times New Roman;serif" w:hAnsi="Times New Roman;serif"/>
          <w:b w:val="false"/>
          <w:color w:val="000000"/>
          <w:sz w:val="20"/>
        </w:rPr>
        <w:t>. In our Investment Banking &amp; Equities segment, we incur various transaction-related expenditures, such as travel expenses and professional fees, in the course of performing our services. Pursuant to the engagement letters with our advisory clients, these expenditures may be reimbursable. We define these expenses, which are associated with revenue activities earned over time, as transaction-related expenses and record such expenditures as incurred and record revenue when it is determined that clients have an obligation to reimburse us for such transaction-related expenses. Client expense reimbursements are recorded as revenue on the Unaudited Condensed Consolidated Statements of Operations on the later of the date an engagement letter is executed or the date we pay or accrue the expense.</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Other Revenue and Interest Expense.</w:t>
      </w:r>
      <w:r>
        <w:rPr>
          <w:color w:val="000000"/>
        </w:rPr>
        <w:t xml:space="preserve"> </w:t>
      </w:r>
      <w:r>
        <w:rPr>
          <w:rFonts w:ascii="Times New Roman;serif" w:hAnsi="Times New Roman;serif"/>
          <w:b w:val="false"/>
          <w:color w:val="000000"/>
          <w:sz w:val="20"/>
        </w:rPr>
        <w:t>Other Revenue includes the following:</w:t>
      </w:r>
    </w:p>
    <w:p>
      <w:pPr>
        <w:pStyle w:val="TextBody"/>
        <w:bidi w:val="0"/>
        <w:spacing w:lineRule="auto" w:line="288" w:before="180" w:after="283"/>
        <w:ind w:left="0" w:right="0" w:hanging="270"/>
        <w:jc w:val="both"/>
        <w:rPr/>
      </w:pPr>
      <w:r>
        <w:rPr>
          <w:color w:val="000000"/>
        </w:rPr>
        <w:t>•</w:t>
      </w:r>
      <w:r>
        <w:rPr>
          <w:rFonts w:ascii="Times New Roman;serif" w:hAnsi="Times New Roman;serif"/>
          <w:b w:val="false"/>
          <w:color w:val="000000"/>
          <w:sz w:val="20"/>
        </w:rPr>
        <w:t>Interest income, including accretion, and income (losses) on investment securities, including our investment funds (which are used as an economic hedge against our deferred cash compensation program), certificates of deposit, cash and cash equivalents and long-term accounts receivable</w:t>
      </w:r>
    </w:p>
    <w:p>
      <w:pPr>
        <w:pStyle w:val="TextBody"/>
        <w:bidi w:val="0"/>
        <w:spacing w:lineRule="auto" w:line="288" w:before="180" w:after="283"/>
        <w:ind w:left="0" w:right="0" w:hanging="270"/>
        <w:jc w:val="both"/>
        <w:rPr/>
      </w:pPr>
      <w:r>
        <w:rPr>
          <w:color w:val="000000"/>
        </w:rPr>
        <w:t>•</w:t>
      </w:r>
      <w:r>
        <w:rPr>
          <w:rFonts w:ascii="Times New Roman;serif" w:hAnsi="Times New Roman;serif"/>
          <w:b w:val="false"/>
          <w:color w:val="000000"/>
          <w:sz w:val="20"/>
        </w:rPr>
        <w:t>Gains (losses) resulting from foreign currency exchange rate fluctuations and foreign currency exchange forward contracts used as an economic hedge against exchange rate risk for foreign currency denominated accounts receivable or other commitments</w:t>
      </w:r>
    </w:p>
    <w:p>
      <w:pPr>
        <w:pStyle w:val="TextBody"/>
        <w:bidi w:val="0"/>
        <w:spacing w:lineRule="auto" w:line="288" w:before="180" w:after="283"/>
        <w:ind w:left="0" w:right="0" w:hanging="270"/>
        <w:jc w:val="both"/>
        <w:rPr/>
      </w:pPr>
      <w:r>
        <w:rPr>
          <w:color w:val="000000"/>
        </w:rPr>
        <w:t>•</w:t>
      </w:r>
      <w:r>
        <w:rPr>
          <w:rFonts w:ascii="Times New Roman;serif" w:hAnsi="Times New Roman;serif"/>
          <w:b w:val="false"/>
          <w:color w:val="000000"/>
          <w:sz w:val="20"/>
        </w:rPr>
        <w:t>Realized and unrealized gains and losses on interests in private equity funds which we do not manage</w:t>
      </w:r>
    </w:p>
    <w:p>
      <w:pPr>
        <w:pStyle w:val="TextBody"/>
        <w:bidi w:val="0"/>
        <w:spacing w:lineRule="auto" w:line="288" w:before="180" w:after="283"/>
        <w:ind w:left="0" w:right="0" w:hanging="270"/>
        <w:jc w:val="both"/>
        <w:rPr/>
      </w:pPr>
      <w:r>
        <w:rPr>
          <w:color w:val="000000"/>
        </w:rPr>
        <w:t>•</w:t>
      </w:r>
      <w:r>
        <w:rPr>
          <w:rFonts w:ascii="Times New Roman;serif" w:hAnsi="Times New Roman;serif"/>
          <w:b w:val="false"/>
          <w:color w:val="000000"/>
          <w:sz w:val="20"/>
        </w:rPr>
        <w:t>Adjustments to amounts due pursuant to our tax receivable agreement, subsequent to its initial establishment, related to changes in enacted tax rates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Expense includes interest expense associated with our Notes Payable, lines of credit and other financing arrangements, including interest expense related to deferred acquisition consideration and mandatorily redeemable interests.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Expenses</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Employee Compensation and Benefits.</w:t>
      </w:r>
      <w:r>
        <w:rPr>
          <w:color w:val="000000"/>
        </w:rPr>
        <w:t xml:space="preserve"> </w:t>
      </w:r>
      <w:r>
        <w:rPr>
          <w:rFonts w:ascii="Times New Roman;serif" w:hAnsi="Times New Roman;serif"/>
          <w:b w:val="false"/>
          <w:color w:val="000000"/>
          <w:sz w:val="20"/>
        </w:rPr>
        <w:t>We include all payments for services rendered by our employees, as well as profits interests in our businesses that have been accounted for as compensation, in employee compensation and benefits expense.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maintain compensation programs, including base salary, cash, deferred cash and equity bonus awards and benefits programs and manage compensation to estimates of competitive levels based on market conditions and performance. Our level of compensation, including deferred compensation, reflects our plan to maintain competitive compensation levels to retain and attract key personnel, and it reflects the impact of newly-hired senior professionals upon their start date, including related grants of equity and other awards, which are generally valued at their grant date and recorded in employee compensation and benefits expense over the requisite service period.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Increasing the number of high-caliber, experienced senior level employees is critical to our growth efforts. In our advisory businesses, these hires, which begin their service throughout any given year, generally do not begin to generate significant revenue in the year they are hired.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d55c8df0a38248a4bad3569328277986_7">
        <w:r>
          <w:rPr>
            <w:rStyle w:val="InternetLink"/>
          </w:rPr>
          <w:t>T</w:t>
        </w:r>
      </w:hyperlink>
      <w:hyperlink w:anchor="id55c8df0a38248a4bad3569328277986_7">
        <w:r>
          <w:rPr>
            <w:rStyle w:val="InternetLink"/>
          </w:rPr>
          <w:t>a</w:t>
        </w:r>
      </w:hyperlink>
      <w:hyperlink w:anchor="id55c8df0a38248a4bad3569328277986_7">
        <w:r>
          <w:rPr>
            <w:rStyle w:val="InternetLink"/>
          </w:rPr>
          <w:t>b</w:t>
        </w:r>
      </w:hyperlink>
      <w:hyperlink w:anchor="id55c8df0a38248a4bad3569328277986_7">
        <w:r>
          <w:rPr>
            <w:rStyle w:val="InternetLink"/>
          </w:rPr>
          <w:t>l</w:t>
        </w:r>
      </w:hyperlink>
      <w:hyperlink w:anchor="id55c8df0a38248a4bad3569328277986_7">
        <w:r>
          <w:rPr>
            <w:rStyle w:val="InternetLink"/>
          </w:rPr>
          <w:t>e</w:t>
        </w:r>
      </w:hyperlink>
      <w:hyperlink w:anchor="id55c8df0a38248a4bad3569328277986_7">
        <w:r>
          <w:rPr>
            <w:rStyle w:val="InternetLink"/>
          </w:rPr>
          <w:t xml:space="preserve"> </w:t>
        </w:r>
      </w:hyperlink>
      <w:hyperlink w:anchor="id55c8df0a38248a4bad3569328277986_7">
        <w:r>
          <w:rPr>
            <w:rStyle w:val="InternetLink"/>
          </w:rPr>
          <w:t>o</w:t>
        </w:r>
      </w:hyperlink>
      <w:hyperlink w:anchor="id55c8df0a38248a4bad3569328277986_7">
        <w:r>
          <w:rPr>
            <w:rStyle w:val="InternetLink"/>
          </w:rPr>
          <w:t>f</w:t>
        </w:r>
      </w:hyperlink>
      <w:hyperlink w:anchor="id55c8df0a38248a4bad3569328277986_7">
        <w:r>
          <w:rPr>
            <w:rStyle w:val="InternetLink"/>
          </w:rPr>
          <w:t xml:space="preserve"> </w:t>
        </w:r>
      </w:hyperlink>
      <w:hyperlink w:anchor="id55c8df0a38248a4bad3569328277986_7">
        <w:r>
          <w:rPr>
            <w:rStyle w:val="InternetLink"/>
          </w:rPr>
          <w:t>C</w:t>
        </w:r>
      </w:hyperlink>
      <w:hyperlink w:anchor="id55c8df0a38248a4bad3569328277986_7">
        <w:r>
          <w:rPr>
            <w:rStyle w:val="InternetLink"/>
          </w:rPr>
          <w:t>o</w:t>
        </w:r>
      </w:hyperlink>
      <w:hyperlink w:anchor="id55c8df0a38248a4bad3569328277986_7">
        <w:r>
          <w:rPr>
            <w:rStyle w:val="InternetLink"/>
          </w:rPr>
          <w:t>n</w:t>
        </w:r>
      </w:hyperlink>
      <w:hyperlink w:anchor="id55c8df0a38248a4bad3569328277986_7">
        <w:r>
          <w:rPr>
            <w:rStyle w:val="InternetLink"/>
          </w:rPr>
          <w:t>t</w:t>
        </w:r>
      </w:hyperlink>
      <w:hyperlink w:anchor="id55c8df0a38248a4bad3569328277986_7">
        <w:r>
          <w:rPr>
            <w:rStyle w:val="InternetLink"/>
          </w:rPr>
          <w:t>e</w:t>
        </w:r>
      </w:hyperlink>
      <w:hyperlink w:anchor="id55c8df0a38248a4bad3569328277986_7">
        <w:r>
          <w:rPr>
            <w:rStyle w:val="InternetLink"/>
          </w:rPr>
          <w:t>n</w:t>
        </w:r>
      </w:hyperlink>
      <w:hyperlink w:anchor="id55c8df0a38248a4bad3569328277986_7">
        <w:r>
          <w:rPr>
            <w:rStyle w:val="InternetLink"/>
          </w:rPr>
          <w:t>t</w:t>
        </w:r>
      </w:hyperlink>
      <w:hyperlink w:anchor="id55c8df0a38248a4bad3569328277986_7">
        <w:r>
          <w:rPr>
            <w:rStyle w:val="InternetLink"/>
          </w:rPr>
          <w:t>s</w:t>
        </w:r>
      </w:hyperlink>
      <w:r>
        <w:rPr>
          <w:color w:val="000000"/>
        </w:rPr>
        <w:t>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annual compensation program includes share-based compensation awards and deferred cash awards as a component of the annual bonus awards for certain employees. These awards, the amount granted of which is a function of performance and market conditions, are generally subject to annual vesting requirements over a four-year period beginning at the date of grant, which occurs in the first quarter of each year; accordingly, the expense is generally amortized over the stated vesting period, subject to retirement eligibility. With respect to annual awards, our retirement eligibility criteria generally stipulates that an employee is eligible for retirement if the employee has at least five years of continuous service, is at least 55 years of age and has a combined age and years of service of at least 65 years, or if an employee has at least 10 years of continuous service and is at least 60 years of age. Retirement eligibility allows for continued vesting of awards after employees depart from the Company, provided they give the minimum advance notice, which is generally six months to one year and comply with certain post-termination obligations.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estimate forfeitures in the aggregate compensation cost to be amortized over the requisite service period of the awards. We periodically monitor our estimated forfeiture rate and adjust our assumptions to the actual occurrence of forfeited awards. A change in estimated forfeitures is recognized through a cumulative adjustment in the period of the change.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January 2024, 2025 and 2026, our Board of Directors approved the issuance of Class L Interests to certain of our named executive officers, pursuant to which those named executive officers receive a discretionary distribution of profits from Evercore LP, paid in the first quarters of 2025, 2026 and 2027, respectively. Distributions pursuant to these interests are made in lieu of any cash incentive compensation payments which may otherwise have been made to our named executive officers in respect of their service for 2024, 2025 and 2026, respectively. Following the distributions, the Class L Interests are cancelled pursuant to their terms. We record expense equal to the amount of these distributions in Employee Compensation and Benefits on the Unaudited Condensed Consolidated Statements of Operations and reflect accrued liabilities related to these distributions in Accrued Compensation and Benefits on the Unaudited Condensed Consolidated Statements of Financial Condition.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Long-term Incentive Plans provide for incentive compensation awards for Investment Banking Senior Managing Directors, excluding executive officers, who exceed defined benchmark results over four-year performance periods beginning January 1, 2021 (which ended on December 31, 2024), pursuant to the 2021 Long-term Incentive Plan, and January 1, 2025, pursuant to the 2025 Long-term Incentive Plan. In conjunction with the 2021 Long-term Incentive Plan, we made cash distributions in the first quarter of 2026 and 2025. Remaining amounts due pursuant to these plans are to be paid in cash or Class A Shares, at our discretion, in the first quarter of 2027, for the 2021 Long-term Incentive Plan, and in the first quarter of 2029, 2030 and 2031, for the 2025 Long-term Incentive Plan, subject to employment at the time of payment. We periodically assess the probability of the benchmarks being achieved and expense the probable payout over the requisite service period of the award.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From time to time, we also grant incentive awards to certain individuals which include both performance and service-based vesting requirements and, in certain awards, market-based requirements. These include Class K-P Units issued by Evercore LP, certain RSU and deferred cash awards, as well as awards issued in conjunction with the acquisition of Robey Warshaw in 2025. See Note 15 to our unaudited condensed consolidated financial statements for further information.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that the ratio of Employee Compensation and Benefits Expense to Net Revenues is an important measure to assess the annual cost of compensation relative to performance and provides a meaningful basis for comparison of compensation and benefits expense between present, historical and future years.</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Non-Compensation.</w:t>
      </w:r>
      <w:r>
        <w:rPr>
          <w:color w:val="000000"/>
        </w:rPr>
        <w:t xml:space="preserve"> </w:t>
      </w:r>
      <w:r>
        <w:rPr>
          <w:rFonts w:ascii="Times New Roman;serif" w:hAnsi="Times New Roman;serif"/>
          <w:b w:val="false"/>
          <w:color w:val="000000"/>
          <w:sz w:val="20"/>
        </w:rPr>
        <w:t xml:space="preserve">Our Non-Compensation expenses include costs for occupancy and equipment rental, professional fees, travel and related expenses, technology and information services, depreciation and amortization, execution, clearing and custody fees, acquisition and transition costs and other operating expenses. </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Income from Equity Method Investments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share of the income (loss) from our equity interests in Atalanta Sosnoff and Seneca Evercore are included within Income from Equity Method Investments, as a component of Income Before Income Taxes, on the Unaudited Condensed Consolidated Statements of Operations. See Note 8 to our unaudited condensed consolidated financial statements for further information.</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Provision (Benefit) for Income Taxes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We account for income taxes in accordance with ASC 740, </w:t>
      </w:r>
      <w:r>
        <w:rPr>
          <w:rFonts w:ascii="Times New Roman;serif" w:hAnsi="Times New Roman;serif"/>
          <w:b w:val="false"/>
          <w:i/>
          <w:color w:val="000000"/>
          <w:sz w:val="20"/>
        </w:rPr>
        <w:t>"Income Taxes"</w:t>
      </w:r>
      <w:r>
        <w:rPr>
          <w:rFonts w:ascii="Times New Roman;serif" w:hAnsi="Times New Roman;serif"/>
          <w:b w:val="false"/>
          <w:color w:val="000000"/>
          <w:sz w:val="20"/>
        </w:rPr>
        <w:t xml:space="preserve">, which requires the recognition of tax benefits or expenses on temporary differences between the financial reporting and tax basis of our assets and liabilities. Excess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d55c8df0a38248a4bad3569328277986_7">
        <w:r>
          <w:rPr>
            <w:rStyle w:val="InternetLink"/>
          </w:rPr>
          <w:t>T</w:t>
        </w:r>
      </w:hyperlink>
      <w:hyperlink w:anchor="id55c8df0a38248a4bad3569328277986_7">
        <w:r>
          <w:rPr>
            <w:rStyle w:val="InternetLink"/>
          </w:rPr>
          <w:t>a</w:t>
        </w:r>
      </w:hyperlink>
      <w:hyperlink w:anchor="id55c8df0a38248a4bad3569328277986_7">
        <w:r>
          <w:rPr>
            <w:rStyle w:val="InternetLink"/>
          </w:rPr>
          <w:t>b</w:t>
        </w:r>
      </w:hyperlink>
      <w:hyperlink w:anchor="id55c8df0a38248a4bad3569328277986_7">
        <w:r>
          <w:rPr>
            <w:rStyle w:val="InternetLink"/>
          </w:rPr>
          <w:t>l</w:t>
        </w:r>
      </w:hyperlink>
      <w:hyperlink w:anchor="id55c8df0a38248a4bad3569328277986_7">
        <w:r>
          <w:rPr>
            <w:rStyle w:val="InternetLink"/>
          </w:rPr>
          <w:t>e</w:t>
        </w:r>
      </w:hyperlink>
      <w:hyperlink w:anchor="id55c8df0a38248a4bad3569328277986_7">
        <w:r>
          <w:rPr>
            <w:rStyle w:val="InternetLink"/>
          </w:rPr>
          <w:t xml:space="preserve"> </w:t>
        </w:r>
      </w:hyperlink>
      <w:hyperlink w:anchor="id55c8df0a38248a4bad3569328277986_7">
        <w:r>
          <w:rPr>
            <w:rStyle w:val="InternetLink"/>
          </w:rPr>
          <w:t>o</w:t>
        </w:r>
      </w:hyperlink>
      <w:hyperlink w:anchor="id55c8df0a38248a4bad3569328277986_7">
        <w:r>
          <w:rPr>
            <w:rStyle w:val="InternetLink"/>
          </w:rPr>
          <w:t>f</w:t>
        </w:r>
      </w:hyperlink>
      <w:hyperlink w:anchor="id55c8df0a38248a4bad3569328277986_7">
        <w:r>
          <w:rPr>
            <w:rStyle w:val="InternetLink"/>
          </w:rPr>
          <w:t xml:space="preserve"> </w:t>
        </w:r>
      </w:hyperlink>
      <w:hyperlink w:anchor="id55c8df0a38248a4bad3569328277986_7">
        <w:r>
          <w:rPr>
            <w:rStyle w:val="InternetLink"/>
          </w:rPr>
          <w:t>C</w:t>
        </w:r>
      </w:hyperlink>
      <w:hyperlink w:anchor="id55c8df0a38248a4bad3569328277986_7">
        <w:r>
          <w:rPr>
            <w:rStyle w:val="InternetLink"/>
          </w:rPr>
          <w:t>o</w:t>
        </w:r>
      </w:hyperlink>
      <w:hyperlink w:anchor="id55c8df0a38248a4bad3569328277986_7">
        <w:r>
          <w:rPr>
            <w:rStyle w:val="InternetLink"/>
          </w:rPr>
          <w:t>n</w:t>
        </w:r>
      </w:hyperlink>
      <w:hyperlink w:anchor="id55c8df0a38248a4bad3569328277986_7">
        <w:r>
          <w:rPr>
            <w:rStyle w:val="InternetLink"/>
          </w:rPr>
          <w:t>t</w:t>
        </w:r>
      </w:hyperlink>
      <w:hyperlink w:anchor="id55c8df0a38248a4bad3569328277986_7">
        <w:r>
          <w:rPr>
            <w:rStyle w:val="InternetLink"/>
          </w:rPr>
          <w:t>e</w:t>
        </w:r>
      </w:hyperlink>
      <w:hyperlink w:anchor="id55c8df0a38248a4bad3569328277986_7">
        <w:r>
          <w:rPr>
            <w:rStyle w:val="InternetLink"/>
          </w:rPr>
          <w:t>n</w:t>
        </w:r>
      </w:hyperlink>
      <w:hyperlink w:anchor="id55c8df0a38248a4bad3569328277986_7">
        <w:r>
          <w:rPr>
            <w:rStyle w:val="InternetLink"/>
          </w:rPr>
          <w:t>t</w:t>
        </w:r>
      </w:hyperlink>
      <w:hyperlink w:anchor="id55c8df0a38248a4bad3569328277986_7">
        <w:r>
          <w:rPr>
            <w:rStyle w:val="InternetLink"/>
          </w:rPr>
          <w:t>s</w:t>
        </w:r>
      </w:hyperlink>
      <w:r>
        <w:rPr>
          <w:color w:val="000000"/>
        </w:rPr>
        <w: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benefits and deficiencies associated with the appreciation or depreciation in our share price upon vesting of employee share-based awards above or below the original grant price are recognized in our Provision (Benefit) for Income Taxes. In addition, net deferred tax assets are impacted by changes to statutory tax rates in the period of enactment. See Note 18 to our unaudited condensed consolidated financial statements for further information.</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Noncontrolling Interest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record noncontrolling interest relating to the ownership interests of certain of our current and former Senior Managing Directors and other officers and their estate planning vehicles in Evercore LP, as well as the portions of our operating subsidiaries not owned by Evercore. Evercore Inc. is the sole general partner of Evercore LP and has a majority economic interest in Evercore LP. As a result, Evercore Inc. consolidates Evercore LP and records a noncontrolling interest for the economic interest in Evercore LP held by the limited partners.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generally allocate net income or loss to participating noncontrolling interests held at Evercore LP and at the operating entity level, where required, by multiplying the relative ownership interest of the noncontrolling interest holders for the period by the net income or loss of the entity to which the noncontrolling interest relates. In circumstances where the governing documents of the entity to which the noncontrolling interest relates require special allocations of profits or losses to the controlling and noncontrolling interest holders, the net income or loss of these entities is allocated based on these special allocations. See Note 13 to our unaudited condensed consolidated financial statements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d55c8df0a38248a4bad3569328277986_7">
        <w:r>
          <w:rPr>
            <w:rStyle w:val="InternetLink"/>
          </w:rPr>
          <w:t>T</w:t>
        </w:r>
      </w:hyperlink>
      <w:hyperlink w:anchor="id55c8df0a38248a4bad3569328277986_7">
        <w:r>
          <w:rPr>
            <w:rStyle w:val="InternetLink"/>
          </w:rPr>
          <w:t>a</w:t>
        </w:r>
      </w:hyperlink>
      <w:hyperlink w:anchor="id55c8df0a38248a4bad3569328277986_7">
        <w:r>
          <w:rPr>
            <w:rStyle w:val="InternetLink"/>
          </w:rPr>
          <w:t>b</w:t>
        </w:r>
      </w:hyperlink>
      <w:hyperlink w:anchor="id55c8df0a38248a4bad3569328277986_7">
        <w:r>
          <w:rPr>
            <w:rStyle w:val="InternetLink"/>
          </w:rPr>
          <w:t>l</w:t>
        </w:r>
      </w:hyperlink>
      <w:hyperlink w:anchor="id55c8df0a38248a4bad3569328277986_7">
        <w:r>
          <w:rPr>
            <w:rStyle w:val="InternetLink"/>
          </w:rPr>
          <w:t>e</w:t>
        </w:r>
      </w:hyperlink>
      <w:hyperlink w:anchor="id55c8df0a38248a4bad3569328277986_7">
        <w:r>
          <w:rPr>
            <w:rStyle w:val="InternetLink"/>
          </w:rPr>
          <w:t xml:space="preserve"> </w:t>
        </w:r>
      </w:hyperlink>
      <w:hyperlink w:anchor="id55c8df0a38248a4bad3569328277986_7">
        <w:r>
          <w:rPr>
            <w:rStyle w:val="InternetLink"/>
          </w:rPr>
          <w:t>o</w:t>
        </w:r>
      </w:hyperlink>
      <w:hyperlink w:anchor="id55c8df0a38248a4bad3569328277986_7">
        <w:r>
          <w:rPr>
            <w:rStyle w:val="InternetLink"/>
          </w:rPr>
          <w:t>f</w:t>
        </w:r>
      </w:hyperlink>
      <w:hyperlink w:anchor="id55c8df0a38248a4bad3569328277986_7">
        <w:r>
          <w:rPr>
            <w:rStyle w:val="InternetLink"/>
          </w:rPr>
          <w:t xml:space="preserve"> </w:t>
        </w:r>
      </w:hyperlink>
      <w:hyperlink w:anchor="id55c8df0a38248a4bad3569328277986_7">
        <w:r>
          <w:rPr>
            <w:rStyle w:val="InternetLink"/>
          </w:rPr>
          <w:t>C</w:t>
        </w:r>
      </w:hyperlink>
      <w:hyperlink w:anchor="id55c8df0a38248a4bad3569328277986_7">
        <w:r>
          <w:rPr>
            <w:rStyle w:val="InternetLink"/>
          </w:rPr>
          <w:t>o</w:t>
        </w:r>
      </w:hyperlink>
      <w:hyperlink w:anchor="id55c8df0a38248a4bad3569328277986_7">
        <w:r>
          <w:rPr>
            <w:rStyle w:val="InternetLink"/>
          </w:rPr>
          <w:t>n</w:t>
        </w:r>
      </w:hyperlink>
      <w:hyperlink w:anchor="id55c8df0a38248a4bad3569328277986_7">
        <w:r>
          <w:rPr>
            <w:rStyle w:val="InternetLink"/>
          </w:rPr>
          <w:t>t</w:t>
        </w:r>
      </w:hyperlink>
      <w:hyperlink w:anchor="id55c8df0a38248a4bad3569328277986_7">
        <w:r>
          <w:rPr>
            <w:rStyle w:val="InternetLink"/>
          </w:rPr>
          <w:t>e</w:t>
        </w:r>
      </w:hyperlink>
      <w:hyperlink w:anchor="id55c8df0a38248a4bad3569328277986_7">
        <w:r>
          <w:rPr>
            <w:rStyle w:val="InternetLink"/>
          </w:rPr>
          <w:t>n</w:t>
        </w:r>
      </w:hyperlink>
      <w:hyperlink w:anchor="id55c8df0a38248a4bad3569328277986_7">
        <w:r>
          <w:rPr>
            <w:rStyle w:val="InternetLink"/>
          </w:rPr>
          <w:t>t</w:t>
        </w:r>
      </w:hyperlink>
      <w:hyperlink w:anchor="id55c8df0a38248a4bad3569328277986_7">
        <w:r>
          <w:rPr>
            <w:rStyle w:val="InternetLink"/>
          </w:rPr>
          <w:t>s</w:t>
        </w:r>
      </w:hyperlink>
      <w:r>
        <w:rPr>
          <w:color w:val="000000"/>
        </w:rPr>
        <w:t>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discussion of our results of operations for the three months ended March 31, 2026 and 2025. For a more detailed discussion of the factors that affected the revenue and operating expenses of our Investment Banking &amp; Equities and Investment Management business segments in these periods, see the discussion in "Business Segments" below. </w:t>
      </w:r>
    </w:p>
    <w:tbl>
      <w:tblPr>
        <w:tblW w:w="10205" w:type="dxa"/>
        <w:jc w:val="left"/>
        <w:tblInd w:w="0" w:type="dxa"/>
        <w:tblLayout w:type="fixed"/>
        <w:tblCellMar>
          <w:top w:w="28" w:type="dxa"/>
          <w:left w:w="28" w:type="dxa"/>
          <w:bottom w:w="28" w:type="dxa"/>
          <w:right w:w="28" w:type="dxa"/>
        </w:tblCellMar>
      </w:tblPr>
      <w:tblGrid>
        <w:gridCol w:w="1859"/>
        <w:gridCol w:w="1315"/>
        <w:gridCol w:w="1325"/>
        <w:gridCol w:w="241"/>
        <w:gridCol w:w="1120"/>
        <w:gridCol w:w="124"/>
        <w:gridCol w:w="124"/>
        <w:gridCol w:w="124"/>
        <w:gridCol w:w="124"/>
        <w:gridCol w:w="241"/>
        <w:gridCol w:w="948"/>
        <w:gridCol w:w="124"/>
        <w:gridCol w:w="118"/>
        <w:gridCol w:w="118"/>
        <w:gridCol w:w="118"/>
        <w:gridCol w:w="210"/>
        <w:gridCol w:w="211"/>
        <w:gridCol w:w="399"/>
        <w:gridCol w:w="109"/>
        <w:gridCol w:w="109"/>
        <w:gridCol w:w="109"/>
        <w:gridCol w:w="109"/>
        <w:gridCol w:w="109"/>
        <w:gridCol w:w="109"/>
        <w:gridCol w:w="109"/>
        <w:gridCol w:w="109"/>
        <w:gridCol w:w="109"/>
        <w:gridCol w:w="109"/>
        <w:gridCol w:w="109"/>
        <w:gridCol w:w="163"/>
      </w:tblGrid>
      <w:tr>
        <w:trPr/>
        <w:tc>
          <w:tcPr>
            <w:tcW w:w="185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 the Three Months Ended March 31, </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6"/>
            <w:tcBorders/>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and share amounts in thousands,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4" w:type="dxa"/>
            <w:gridSpan w:val="10"/>
            <w:tcBorders/>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Banking &amp; Equities:</w:t>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Advisory Fees</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1,244,739 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557,349 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Fees</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55,068 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54,255 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 and Related Revenue</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62,658 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55,110 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 and Administration Fees</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 Including Interest and Investments</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1,400,469 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699,022 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1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1,391,578 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694,829 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904,070 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459,825 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Non-Compensation</w:t>
            </w:r>
            <w:r>
              <w:rPr>
                <w:rFonts w:ascii="Times New Roman;serif" w:hAnsi="Times New Roman;serif"/>
                <w:b w:val="false"/>
                <w:color w:val="000000"/>
                <w:sz w:val="13"/>
              </w:rPr>
              <w:t>(1)</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156,782 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123,820 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1,060,852 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583,645 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from Equity Method Investments and Income Taxes</w:t>
            </w:r>
          </w:p>
        </w:tc>
        <w:tc>
          <w:tcPr>
            <w:tcW w:w="1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330,726 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111,184 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Investments</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331,777 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112,063 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(41,727)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322,721 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153,790 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Evercore Inc.</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301,235 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146,184 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Weighted Average Shares of Class A Common Stock Outstanding</w:t>
            </w:r>
          </w:p>
        </w:tc>
        <w:tc>
          <w:tcPr>
            <w:tcW w:w="13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41,850 </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42,058 </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Net Income Per Share Attributable to Evercore Inc. Common Shareholders</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(1)Non-Compensation expenses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d55c8df0a38248a4bad3569328277986_7">
        <w:r>
          <w:rPr>
            <w:rStyle w:val="InternetLink"/>
          </w:rPr>
          <w:t>T</w:t>
        </w:r>
      </w:hyperlink>
      <w:hyperlink w:anchor="id55c8df0a38248a4bad3569328277986_7">
        <w:r>
          <w:rPr>
            <w:rStyle w:val="InternetLink"/>
          </w:rPr>
          <w:t>a</w:t>
        </w:r>
      </w:hyperlink>
      <w:hyperlink w:anchor="id55c8df0a38248a4bad3569328277986_7">
        <w:r>
          <w:rPr>
            <w:rStyle w:val="InternetLink"/>
          </w:rPr>
          <w:t>b</w:t>
        </w:r>
      </w:hyperlink>
      <w:hyperlink w:anchor="id55c8df0a38248a4bad3569328277986_7">
        <w:r>
          <w:rPr>
            <w:rStyle w:val="InternetLink"/>
          </w:rPr>
          <w:t>l</w:t>
        </w:r>
      </w:hyperlink>
      <w:hyperlink w:anchor="id55c8df0a38248a4bad3569328277986_7">
        <w:r>
          <w:rPr>
            <w:rStyle w:val="InternetLink"/>
          </w:rPr>
          <w:t>e</w:t>
        </w:r>
      </w:hyperlink>
      <w:hyperlink w:anchor="id55c8df0a38248a4bad3569328277986_7">
        <w:r>
          <w:rPr>
            <w:rStyle w:val="InternetLink"/>
          </w:rPr>
          <w:t xml:space="preserve"> </w:t>
        </w:r>
      </w:hyperlink>
      <w:hyperlink w:anchor="id55c8df0a38248a4bad3569328277986_7">
        <w:r>
          <w:rPr>
            <w:rStyle w:val="InternetLink"/>
          </w:rPr>
          <w:t>o</w:t>
        </w:r>
      </w:hyperlink>
      <w:hyperlink w:anchor="id55c8df0a38248a4bad3569328277986_7">
        <w:r>
          <w:rPr>
            <w:rStyle w:val="InternetLink"/>
          </w:rPr>
          <w:t>f</w:t>
        </w:r>
      </w:hyperlink>
      <w:hyperlink w:anchor="id55c8df0a38248a4bad3569328277986_7">
        <w:r>
          <w:rPr>
            <w:rStyle w:val="InternetLink"/>
          </w:rPr>
          <w:t xml:space="preserve"> </w:t>
        </w:r>
      </w:hyperlink>
      <w:hyperlink w:anchor="id55c8df0a38248a4bad3569328277986_7">
        <w:r>
          <w:rPr>
            <w:rStyle w:val="InternetLink"/>
          </w:rPr>
          <w:t>C</w:t>
        </w:r>
      </w:hyperlink>
      <w:hyperlink w:anchor="id55c8df0a38248a4bad3569328277986_7">
        <w:r>
          <w:rPr>
            <w:rStyle w:val="InternetLink"/>
          </w:rPr>
          <w:t>o</w:t>
        </w:r>
      </w:hyperlink>
      <w:hyperlink w:anchor="id55c8df0a38248a4bad3569328277986_7">
        <w:r>
          <w:rPr>
            <w:rStyle w:val="InternetLink"/>
          </w:rPr>
          <w:t>n</w:t>
        </w:r>
      </w:hyperlink>
      <w:hyperlink w:anchor="id55c8df0a38248a4bad3569328277986_7">
        <w:r>
          <w:rPr>
            <w:rStyle w:val="InternetLink"/>
          </w:rPr>
          <w:t>t</w:t>
        </w:r>
      </w:hyperlink>
      <w:hyperlink w:anchor="id55c8df0a38248a4bad3569328277986_7">
        <w:r>
          <w:rPr>
            <w:rStyle w:val="InternetLink"/>
          </w:rPr>
          <w:t>e</w:t>
        </w:r>
      </w:hyperlink>
      <w:hyperlink w:anchor="id55c8df0a38248a4bad3569328277986_7">
        <w:r>
          <w:rPr>
            <w:rStyle w:val="InternetLink"/>
          </w:rPr>
          <w:t>n</w:t>
        </w:r>
      </w:hyperlink>
      <w:hyperlink w:anchor="id55c8df0a38248a4bad3569328277986_7">
        <w:r>
          <w:rPr>
            <w:rStyle w:val="InternetLink"/>
          </w:rPr>
          <w:t>t</w:t>
        </w:r>
      </w:hyperlink>
      <w:hyperlink w:anchor="id55c8df0a38248a4bad3569328277986_7">
        <w:r>
          <w:rPr>
            <w:rStyle w:val="InternetLink"/>
          </w:rPr>
          <w:t>s</w:t>
        </w:r>
      </w:hyperlink>
      <w:r>
        <w:rPr>
          <w:color w:val="000000"/>
        </w:rPr>
        <w:t>                                              </w:t>
      </w:r>
    </w:p>
    <w:tbl>
      <w:tblPr>
        <w:tblW w:w="8638" w:type="dxa"/>
        <w:jc w:val="left"/>
        <w:tblInd w:w="0" w:type="dxa"/>
        <w:tblLayout w:type="fixed"/>
        <w:tblCellMar>
          <w:top w:w="28" w:type="dxa"/>
          <w:left w:w="28" w:type="dxa"/>
          <w:bottom w:w="28" w:type="dxa"/>
          <w:right w:w="28" w:type="dxa"/>
        </w:tblCellMar>
      </w:tblPr>
      <w:tblGrid>
        <w:gridCol w:w="1217"/>
        <w:gridCol w:w="1071"/>
        <w:gridCol w:w="1072"/>
        <w:gridCol w:w="244"/>
        <w:gridCol w:w="955"/>
        <w:gridCol w:w="126"/>
        <w:gridCol w:w="126"/>
        <w:gridCol w:w="126"/>
        <w:gridCol w:w="126"/>
        <w:gridCol w:w="244"/>
        <w:gridCol w:w="955"/>
        <w:gridCol w:w="126"/>
        <w:gridCol w:w="109"/>
        <w:gridCol w:w="109"/>
        <w:gridCol w:w="109"/>
        <w:gridCol w:w="210"/>
        <w:gridCol w:w="211"/>
        <w:gridCol w:w="367"/>
        <w:gridCol w:w="109"/>
        <w:gridCol w:w="109"/>
        <w:gridCol w:w="109"/>
        <w:gridCol w:w="109"/>
        <w:gridCol w:w="109"/>
        <w:gridCol w:w="109"/>
        <w:gridCol w:w="109"/>
        <w:gridCol w:w="109"/>
        <w:gridCol w:w="109"/>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 the 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1135" w:type="dxa"/>
            <w:gridSpan w:val="10"/>
            <w:tcBorders/>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Non-Compensation</w:t>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and Equipment Rental</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25,731 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Professional Fees</w:t>
            </w:r>
            <w:r>
              <w:rPr>
                <w:rFonts w:ascii="Times New Roman;serif" w:hAnsi="Times New Roman;serif"/>
                <w:b w:val="false"/>
                <w:color w:val="000000"/>
                <w:sz w:val="13"/>
              </w:rPr>
              <w:t>(A)</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Travel and Related Expenses</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Technology and Information Services</w:t>
            </w:r>
            <w:r>
              <w:rPr>
                <w:rFonts w:ascii="Times New Roman;serif" w:hAnsi="Times New Roman;serif"/>
                <w:b w:val="false"/>
                <w:color w:val="000000"/>
                <w:sz w:val="13"/>
              </w:rPr>
              <w:t>(A)</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40,418 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Execution, Clearing and Custody Fees</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Transition Costs</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Non-Compensation</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156,782 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123,820 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(A)Includes the reclassification of $10.2 million of technology and related expenses from "Professional Fees" to "Technology and Information Services" for the three months ended March 31, 2025 to conform to the current presentation. See Note 2 to our unaudited condensed consolidated financial statements for further information.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and 2025, we employed approximately 2,635 and 2,395 people, respectively.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Three Months Ended March 31, 2026 versus March 31, 2025</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Income Attributable to Evercore Inc. was $301.2 million for the three months ended March 31, 2026, an increase of $155.1 million, or 106%, compared to $146.2 million for the three months ended March 31, 2025. The changes in our operating results during these periods are described below.</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Revenues were $1.39 billion for the three months ended March 31, 2026, an increase of $696.7 million, or 100%, versus Net Revenues of $694.8 million for the three months ended March 31, 2025. Advisory Fees increased $687.4 million, or 123%, Commissions and Related Revenue increased $7.5 million, or 14%, and Underwriting Fees increased $0.8 million, or 1%, compared to the three months ended March 31, 2025. Asset Management and Administration Fees increased $1.7 million, or 8%, compared to the three months ended March 31, 2025. See "Business Segments" and "Liquidity and Capital Resources" below for further information.</w:t>
      </w:r>
    </w:p>
    <w:p>
      <w:pPr>
        <w:pStyle w:val="TextBody"/>
        <w:bidi w:val="0"/>
        <w:spacing w:lineRule="auto" w:line="288" w:before="180" w:after="283"/>
        <w:ind w:left="0" w:right="0" w:firstLine="450"/>
        <w:jc w:val="both"/>
        <w:rPr/>
      </w:pPr>
      <w:r>
        <w:rPr>
          <w:rFonts w:ascii="Times New Roman;serif" w:hAnsi="Times New Roman;serif"/>
          <w:b w:val="false"/>
          <w:color w:val="000000"/>
          <w:sz w:val="20"/>
          <w:shd w:fill="FFFFFF" w:val="clear"/>
        </w:rPr>
        <w:t>Ot</w:t>
      </w:r>
      <w:r>
        <w:rPr>
          <w:rFonts w:ascii="Times New Roman;serif" w:hAnsi="Times New Roman;serif"/>
          <w:b w:val="false"/>
          <w:color w:val="000000"/>
          <w:sz w:val="20"/>
        </w:rPr>
        <w:t>her Revenue, Including Interest and Investments, was $15.4 million for the three months ended March 31, 2026, an increase of $4.0 million, or 36%, versus $11.3 million for the three months ended March 31, 2025, primarily reflecting higher interest income resulting from higher average balances in interest-bearing assets.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Expense was $8.9 million for the three months ended March 31, 2026, an increase of $4.7 million, or 112%, versus $4.2 million for the three months ended March 31, 2025, primarily reflecting the issuance of new senior notes in July 2025. See Note 11 to our unaudited condensed consolidated financial statements for further information.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Employee Compensation and Benefits Expense was $904.1 million for the three months ended March 31, 2026, an increase of $444.2 million, or 97%, versus $459.8 million for the three months ended March 31, 2025. The increase in the amount of compensation recognized for the three months ended March 31, 2026 principally reflects a higher accrual for incentive compensation, higher base salaries and higher amortization of prior period deferred compensation awards. Employee Compensation and Benefits Expense for the three months ended March 31, 2026 also includes $7.1 million of costs related to awards granted in conjunction with the acquisition of Robey Warshaw. See Notes 5 and 15 to our unaudited condensed consolidated financial statements for further information. Employee Compensation and Benefits Expense as a percentage of Net Revenues was 65.0% for the three months ended March 31, 2026, compared to 66.2% for the three months ended March 31, 2025. Employee Compensation and Benefits Expense as a percentage of Net Revenues was impacted by the factors above, as well as higher net revenues during the current year period compared to the prior year period.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Non-compensation expenses were $156.8 million for the three months ended March 31, 2026, an increase of $33.0 million, or 27%, versus $123.8 million for the three months ended March 31, 2025. The increase was primarily driven by an increase in technology and information services, principally reflecting higher expenses associated with license fees and research services in the first quarter of 2026, an increase in depreciation and amortization, principally reflecting the addition of leasehold improvements for new office space and the amortization of intangible assets from the acquisition of Robey Warshaw,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d55c8df0a38248a4bad3569328277986_7">
        <w:r>
          <w:rPr>
            <w:rStyle w:val="InternetLink"/>
          </w:rPr>
          <w:t>T</w:t>
        </w:r>
      </w:hyperlink>
      <w:hyperlink w:anchor="id55c8df0a38248a4bad3569328277986_7">
        <w:r>
          <w:rPr>
            <w:rStyle w:val="InternetLink"/>
          </w:rPr>
          <w:t>a</w:t>
        </w:r>
      </w:hyperlink>
      <w:hyperlink w:anchor="id55c8df0a38248a4bad3569328277986_7">
        <w:r>
          <w:rPr>
            <w:rStyle w:val="InternetLink"/>
          </w:rPr>
          <w:t>b</w:t>
        </w:r>
      </w:hyperlink>
      <w:hyperlink w:anchor="id55c8df0a38248a4bad3569328277986_7">
        <w:r>
          <w:rPr>
            <w:rStyle w:val="InternetLink"/>
          </w:rPr>
          <w:t>l</w:t>
        </w:r>
      </w:hyperlink>
      <w:hyperlink w:anchor="id55c8df0a38248a4bad3569328277986_7">
        <w:r>
          <w:rPr>
            <w:rStyle w:val="InternetLink"/>
          </w:rPr>
          <w:t>e</w:t>
        </w:r>
      </w:hyperlink>
      <w:hyperlink w:anchor="id55c8df0a38248a4bad3569328277986_7">
        <w:r>
          <w:rPr>
            <w:rStyle w:val="InternetLink"/>
          </w:rPr>
          <w:t xml:space="preserve"> </w:t>
        </w:r>
      </w:hyperlink>
      <w:hyperlink w:anchor="id55c8df0a38248a4bad3569328277986_7">
        <w:r>
          <w:rPr>
            <w:rStyle w:val="InternetLink"/>
          </w:rPr>
          <w:t>o</w:t>
        </w:r>
      </w:hyperlink>
      <w:hyperlink w:anchor="id55c8df0a38248a4bad3569328277986_7">
        <w:r>
          <w:rPr>
            <w:rStyle w:val="InternetLink"/>
          </w:rPr>
          <w:t>f</w:t>
        </w:r>
      </w:hyperlink>
      <w:hyperlink w:anchor="id55c8df0a38248a4bad3569328277986_7">
        <w:r>
          <w:rPr>
            <w:rStyle w:val="InternetLink"/>
          </w:rPr>
          <w:t xml:space="preserve"> </w:t>
        </w:r>
      </w:hyperlink>
      <w:hyperlink w:anchor="id55c8df0a38248a4bad3569328277986_7">
        <w:r>
          <w:rPr>
            <w:rStyle w:val="InternetLink"/>
          </w:rPr>
          <w:t>C</w:t>
        </w:r>
      </w:hyperlink>
      <w:hyperlink w:anchor="id55c8df0a38248a4bad3569328277986_7">
        <w:r>
          <w:rPr>
            <w:rStyle w:val="InternetLink"/>
          </w:rPr>
          <w:t>o</w:t>
        </w:r>
      </w:hyperlink>
      <w:hyperlink w:anchor="id55c8df0a38248a4bad3569328277986_7">
        <w:r>
          <w:rPr>
            <w:rStyle w:val="InternetLink"/>
          </w:rPr>
          <w:t>n</w:t>
        </w:r>
      </w:hyperlink>
      <w:hyperlink w:anchor="id55c8df0a38248a4bad3569328277986_7">
        <w:r>
          <w:rPr>
            <w:rStyle w:val="InternetLink"/>
          </w:rPr>
          <w:t>t</w:t>
        </w:r>
      </w:hyperlink>
      <w:hyperlink w:anchor="id55c8df0a38248a4bad3569328277986_7">
        <w:r>
          <w:rPr>
            <w:rStyle w:val="InternetLink"/>
          </w:rPr>
          <w:t>e</w:t>
        </w:r>
      </w:hyperlink>
      <w:hyperlink w:anchor="id55c8df0a38248a4bad3569328277986_7">
        <w:r>
          <w:rPr>
            <w:rStyle w:val="InternetLink"/>
          </w:rPr>
          <w:t>n</w:t>
        </w:r>
      </w:hyperlink>
      <w:hyperlink w:anchor="id55c8df0a38248a4bad3569328277986_7">
        <w:r>
          <w:rPr>
            <w:rStyle w:val="InternetLink"/>
          </w:rPr>
          <w:t>t</w:t>
        </w:r>
      </w:hyperlink>
      <w:hyperlink w:anchor="id55c8df0a38248a4bad3569328277986_7">
        <w:r>
          <w:rPr>
            <w:rStyle w:val="InternetLink"/>
          </w:rPr>
          <w:t>s</w:t>
        </w:r>
      </w:hyperlink>
      <w:r>
        <w:rPr>
          <w:color w:val="000000"/>
        </w:rPr>
        <w: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increase in professional fees and an increase in travel and related expenses, largely due to higher levels of business activity and increased headcount. Non-compensation expenses for the first quarter of 2026 were also impacted by Acquisition and Transition Costs resulting from the impairment of a lease related to the acquisition of Robey Warshaw. See Note 5 to our unaudited condensed consolidated financial statements for further information. Non-Compensation expenses per employee were approximately $60.3 thousand for the three months ended March 31, 2026, versus $51.9 thousand for the three months ended March 31, 2025, a 16% increase.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Income from Equity Method Investments was $1.1 million for the three months ended March 31, 2026, an increase of $0.2 million, or 20%, versus $0.9 million for the three months ended March 31, 2025, reflecting higher earnings from Atalanta Sosnoff and Seneca Evercore during the three months ended March 31, 2026. See Note 8 to our unaudited condensed consolidated financial statements for further information.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taxes for the three months ended March 31, 2026 was $9.1 million, which reflected an effective tax rate of 2.7%. The provision (benefit) for income taxes for the three months ended March 31, 2025 was ($41.7) million, which reflected an effective tax rate of (37.2%). The provision (benefit) for income taxes for the three months ended March 31, 2026 and 2025 principally reflects the net impact associated with the appreciation in our share price upon vesting of employee share-based awards above the original grant price of $88.5 million and $74.3 million, respectively, which resulted in a reduction in the effective tax rate of 26.7 and 66.3 percentage points for the three months ended March 31, 2026 and 2025, respectively.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 was $21.5 million for the three months ended March 31, 2026, an increase of $13.9 million, or 182%, versus $7.6 million for the three months ended March 31, 2025. The increase in Net Income Attributable to Noncontrolling Interest primarily reflects higher income at Evercore LP during the three months ended March 31, 2026. See Note 13 to our unaudited condensed consolidated financial statements for further information.</w:t>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d55c8df0a38248a4bad3569328277986_7">
        <w:r>
          <w:rPr>
            <w:rStyle w:val="InternetLink"/>
          </w:rPr>
          <w:t>T</w:t>
        </w:r>
      </w:hyperlink>
      <w:hyperlink w:anchor="id55c8df0a38248a4bad3569328277986_7">
        <w:r>
          <w:rPr>
            <w:rStyle w:val="InternetLink"/>
          </w:rPr>
          <w:t>a</w:t>
        </w:r>
      </w:hyperlink>
      <w:hyperlink w:anchor="id55c8df0a38248a4bad3569328277986_7">
        <w:r>
          <w:rPr>
            <w:rStyle w:val="InternetLink"/>
          </w:rPr>
          <w:t>b</w:t>
        </w:r>
      </w:hyperlink>
      <w:hyperlink w:anchor="id55c8df0a38248a4bad3569328277986_7">
        <w:r>
          <w:rPr>
            <w:rStyle w:val="InternetLink"/>
          </w:rPr>
          <w:t>l</w:t>
        </w:r>
      </w:hyperlink>
      <w:hyperlink w:anchor="id55c8df0a38248a4bad3569328277986_7">
        <w:r>
          <w:rPr>
            <w:rStyle w:val="InternetLink"/>
          </w:rPr>
          <w:t>e</w:t>
        </w:r>
      </w:hyperlink>
      <w:hyperlink w:anchor="id55c8df0a38248a4bad3569328277986_7">
        <w:r>
          <w:rPr>
            <w:rStyle w:val="InternetLink"/>
          </w:rPr>
          <w:t xml:space="preserve"> </w:t>
        </w:r>
      </w:hyperlink>
      <w:hyperlink w:anchor="id55c8df0a38248a4bad3569328277986_7">
        <w:r>
          <w:rPr>
            <w:rStyle w:val="InternetLink"/>
          </w:rPr>
          <w:t>o</w:t>
        </w:r>
      </w:hyperlink>
      <w:hyperlink w:anchor="id55c8df0a38248a4bad3569328277986_7">
        <w:r>
          <w:rPr>
            <w:rStyle w:val="InternetLink"/>
          </w:rPr>
          <w:t>f</w:t>
        </w:r>
      </w:hyperlink>
      <w:hyperlink w:anchor="id55c8df0a38248a4bad3569328277986_7">
        <w:r>
          <w:rPr>
            <w:rStyle w:val="InternetLink"/>
          </w:rPr>
          <w:t xml:space="preserve"> </w:t>
        </w:r>
      </w:hyperlink>
      <w:hyperlink w:anchor="id55c8df0a38248a4bad3569328277986_7">
        <w:r>
          <w:rPr>
            <w:rStyle w:val="InternetLink"/>
          </w:rPr>
          <w:t>C</w:t>
        </w:r>
      </w:hyperlink>
      <w:hyperlink w:anchor="id55c8df0a38248a4bad3569328277986_7">
        <w:r>
          <w:rPr>
            <w:rStyle w:val="InternetLink"/>
          </w:rPr>
          <w:t>o</w:t>
        </w:r>
      </w:hyperlink>
      <w:hyperlink w:anchor="id55c8df0a38248a4bad3569328277986_7">
        <w:r>
          <w:rPr>
            <w:rStyle w:val="InternetLink"/>
          </w:rPr>
          <w:t>n</w:t>
        </w:r>
      </w:hyperlink>
      <w:hyperlink w:anchor="id55c8df0a38248a4bad3569328277986_7">
        <w:r>
          <w:rPr>
            <w:rStyle w:val="InternetLink"/>
          </w:rPr>
          <w:t>t</w:t>
        </w:r>
      </w:hyperlink>
      <w:hyperlink w:anchor="id55c8df0a38248a4bad3569328277986_7">
        <w:r>
          <w:rPr>
            <w:rStyle w:val="InternetLink"/>
          </w:rPr>
          <w:t>e</w:t>
        </w:r>
      </w:hyperlink>
      <w:hyperlink w:anchor="id55c8df0a38248a4bad3569328277986_7">
        <w:r>
          <w:rPr>
            <w:rStyle w:val="InternetLink"/>
          </w:rPr>
          <w:t>n</w:t>
        </w:r>
      </w:hyperlink>
      <w:hyperlink w:anchor="id55c8df0a38248a4bad3569328277986_7">
        <w:r>
          <w:rPr>
            <w:rStyle w:val="InternetLink"/>
          </w:rPr>
          <w:t>t</w:t>
        </w:r>
      </w:hyperlink>
      <w:hyperlink w:anchor="id55c8df0a38248a4bad3569328277986_7">
        <w:r>
          <w:rPr>
            <w:rStyle w:val="InternetLink"/>
          </w:rPr>
          <w:t>s</w:t>
        </w:r>
      </w:hyperlink>
      <w:r>
        <w:rPr>
          <w:color w:val="000000"/>
        </w:rPr>
        <w:t>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Business Segments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data presents revenue, expenses and contributions from our equity method investments by business segment.</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Investment Banking &amp; Equities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operating results of the Investment Banking &amp; Equities segment.</w:t>
      </w:r>
    </w:p>
    <w:tbl>
      <w:tblPr>
        <w:tblW w:w="9650" w:type="dxa"/>
        <w:jc w:val="left"/>
        <w:tblInd w:w="0" w:type="dxa"/>
        <w:tblLayout w:type="fixed"/>
        <w:tblCellMar>
          <w:top w:w="28" w:type="dxa"/>
          <w:left w:w="28" w:type="dxa"/>
          <w:bottom w:w="28" w:type="dxa"/>
          <w:right w:w="28" w:type="dxa"/>
        </w:tblCellMar>
      </w:tblPr>
      <w:tblGrid>
        <w:gridCol w:w="1506"/>
        <w:gridCol w:w="1319"/>
        <w:gridCol w:w="1330"/>
        <w:gridCol w:w="230"/>
        <w:gridCol w:w="1068"/>
        <w:gridCol w:w="119"/>
        <w:gridCol w:w="119"/>
        <w:gridCol w:w="119"/>
        <w:gridCol w:w="119"/>
        <w:gridCol w:w="230"/>
        <w:gridCol w:w="904"/>
        <w:gridCol w:w="119"/>
        <w:gridCol w:w="109"/>
        <w:gridCol w:w="109"/>
        <w:gridCol w:w="109"/>
        <w:gridCol w:w="210"/>
        <w:gridCol w:w="211"/>
        <w:gridCol w:w="367"/>
        <w:gridCol w:w="109"/>
        <w:gridCol w:w="109"/>
        <w:gridCol w:w="109"/>
        <w:gridCol w:w="109"/>
        <w:gridCol w:w="109"/>
        <w:gridCol w:w="109"/>
        <w:gridCol w:w="109"/>
        <w:gridCol w:w="109"/>
        <w:gridCol w:w="109"/>
        <w:gridCol w:w="109"/>
        <w:gridCol w:w="109"/>
        <w:gridCol w:w="154"/>
      </w:tblGrid>
      <w:tr>
        <w:trPr/>
        <w:tc>
          <w:tcPr>
            <w:tcW w:w="1506"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 the 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8"/>
            <w:tcBorders/>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Banking &amp; Equities:</w:t>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Advisory Fees</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1,244,739 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557,349 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Fees</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55,068 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54,255 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 and Related Revenue</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62,658 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55,110 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Revenue, net</w:t>
            </w:r>
            <w:r>
              <w:rPr>
                <w:rFonts w:ascii="Times New Roman;serif" w:hAnsi="Times New Roman;serif"/>
                <w:b w:val="false"/>
                <w:color w:val="000000"/>
                <w:sz w:val="13"/>
              </w:rPr>
              <w:t>(1)</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12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1,368,750 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674,532 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4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889,154 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448,029 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Non-Compensation</w:t>
            </w:r>
            <w:r>
              <w:rPr>
                <w:rFonts w:ascii="Times New Roman;serif" w:hAnsi="Times New Roman;serif"/>
                <w:b w:val="false"/>
                <w:color w:val="000000"/>
                <w:sz w:val="13"/>
              </w:rPr>
              <w:t>(3)</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152,656 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119,774 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2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1,041,810 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567,803 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w:t>
            </w:r>
          </w:p>
        </w:tc>
        <w:tc>
          <w:tcPr>
            <w:tcW w:w="12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326,940 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106,729 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(Loss) from Equity Method Investments</w:t>
            </w:r>
            <w:r>
              <w:rPr>
                <w:rFonts w:ascii="Times New Roman;serif" w:hAnsi="Times New Roman;serif"/>
                <w:b w:val="false"/>
                <w:color w:val="000000"/>
                <w:sz w:val="13"/>
              </w:rPr>
              <w:t>(2)</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Pre-Tax Income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326,948 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106,691 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20"/>
          <w:shd w:fill="FFFFFF" w:val="clear"/>
        </w:rPr>
        <w:t>(1)</w:t>
      </w:r>
      <w:r>
        <w:rPr>
          <w:rFonts w:ascii="Times New Roman;serif" w:hAnsi="Times New Roman;serif"/>
          <w:b w:val="false"/>
          <w:color w:val="000000"/>
          <w:sz w:val="20"/>
        </w:rPr>
        <w:t>Includes interest expense on Notes Payable, lines of credit and other financing arrangements, including interest expense related to deferred acquisition consideration, all of which total $8.8 million and $4.2 million for the three months ended March 31, 2026 and 2025, respectively.</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(2)Equity in Seneca Evercore is classified within Income (Loss) from Equity Method Investments.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(3)Non-Compensation expenses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d55c8df0a38248a4bad3569328277986_7">
        <w:r>
          <w:rPr>
            <w:rStyle w:val="InternetLink"/>
          </w:rPr>
          <w:t>T</w:t>
        </w:r>
      </w:hyperlink>
      <w:hyperlink w:anchor="id55c8df0a38248a4bad3569328277986_7">
        <w:r>
          <w:rPr>
            <w:rStyle w:val="InternetLink"/>
          </w:rPr>
          <w:t>a</w:t>
        </w:r>
      </w:hyperlink>
      <w:hyperlink w:anchor="id55c8df0a38248a4bad3569328277986_7">
        <w:r>
          <w:rPr>
            <w:rStyle w:val="InternetLink"/>
          </w:rPr>
          <w:t>b</w:t>
        </w:r>
      </w:hyperlink>
      <w:hyperlink w:anchor="id55c8df0a38248a4bad3569328277986_7">
        <w:r>
          <w:rPr>
            <w:rStyle w:val="InternetLink"/>
          </w:rPr>
          <w:t>l</w:t>
        </w:r>
      </w:hyperlink>
      <w:hyperlink w:anchor="id55c8df0a38248a4bad3569328277986_7">
        <w:r>
          <w:rPr>
            <w:rStyle w:val="InternetLink"/>
          </w:rPr>
          <w:t>e</w:t>
        </w:r>
      </w:hyperlink>
      <w:hyperlink w:anchor="id55c8df0a38248a4bad3569328277986_7">
        <w:r>
          <w:rPr>
            <w:rStyle w:val="InternetLink"/>
          </w:rPr>
          <w:t xml:space="preserve"> </w:t>
        </w:r>
      </w:hyperlink>
      <w:hyperlink w:anchor="id55c8df0a38248a4bad3569328277986_7">
        <w:r>
          <w:rPr>
            <w:rStyle w:val="InternetLink"/>
          </w:rPr>
          <w:t>o</w:t>
        </w:r>
      </w:hyperlink>
      <w:hyperlink w:anchor="id55c8df0a38248a4bad3569328277986_7">
        <w:r>
          <w:rPr>
            <w:rStyle w:val="InternetLink"/>
          </w:rPr>
          <w:t>f</w:t>
        </w:r>
      </w:hyperlink>
      <w:hyperlink w:anchor="id55c8df0a38248a4bad3569328277986_7">
        <w:r>
          <w:rPr>
            <w:rStyle w:val="InternetLink"/>
          </w:rPr>
          <w:t xml:space="preserve"> </w:t>
        </w:r>
      </w:hyperlink>
      <w:hyperlink w:anchor="id55c8df0a38248a4bad3569328277986_7">
        <w:r>
          <w:rPr>
            <w:rStyle w:val="InternetLink"/>
          </w:rPr>
          <w:t>C</w:t>
        </w:r>
      </w:hyperlink>
      <w:hyperlink w:anchor="id55c8df0a38248a4bad3569328277986_7">
        <w:r>
          <w:rPr>
            <w:rStyle w:val="InternetLink"/>
          </w:rPr>
          <w:t>o</w:t>
        </w:r>
      </w:hyperlink>
      <w:hyperlink w:anchor="id55c8df0a38248a4bad3569328277986_7">
        <w:r>
          <w:rPr>
            <w:rStyle w:val="InternetLink"/>
          </w:rPr>
          <w:t>n</w:t>
        </w:r>
      </w:hyperlink>
      <w:hyperlink w:anchor="id55c8df0a38248a4bad3569328277986_7">
        <w:r>
          <w:rPr>
            <w:rStyle w:val="InternetLink"/>
          </w:rPr>
          <w:t>t</w:t>
        </w:r>
      </w:hyperlink>
      <w:hyperlink w:anchor="id55c8df0a38248a4bad3569328277986_7">
        <w:r>
          <w:rPr>
            <w:rStyle w:val="InternetLink"/>
          </w:rPr>
          <w:t>e</w:t>
        </w:r>
      </w:hyperlink>
      <w:hyperlink w:anchor="id55c8df0a38248a4bad3569328277986_7">
        <w:r>
          <w:rPr>
            <w:rStyle w:val="InternetLink"/>
          </w:rPr>
          <w:t>n</w:t>
        </w:r>
      </w:hyperlink>
      <w:hyperlink w:anchor="id55c8df0a38248a4bad3569328277986_7">
        <w:r>
          <w:rPr>
            <w:rStyle w:val="InternetLink"/>
          </w:rPr>
          <w:t>t</w:t>
        </w:r>
      </w:hyperlink>
      <w:hyperlink w:anchor="id55c8df0a38248a4bad3569328277986_7">
        <w:r>
          <w:rPr>
            <w:rStyle w:val="InternetLink"/>
          </w:rPr>
          <w:t>s</w:t>
        </w:r>
      </w:hyperlink>
      <w:r>
        <w:rPr>
          <w:color w:val="000000"/>
        </w:rPr>
        <w:t>                                              </w:t>
      </w:r>
    </w:p>
    <w:tbl>
      <w:tblPr>
        <w:tblW w:w="8637" w:type="dxa"/>
        <w:jc w:val="left"/>
        <w:tblInd w:w="0" w:type="dxa"/>
        <w:tblLayout w:type="fixed"/>
        <w:tblCellMar>
          <w:top w:w="28" w:type="dxa"/>
          <w:left w:w="28" w:type="dxa"/>
          <w:bottom w:w="28" w:type="dxa"/>
          <w:right w:w="28" w:type="dxa"/>
        </w:tblCellMar>
      </w:tblPr>
      <w:tblGrid>
        <w:gridCol w:w="1218"/>
        <w:gridCol w:w="1069"/>
        <w:gridCol w:w="1072"/>
        <w:gridCol w:w="244"/>
        <w:gridCol w:w="955"/>
        <w:gridCol w:w="126"/>
        <w:gridCol w:w="126"/>
        <w:gridCol w:w="126"/>
        <w:gridCol w:w="126"/>
        <w:gridCol w:w="244"/>
        <w:gridCol w:w="955"/>
        <w:gridCol w:w="126"/>
        <w:gridCol w:w="109"/>
        <w:gridCol w:w="109"/>
        <w:gridCol w:w="109"/>
        <w:gridCol w:w="210"/>
        <w:gridCol w:w="211"/>
        <w:gridCol w:w="367"/>
        <w:gridCol w:w="109"/>
        <w:gridCol w:w="109"/>
        <w:gridCol w:w="109"/>
        <w:gridCol w:w="109"/>
        <w:gridCol w:w="109"/>
        <w:gridCol w:w="109"/>
        <w:gridCol w:w="109"/>
        <w:gridCol w:w="109"/>
        <w:gridCol w:w="109"/>
        <w:gridCol w:w="154"/>
      </w:tblGrid>
      <w:tr>
        <w:trPr/>
        <w:tc>
          <w:tcPr>
            <w:tcW w:w="121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 the 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1135" w:type="dxa"/>
            <w:gridSpan w:val="10"/>
            <w:tcBorders/>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Non-Compensation</w:t>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and Equipment Rental</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Professional Fees</w:t>
            </w:r>
            <w:r>
              <w:rPr>
                <w:rFonts w:ascii="Times New Roman;serif" w:hAnsi="Times New Roman;serif"/>
                <w:b w:val="false"/>
                <w:color w:val="000000"/>
                <w:sz w:val="13"/>
              </w:rPr>
              <w:t>(A)</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Travel and Related Expenses</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Technology and Information Services</w:t>
            </w:r>
            <w:r>
              <w:rPr>
                <w:rFonts w:ascii="Times New Roman;serif" w:hAnsi="Times New Roman;serif"/>
                <w:b w:val="false"/>
                <w:color w:val="000000"/>
                <w:sz w:val="13"/>
              </w:rPr>
              <w:t>(A)</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38,959 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32,252 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Execution, Clearing and Custody Fees</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Transition Costs</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Non-Compensation</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152,656 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119,774 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(A)Includes the reclassification of $10.0 million of technology and related expenses from "Professional Fees" to "Technology and Information Services" in the Investment Banking &amp; Equities segment for the three months ended March 31, 2025 to conform to the current presentation. See Notes 2 and 19 to our unaudited condensed consolidated financial statements for further information.</w:t>
      </w:r>
    </w:p>
    <w:p>
      <w:pPr>
        <w:pStyle w:val="TextBody"/>
        <w:bidi w:val="0"/>
        <w:spacing w:lineRule="auto" w:line="288" w:before="180" w:after="283"/>
        <w:ind w:left="0" w:right="0" w:firstLine="450"/>
        <w:jc w:val="left"/>
        <w:rPr/>
      </w:pPr>
      <w:r>
        <w:rPr>
          <w:rFonts w:ascii="Times New Roman;serif" w:hAnsi="Times New Roman;serif"/>
          <w:b w:val="false"/>
          <w:color w:val="000000"/>
          <w:sz w:val="20"/>
        </w:rPr>
        <w:t>The following table summarizes</w:t>
      </w:r>
      <w:r>
        <w:rPr>
          <w:color w:val="000000"/>
        </w:rPr>
        <w:t xml:space="preserve"> </w:t>
      </w:r>
      <w:r>
        <w:rPr>
          <w:rFonts w:ascii="Times New Roman;serif" w:hAnsi="Times New Roman;serif"/>
          <w:b w:val="false"/>
          <w:color w:val="000000"/>
          <w:sz w:val="20"/>
        </w:rPr>
        <w:t>Evercore statistics for the three months ended March 31, 2026 and 2025.</w:t>
      </w:r>
    </w:p>
    <w:tbl>
      <w:tblPr>
        <w:tblW w:w="10205" w:type="dxa"/>
        <w:jc w:val="left"/>
        <w:tblInd w:w="0" w:type="dxa"/>
        <w:tblLayout w:type="fixed"/>
        <w:tblCellMar>
          <w:top w:w="28" w:type="dxa"/>
          <w:left w:w="28" w:type="dxa"/>
          <w:bottom w:w="28" w:type="dxa"/>
          <w:right w:w="28" w:type="dxa"/>
        </w:tblCellMar>
      </w:tblPr>
      <w:tblGrid>
        <w:gridCol w:w="2035"/>
        <w:gridCol w:w="1685"/>
        <w:gridCol w:w="1697"/>
        <w:gridCol w:w="336"/>
        <w:gridCol w:w="256"/>
        <w:gridCol w:w="248"/>
        <w:gridCol w:w="248"/>
        <w:gridCol w:w="248"/>
        <w:gridCol w:w="248"/>
        <w:gridCol w:w="336"/>
        <w:gridCol w:w="256"/>
        <w:gridCol w:w="248"/>
        <w:gridCol w:w="109"/>
        <w:gridCol w:w="109"/>
        <w:gridCol w:w="109"/>
        <w:gridCol w:w="158"/>
        <w:gridCol w:w="158"/>
        <w:gridCol w:w="367"/>
        <w:gridCol w:w="109"/>
        <w:gridCol w:w="109"/>
        <w:gridCol w:w="109"/>
        <w:gridCol w:w="109"/>
        <w:gridCol w:w="109"/>
        <w:gridCol w:w="109"/>
        <w:gridCol w:w="109"/>
        <w:gridCol w:w="109"/>
        <w:gridCol w:w="109"/>
        <w:gridCol w:w="109"/>
        <w:gridCol w:w="109"/>
        <w:gridCol w:w="155"/>
      </w:tblGrid>
      <w:tr>
        <w:trPr/>
        <w:tc>
          <w:tcPr>
            <w:tcW w:w="2035"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 the 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0" w:type="dxa"/>
            <w:gridSpan w:val="6"/>
            <w:tcBorders/>
          </w:tcPr>
          <w:p>
            <w:pPr>
              <w:pStyle w:val="TableContents"/>
              <w:bidi w:val="0"/>
              <w:spacing w:before="0" w:after="283"/>
              <w:jc w:val="left"/>
              <w:rPr>
                <w:sz w:val="4"/>
                <w:szCs w:val="4"/>
              </w:rPr>
            </w:pPr>
            <w:r>
              <w:rPr>
                <w:sz w:val="4"/>
                <w:szCs w:val="4"/>
              </w:rPr>
            </w:r>
          </w:p>
        </w:tc>
      </w:tr>
      <w:tr>
        <w:trPr/>
        <w:tc>
          <w:tcPr>
            <w:tcW w:w="54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Evercore Statistics </w:t>
            </w:r>
          </w:p>
        </w:tc>
        <w:tc>
          <w:tcPr>
            <w:tcW w:w="8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Number of Fees From Advisory and Underwriting Client Transactions</w:t>
            </w:r>
            <w:r>
              <w:rPr>
                <w:rFonts w:ascii="Times New Roman;serif" w:hAnsi="Times New Roman;serif"/>
                <w:b w:val="false"/>
                <w:color w:val="000000"/>
                <w:sz w:val="11"/>
              </w:rPr>
              <w:t>(1)</w:t>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Number of Fees of at Least $1 million from Advisory and Underwriting Client Transactions</w:t>
            </w:r>
            <w:r>
              <w:rPr>
                <w:rFonts w:ascii="Times New Roman;serif" w:hAnsi="Times New Roman;serif"/>
                <w:b w:val="false"/>
                <w:color w:val="000000"/>
                <w:sz w:val="11"/>
              </w:rPr>
              <w:t>(1)</w:t>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Number of Underwriting Transactions</w:t>
            </w:r>
            <w:r>
              <w:rPr>
                <w:rFonts w:ascii="Times New Roman;serif" w:hAnsi="Times New Roman;serif"/>
                <w:b w:val="false"/>
                <w:color w:val="000000"/>
                <w:sz w:val="11"/>
              </w:rPr>
              <w:t>(1)</w:t>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Number of Underwriting Transactions as a Bookrunner</w:t>
            </w:r>
            <w:r>
              <w:rPr>
                <w:rFonts w:ascii="Times New Roman;serif" w:hAnsi="Times New Roman;serif"/>
                <w:b w:val="false"/>
                <w:color w:val="000000"/>
                <w:sz w:val="11"/>
              </w:rPr>
              <w:t>(1)</w:t>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(1) Includes Equity and Debt Underwriting Transactions. Our Advisory statistics include M&amp;A activity as well as other advisory assignments undertaken by the firm.</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Investment Banking &amp; Equities Results of Operations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Three Months Ended March 31, 2026 versus March 31, 2025</w:t>
      </w:r>
    </w:p>
    <w:p>
      <w:pPr>
        <w:pStyle w:val="TextBody"/>
        <w:bidi w:val="0"/>
        <w:spacing w:lineRule="auto" w:line="288" w:before="180" w:after="283"/>
        <w:ind w:left="0" w:right="0" w:firstLine="450"/>
        <w:jc w:val="both"/>
        <w:rPr/>
      </w:pPr>
      <w:r>
        <w:rPr>
          <w:rFonts w:ascii="Times New Roman;serif" w:hAnsi="Times New Roman;serif"/>
          <w:b w:val="false"/>
          <w:color w:val="000000"/>
          <w:sz w:val="20"/>
          <w:shd w:fill="FFFFFF" w:val="clear"/>
        </w:rPr>
        <w:t xml:space="preserve">Net Revenues were $1.37 billion </w:t>
      </w:r>
      <w:r>
        <w:rPr>
          <w:rFonts w:ascii="Times New Roman;serif" w:hAnsi="Times New Roman;serif"/>
          <w:b w:val="false"/>
          <w:color w:val="000000"/>
          <w:sz w:val="20"/>
        </w:rPr>
        <w:t xml:space="preserve">for the three months ended March 31, 2026, an increase of $694.2 million, or </w:t>
      </w:r>
      <w:r>
        <w:rPr>
          <w:rFonts w:ascii="Times New Roman;serif" w:hAnsi="Times New Roman;serif"/>
          <w:b w:val="false"/>
          <w:color w:val="000000"/>
          <w:sz w:val="20"/>
          <w:shd w:fill="FFFFFF" w:val="clear"/>
        </w:rPr>
        <w:t>103%, versus</w:t>
      </w:r>
      <w:r>
        <w:rPr>
          <w:color w:val="000000"/>
        </w:rPr>
        <w:t xml:space="preserve"> </w:t>
      </w:r>
      <w:r>
        <w:rPr>
          <w:rFonts w:ascii="Times New Roman;serif" w:hAnsi="Times New Roman;serif"/>
          <w:b w:val="false"/>
          <w:color w:val="000000"/>
          <w:sz w:val="20"/>
          <w:shd w:fill="FFFFFF" w:val="clear"/>
        </w:rPr>
        <w:t xml:space="preserve">$674.5 million </w:t>
      </w:r>
      <w:r>
        <w:rPr>
          <w:rFonts w:ascii="Times New Roman;serif" w:hAnsi="Times New Roman;serif"/>
          <w:b w:val="false"/>
          <w:color w:val="000000"/>
          <w:sz w:val="20"/>
        </w:rPr>
        <w:t>for the three months ended March 31, 2025</w:t>
      </w:r>
      <w:r>
        <w:rPr>
          <w:rFonts w:ascii="Times New Roman;serif" w:hAnsi="Times New Roman;serif"/>
          <w:b w:val="false"/>
          <w:color w:val="000000"/>
          <w:sz w:val="20"/>
          <w:shd w:fill="FFFFFF" w:val="clear"/>
        </w:rPr>
        <w:t xml:space="preserve">. The </w:t>
      </w:r>
      <w:r>
        <w:rPr>
          <w:rFonts w:ascii="Times New Roman;serif" w:hAnsi="Times New Roman;serif"/>
          <w:b w:val="false"/>
          <w:color w:val="000000"/>
          <w:sz w:val="20"/>
        </w:rPr>
        <w:t xml:space="preserve">increase in revenues for the three months ended March 31, 2026 was primarily driven by an increase of </w:t>
      </w:r>
      <w:r>
        <w:rPr>
          <w:rFonts w:ascii="Times New Roman;serif" w:hAnsi="Times New Roman;serif"/>
          <w:b w:val="false"/>
          <w:color w:val="000000"/>
          <w:sz w:val="20"/>
          <w:shd w:fill="FFFFFF" w:val="clear"/>
        </w:rPr>
        <w:t>$687.4 million, or 123%, in Advisory Fees, reflecting an increase in revenue across both M&amp;A and non-M&amp;A assignments, an increase in revenue earned from large transactions and an increase in the number of advisory fees earned during the first quarter of 2026.</w:t>
      </w:r>
      <w:r>
        <w:rPr>
          <w:color w:val="000000"/>
        </w:rPr>
        <w:t xml:space="preserve"> </w:t>
      </w:r>
      <w:r>
        <w:rPr>
          <w:rFonts w:ascii="Times New Roman;serif" w:hAnsi="Times New Roman;serif"/>
          <w:b w:val="false"/>
          <w:color w:val="000000"/>
          <w:sz w:val="20"/>
        </w:rPr>
        <w:t xml:space="preserve">Commissions and Related Revenue increased </w:t>
      </w:r>
      <w:r>
        <w:rPr>
          <w:rFonts w:ascii="Times New Roman;serif" w:hAnsi="Times New Roman;serif"/>
          <w:b w:val="false"/>
          <w:color w:val="000000"/>
          <w:sz w:val="20"/>
          <w:shd w:fill="FFFFFF" w:val="clear"/>
        </w:rPr>
        <w:t xml:space="preserve">$7.5 million, or 14%, compared to the </w:t>
      </w:r>
      <w:r>
        <w:rPr>
          <w:rFonts w:ascii="Times New Roman;serif" w:hAnsi="Times New Roman;serif"/>
          <w:b w:val="false"/>
          <w:color w:val="000000"/>
          <w:sz w:val="20"/>
        </w:rPr>
        <w:t xml:space="preserve">three months ended March 31, 2025, primarily reflecting higher trading commissions driven by increased trading volume during the first quarter of 2026. </w:t>
      </w:r>
      <w:r>
        <w:rPr>
          <w:rFonts w:ascii="Times New Roman;serif" w:hAnsi="Times New Roman;serif"/>
          <w:b w:val="false"/>
          <w:color w:val="000000"/>
          <w:sz w:val="20"/>
          <w:shd w:fill="FFFFFF" w:val="clear"/>
        </w:rPr>
        <w:t xml:space="preserve">Underwriting Fees </w:t>
      </w:r>
      <w:r>
        <w:rPr>
          <w:rFonts w:ascii="Times New Roman;serif" w:hAnsi="Times New Roman;serif"/>
          <w:b w:val="false"/>
          <w:color w:val="000000"/>
          <w:sz w:val="20"/>
        </w:rPr>
        <w:t xml:space="preserve">increased </w:t>
      </w:r>
      <w:r>
        <w:rPr>
          <w:rFonts w:ascii="Times New Roman;serif" w:hAnsi="Times New Roman;serif"/>
          <w:b w:val="false"/>
          <w:color w:val="000000"/>
          <w:sz w:val="20"/>
          <w:shd w:fill="FFFFFF" w:val="clear"/>
        </w:rPr>
        <w:t>$0.8 million, or 1%</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compared to the </w:t>
      </w:r>
      <w:r>
        <w:rPr>
          <w:rFonts w:ascii="Times New Roman;serif" w:hAnsi="Times New Roman;serif"/>
          <w:b w:val="false"/>
          <w:color w:val="000000"/>
          <w:sz w:val="20"/>
        </w:rPr>
        <w:t xml:space="preserve">three months ended March 31, 2025, reflecting an increase in the number of transactions we participated in during the first quarter of 2026. Other Revenue, net, decreased </w:t>
      </w:r>
      <w:r>
        <w:rPr>
          <w:rFonts w:ascii="Times New Roman;serif" w:hAnsi="Times New Roman;serif"/>
          <w:b w:val="false"/>
          <w:color w:val="000000"/>
          <w:sz w:val="20"/>
          <w:shd w:fill="FFFFFF" w:val="clear"/>
        </w:rPr>
        <w:t xml:space="preserve">$1.5 million, or 20%, compared to the </w:t>
      </w:r>
      <w:r>
        <w:rPr>
          <w:rFonts w:ascii="Times New Roman;serif" w:hAnsi="Times New Roman;serif"/>
          <w:b w:val="false"/>
          <w:color w:val="000000"/>
          <w:sz w:val="20"/>
        </w:rPr>
        <w:t xml:space="preserve">three months ended March 31, 2025, </w:t>
      </w:r>
      <w:r>
        <w:rPr>
          <w:rFonts w:ascii="Times New Roman;serif" w:hAnsi="Times New Roman;serif"/>
          <w:b w:val="false"/>
          <w:color w:val="000000"/>
          <w:sz w:val="20"/>
          <w:shd w:fill="FFFFFF" w:val="clear"/>
        </w:rPr>
        <w:t xml:space="preserve">primarily reflecting an increase in interest expense related to the issuance of new senior notes in July 2025, partially offset by </w:t>
      </w:r>
      <w:r>
        <w:rPr>
          <w:rFonts w:ascii="Times New Roman;serif" w:hAnsi="Times New Roman;serif"/>
          <w:b w:val="false"/>
          <w:color w:val="000000"/>
          <w:sz w:val="20"/>
        </w:rPr>
        <w:t>higher interest income resulting from higher average balances in interest-bearing assets.</w:t>
      </w:r>
    </w:p>
    <w:p>
      <w:pPr>
        <w:pStyle w:val="TextBody"/>
        <w:bidi w:val="0"/>
        <w:spacing w:lineRule="auto" w:line="288" w:before="180" w:after="283"/>
        <w:ind w:left="0" w:right="0" w:firstLine="450"/>
        <w:jc w:val="both"/>
        <w:rPr/>
      </w:pPr>
      <w:r>
        <w:rPr>
          <w:rFonts w:ascii="Times New Roman;serif" w:hAnsi="Times New Roman;serif"/>
          <w:b w:val="false"/>
          <w:color w:val="000000"/>
          <w:sz w:val="20"/>
          <w:shd w:fill="FFFFFF" w:val="clear"/>
        </w:rPr>
        <w:t>Employee Compensation and Benefits Expense was $889.2 million</w:t>
      </w:r>
      <w:r>
        <w:rPr>
          <w:color w:val="000000"/>
        </w:rPr>
        <w:t xml:space="preserve"> </w:t>
      </w:r>
      <w:r>
        <w:rPr>
          <w:rFonts w:ascii="Times New Roman;serif" w:hAnsi="Times New Roman;serif"/>
          <w:b w:val="false"/>
          <w:color w:val="000000"/>
          <w:sz w:val="20"/>
        </w:rPr>
        <w:t xml:space="preserve">for the three months ended March 31, 2026, an increase of $441.1 million, or </w:t>
      </w:r>
      <w:r>
        <w:rPr>
          <w:rFonts w:ascii="Times New Roman;serif" w:hAnsi="Times New Roman;serif"/>
          <w:b w:val="false"/>
          <w:color w:val="000000"/>
          <w:sz w:val="20"/>
          <w:shd w:fill="FFFFFF" w:val="clear"/>
        </w:rPr>
        <w:t>98%, versus $448.0 million</w:t>
      </w:r>
      <w:r>
        <w:rPr>
          <w:color w:val="000000"/>
        </w:rPr>
        <w:t xml:space="preserve"> </w:t>
      </w:r>
      <w:r>
        <w:rPr>
          <w:rFonts w:ascii="Times New Roman;serif" w:hAnsi="Times New Roman;serif"/>
          <w:b w:val="false"/>
          <w:color w:val="000000"/>
          <w:sz w:val="20"/>
        </w:rPr>
        <w:t xml:space="preserve">for the three months ended March 31, 2025. The increase in the amount of compensation recognized for the three months ended March 31, 2026 principally reflects a higher accrual for incentive compensation, higher base salaries and higher amortization of prior period deferred compensation awards. Employee Compensation and Benefits Expense for the three months ended March 31, 2026 also includes $7.1 million of costs related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d55c8df0a38248a4bad3569328277986_7">
        <w:r>
          <w:rPr>
            <w:rStyle w:val="InternetLink"/>
          </w:rPr>
          <w:t>T</w:t>
        </w:r>
      </w:hyperlink>
      <w:hyperlink w:anchor="id55c8df0a38248a4bad3569328277986_7">
        <w:r>
          <w:rPr>
            <w:rStyle w:val="InternetLink"/>
          </w:rPr>
          <w:t>a</w:t>
        </w:r>
      </w:hyperlink>
      <w:hyperlink w:anchor="id55c8df0a38248a4bad3569328277986_7">
        <w:r>
          <w:rPr>
            <w:rStyle w:val="InternetLink"/>
          </w:rPr>
          <w:t>b</w:t>
        </w:r>
      </w:hyperlink>
      <w:hyperlink w:anchor="id55c8df0a38248a4bad3569328277986_7">
        <w:r>
          <w:rPr>
            <w:rStyle w:val="InternetLink"/>
          </w:rPr>
          <w:t>l</w:t>
        </w:r>
      </w:hyperlink>
      <w:hyperlink w:anchor="id55c8df0a38248a4bad3569328277986_7">
        <w:r>
          <w:rPr>
            <w:rStyle w:val="InternetLink"/>
          </w:rPr>
          <w:t>e</w:t>
        </w:r>
      </w:hyperlink>
      <w:hyperlink w:anchor="id55c8df0a38248a4bad3569328277986_7">
        <w:r>
          <w:rPr>
            <w:rStyle w:val="InternetLink"/>
          </w:rPr>
          <w:t xml:space="preserve"> </w:t>
        </w:r>
      </w:hyperlink>
      <w:hyperlink w:anchor="id55c8df0a38248a4bad3569328277986_7">
        <w:r>
          <w:rPr>
            <w:rStyle w:val="InternetLink"/>
          </w:rPr>
          <w:t>o</w:t>
        </w:r>
      </w:hyperlink>
      <w:hyperlink w:anchor="id55c8df0a38248a4bad3569328277986_7">
        <w:r>
          <w:rPr>
            <w:rStyle w:val="InternetLink"/>
          </w:rPr>
          <w:t>f</w:t>
        </w:r>
      </w:hyperlink>
      <w:hyperlink w:anchor="id55c8df0a38248a4bad3569328277986_7">
        <w:r>
          <w:rPr>
            <w:rStyle w:val="InternetLink"/>
          </w:rPr>
          <w:t xml:space="preserve"> </w:t>
        </w:r>
      </w:hyperlink>
      <w:hyperlink w:anchor="id55c8df0a38248a4bad3569328277986_7">
        <w:r>
          <w:rPr>
            <w:rStyle w:val="InternetLink"/>
          </w:rPr>
          <w:t>C</w:t>
        </w:r>
      </w:hyperlink>
      <w:hyperlink w:anchor="id55c8df0a38248a4bad3569328277986_7">
        <w:r>
          <w:rPr>
            <w:rStyle w:val="InternetLink"/>
          </w:rPr>
          <w:t>o</w:t>
        </w:r>
      </w:hyperlink>
      <w:hyperlink w:anchor="id55c8df0a38248a4bad3569328277986_7">
        <w:r>
          <w:rPr>
            <w:rStyle w:val="InternetLink"/>
          </w:rPr>
          <w:t>n</w:t>
        </w:r>
      </w:hyperlink>
      <w:hyperlink w:anchor="id55c8df0a38248a4bad3569328277986_7">
        <w:r>
          <w:rPr>
            <w:rStyle w:val="InternetLink"/>
          </w:rPr>
          <w:t>t</w:t>
        </w:r>
      </w:hyperlink>
      <w:hyperlink w:anchor="id55c8df0a38248a4bad3569328277986_7">
        <w:r>
          <w:rPr>
            <w:rStyle w:val="InternetLink"/>
          </w:rPr>
          <w:t>e</w:t>
        </w:r>
      </w:hyperlink>
      <w:hyperlink w:anchor="id55c8df0a38248a4bad3569328277986_7">
        <w:r>
          <w:rPr>
            <w:rStyle w:val="InternetLink"/>
          </w:rPr>
          <w:t>n</w:t>
        </w:r>
      </w:hyperlink>
      <w:hyperlink w:anchor="id55c8df0a38248a4bad3569328277986_7">
        <w:r>
          <w:rPr>
            <w:rStyle w:val="InternetLink"/>
          </w:rPr>
          <w:t>t</w:t>
        </w:r>
      </w:hyperlink>
      <w:hyperlink w:anchor="id55c8df0a38248a4bad3569328277986_7">
        <w:r>
          <w:rPr>
            <w:rStyle w:val="InternetLink"/>
          </w:rPr>
          <w:t>s</w:t>
        </w:r>
      </w:hyperlink>
      <w:r>
        <w:rPr>
          <w:color w:val="000000"/>
        </w:rPr>
        <w: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awards granted in conjunction with the acquisition of Robey Warshaw. See Notes 5 and 15 to our unaudited condensed consolidated financial statements for further information.</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Non-compensation expenses were </w:t>
      </w:r>
      <w:r>
        <w:rPr>
          <w:rFonts w:ascii="Times New Roman;serif" w:hAnsi="Times New Roman;serif"/>
          <w:b w:val="false"/>
          <w:color w:val="000000"/>
          <w:sz w:val="20"/>
          <w:shd w:fill="FFFFFF" w:val="clear"/>
        </w:rPr>
        <w:t>$152.7 million</w:t>
      </w:r>
      <w:r>
        <w:rPr>
          <w:color w:val="000000"/>
        </w:rPr>
        <w:t xml:space="preserve"> </w:t>
      </w:r>
      <w:r>
        <w:rPr>
          <w:rFonts w:ascii="Times New Roman;serif" w:hAnsi="Times New Roman;serif"/>
          <w:b w:val="false"/>
          <w:color w:val="000000"/>
          <w:sz w:val="20"/>
        </w:rPr>
        <w:t xml:space="preserve">for the three months ended March 31, 2026, an increase of $32.9 million, or </w:t>
      </w:r>
      <w:r>
        <w:rPr>
          <w:rFonts w:ascii="Times New Roman;serif" w:hAnsi="Times New Roman;serif"/>
          <w:b w:val="false"/>
          <w:color w:val="000000"/>
          <w:sz w:val="20"/>
          <w:shd w:fill="FFFFFF" w:val="clear"/>
        </w:rPr>
        <w:t>27%, versus</w:t>
      </w:r>
      <w:r>
        <w:rPr>
          <w:color w:val="000000"/>
        </w:rPr>
        <w:t xml:space="preserve"> </w:t>
      </w:r>
      <w:r>
        <w:rPr>
          <w:rFonts w:ascii="Times New Roman;serif" w:hAnsi="Times New Roman;serif"/>
          <w:b w:val="false"/>
          <w:color w:val="000000"/>
          <w:sz w:val="20"/>
          <w:shd w:fill="FFFFFF" w:val="clear"/>
        </w:rPr>
        <w:t>$119.8 million</w:t>
      </w:r>
      <w:r>
        <w:rPr>
          <w:color w:val="000000"/>
        </w:rPr>
        <w:t xml:space="preserve"> </w:t>
      </w:r>
      <w:r>
        <w:rPr>
          <w:rFonts w:ascii="Times New Roman;serif" w:hAnsi="Times New Roman;serif"/>
          <w:b w:val="false"/>
          <w:color w:val="000000"/>
          <w:sz w:val="20"/>
        </w:rPr>
        <w:t>for the three months ended March 31,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Non-compensation expenses increased from the prior year period, primarily driven by an increase in technology and information services, principally reflecting higher expenses associated with license fees and research services in the first quarter of 2026, an increase in depreciation and amortization, principally reflecting the addition of leasehold improvements for new office space and the amortization of intangible assets from the acquisition of Robey Warshaw, an increase in professional fees and an increase in travel and related expenses, largely due to higher levels of business activity and increased headcount. Non-compensation expenses for the first quarter of 2026 were also impacted by Acquisition and Transition Costs resulting from the impairment of a lease related to the acquisition of Robey Warshaw. See Note 5 to our unaudited condensed consolidated financial statements for further information.</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Income (Loss) from Equity Method Investments was </w:t>
      </w:r>
      <w:r>
        <w:rPr>
          <w:rFonts w:ascii="Times New Roman;serif" w:hAnsi="Times New Roman;serif"/>
          <w:b w:val="false"/>
          <w:color w:val="000000"/>
          <w:sz w:val="20"/>
          <w:shd w:fill="FFFFFF" w:val="clear"/>
        </w:rPr>
        <w:t xml:space="preserve">$0.01 million </w:t>
      </w:r>
      <w:r>
        <w:rPr>
          <w:rFonts w:ascii="Times New Roman;serif" w:hAnsi="Times New Roman;serif"/>
          <w:b w:val="false"/>
          <w:color w:val="000000"/>
          <w:sz w:val="20"/>
        </w:rPr>
        <w:t xml:space="preserve">for the three months ended March 31, 2026, an increase of </w:t>
      </w:r>
      <w:r>
        <w:rPr>
          <w:rFonts w:ascii="Times New Roman;serif" w:hAnsi="Times New Roman;serif"/>
          <w:b w:val="false"/>
          <w:color w:val="000000"/>
          <w:sz w:val="20"/>
          <w:shd w:fill="FFFFFF" w:val="clear"/>
        </w:rPr>
        <w:t xml:space="preserve">$0.05 million versus ($0.04) million </w:t>
      </w:r>
      <w:r>
        <w:rPr>
          <w:rFonts w:ascii="Times New Roman;serif" w:hAnsi="Times New Roman;serif"/>
          <w:b w:val="false"/>
          <w:color w:val="000000"/>
          <w:sz w:val="20"/>
        </w:rPr>
        <w:t>for the three months ended March 31, 2025, reflecting higher earnings from Seneca Evercore during the three months ended March 31, 2026. See Note 8 to our unaudited condensed consolidated financial statements for further information.</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Investment Management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operating results of the Investment Management segment.</w:t>
      </w:r>
    </w:p>
    <w:tbl>
      <w:tblPr>
        <w:tblW w:w="9202" w:type="dxa"/>
        <w:jc w:val="left"/>
        <w:tblInd w:w="0" w:type="dxa"/>
        <w:tblLayout w:type="fixed"/>
        <w:tblCellMar>
          <w:top w:w="28" w:type="dxa"/>
          <w:left w:w="28" w:type="dxa"/>
          <w:bottom w:w="28" w:type="dxa"/>
          <w:right w:w="28" w:type="dxa"/>
        </w:tblCellMar>
      </w:tblPr>
      <w:tblGrid>
        <w:gridCol w:w="1357"/>
        <w:gridCol w:w="1191"/>
        <w:gridCol w:w="1202"/>
        <w:gridCol w:w="265"/>
        <w:gridCol w:w="907"/>
        <w:gridCol w:w="137"/>
        <w:gridCol w:w="137"/>
        <w:gridCol w:w="137"/>
        <w:gridCol w:w="137"/>
        <w:gridCol w:w="265"/>
        <w:gridCol w:w="907"/>
        <w:gridCol w:w="137"/>
        <w:gridCol w:w="109"/>
        <w:gridCol w:w="109"/>
        <w:gridCol w:w="109"/>
        <w:gridCol w:w="188"/>
        <w:gridCol w:w="188"/>
        <w:gridCol w:w="367"/>
        <w:gridCol w:w="109"/>
        <w:gridCol w:w="109"/>
        <w:gridCol w:w="109"/>
        <w:gridCol w:w="109"/>
        <w:gridCol w:w="109"/>
        <w:gridCol w:w="109"/>
        <w:gridCol w:w="109"/>
        <w:gridCol w:w="109"/>
        <w:gridCol w:w="109"/>
        <w:gridCol w:w="109"/>
        <w:gridCol w:w="109"/>
        <w:gridCol w:w="154"/>
      </w:tblGrid>
      <w:tr>
        <w:trPr/>
        <w:tc>
          <w:tcPr>
            <w:tcW w:w="1357"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 the 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8"/>
            <w:tcBorders/>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 and Administration Fees:</w:t>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Wealth Management</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Revenue, net</w:t>
            </w:r>
            <w:r>
              <w:rPr>
                <w:rFonts w:ascii="Times New Roman;serif" w:hAnsi="Times New Roman;serif"/>
                <w:b w:val="false"/>
                <w:color w:val="000000"/>
                <w:sz w:val="13"/>
              </w:rPr>
              <w:t>(1)</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3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Non-Compensation</w:t>
            </w:r>
            <w:r>
              <w:rPr>
                <w:rFonts w:ascii="Times New Roman;serif" w:hAnsi="Times New Roman;serif"/>
                <w:b w:val="false"/>
                <w:color w:val="000000"/>
                <w:sz w:val="13"/>
              </w:rPr>
              <w:t>(3)</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4,455 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from Equity Method Investments</w:t>
            </w:r>
            <w:r>
              <w:rPr>
                <w:rFonts w:ascii="Times New Roman;serif" w:hAnsi="Times New Roman;serif"/>
                <w:b w:val="false"/>
                <w:color w:val="000000"/>
                <w:sz w:val="13"/>
              </w:rPr>
              <w:t>(2)</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Pre-Tax Income</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4,829 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5,372 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interest expense on mandatorily redeemable interests of $0.1 million for the three months ended March 31, 2026.</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(2)Equity in Atalanta Sosnoff is classified as Income from Equity Method Investments.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(3)Non-Compensation expenses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d55c8df0a38248a4bad3569328277986_7">
        <w:r>
          <w:rPr>
            <w:rStyle w:val="InternetLink"/>
          </w:rPr>
          <w:t>T</w:t>
        </w:r>
      </w:hyperlink>
      <w:hyperlink w:anchor="id55c8df0a38248a4bad3569328277986_7">
        <w:r>
          <w:rPr>
            <w:rStyle w:val="InternetLink"/>
          </w:rPr>
          <w:t>a</w:t>
        </w:r>
      </w:hyperlink>
      <w:hyperlink w:anchor="id55c8df0a38248a4bad3569328277986_7">
        <w:r>
          <w:rPr>
            <w:rStyle w:val="InternetLink"/>
          </w:rPr>
          <w:t>b</w:t>
        </w:r>
      </w:hyperlink>
      <w:hyperlink w:anchor="id55c8df0a38248a4bad3569328277986_7">
        <w:r>
          <w:rPr>
            <w:rStyle w:val="InternetLink"/>
          </w:rPr>
          <w:t>l</w:t>
        </w:r>
      </w:hyperlink>
      <w:hyperlink w:anchor="id55c8df0a38248a4bad3569328277986_7">
        <w:r>
          <w:rPr>
            <w:rStyle w:val="InternetLink"/>
          </w:rPr>
          <w:t>e</w:t>
        </w:r>
      </w:hyperlink>
      <w:hyperlink w:anchor="id55c8df0a38248a4bad3569328277986_7">
        <w:r>
          <w:rPr>
            <w:rStyle w:val="InternetLink"/>
          </w:rPr>
          <w:t xml:space="preserve"> </w:t>
        </w:r>
      </w:hyperlink>
      <w:hyperlink w:anchor="id55c8df0a38248a4bad3569328277986_7">
        <w:r>
          <w:rPr>
            <w:rStyle w:val="InternetLink"/>
          </w:rPr>
          <w:t>o</w:t>
        </w:r>
      </w:hyperlink>
      <w:hyperlink w:anchor="id55c8df0a38248a4bad3569328277986_7">
        <w:r>
          <w:rPr>
            <w:rStyle w:val="InternetLink"/>
          </w:rPr>
          <w:t>f</w:t>
        </w:r>
      </w:hyperlink>
      <w:hyperlink w:anchor="id55c8df0a38248a4bad3569328277986_7">
        <w:r>
          <w:rPr>
            <w:rStyle w:val="InternetLink"/>
          </w:rPr>
          <w:t xml:space="preserve"> </w:t>
        </w:r>
      </w:hyperlink>
      <w:hyperlink w:anchor="id55c8df0a38248a4bad3569328277986_7">
        <w:r>
          <w:rPr>
            <w:rStyle w:val="InternetLink"/>
          </w:rPr>
          <w:t>C</w:t>
        </w:r>
      </w:hyperlink>
      <w:hyperlink w:anchor="id55c8df0a38248a4bad3569328277986_7">
        <w:r>
          <w:rPr>
            <w:rStyle w:val="InternetLink"/>
          </w:rPr>
          <w:t>o</w:t>
        </w:r>
      </w:hyperlink>
      <w:hyperlink w:anchor="id55c8df0a38248a4bad3569328277986_7">
        <w:r>
          <w:rPr>
            <w:rStyle w:val="InternetLink"/>
          </w:rPr>
          <w:t>n</w:t>
        </w:r>
      </w:hyperlink>
      <w:hyperlink w:anchor="id55c8df0a38248a4bad3569328277986_7">
        <w:r>
          <w:rPr>
            <w:rStyle w:val="InternetLink"/>
          </w:rPr>
          <w:t>t</w:t>
        </w:r>
      </w:hyperlink>
      <w:hyperlink w:anchor="id55c8df0a38248a4bad3569328277986_7">
        <w:r>
          <w:rPr>
            <w:rStyle w:val="InternetLink"/>
          </w:rPr>
          <w:t>e</w:t>
        </w:r>
      </w:hyperlink>
      <w:hyperlink w:anchor="id55c8df0a38248a4bad3569328277986_7">
        <w:r>
          <w:rPr>
            <w:rStyle w:val="InternetLink"/>
          </w:rPr>
          <w:t>n</w:t>
        </w:r>
      </w:hyperlink>
      <w:hyperlink w:anchor="id55c8df0a38248a4bad3569328277986_7">
        <w:r>
          <w:rPr>
            <w:rStyle w:val="InternetLink"/>
          </w:rPr>
          <w:t>t</w:t>
        </w:r>
      </w:hyperlink>
      <w:hyperlink w:anchor="id55c8df0a38248a4bad3569328277986_7">
        <w:r>
          <w:rPr>
            <w:rStyle w:val="InternetLink"/>
          </w:rPr>
          <w:t>s</w:t>
        </w:r>
      </w:hyperlink>
      <w:r>
        <w:rPr>
          <w:color w:val="000000"/>
        </w:rPr>
        <w:t>                                              </w:t>
      </w:r>
    </w:p>
    <w:tbl>
      <w:tblPr>
        <w:tblW w:w="8592" w:type="dxa"/>
        <w:jc w:val="left"/>
        <w:tblInd w:w="0" w:type="dxa"/>
        <w:tblLayout w:type="fixed"/>
        <w:tblCellMar>
          <w:top w:w="28" w:type="dxa"/>
          <w:left w:w="28" w:type="dxa"/>
          <w:bottom w:w="28" w:type="dxa"/>
          <w:right w:w="28" w:type="dxa"/>
        </w:tblCellMar>
      </w:tblPr>
      <w:tblGrid>
        <w:gridCol w:w="1218"/>
        <w:gridCol w:w="1069"/>
        <w:gridCol w:w="1072"/>
        <w:gridCol w:w="290"/>
        <w:gridCol w:w="849"/>
        <w:gridCol w:w="150"/>
        <w:gridCol w:w="150"/>
        <w:gridCol w:w="150"/>
        <w:gridCol w:w="150"/>
        <w:gridCol w:w="290"/>
        <w:gridCol w:w="849"/>
        <w:gridCol w:w="150"/>
        <w:gridCol w:w="109"/>
        <w:gridCol w:w="109"/>
        <w:gridCol w:w="109"/>
        <w:gridCol w:w="188"/>
        <w:gridCol w:w="188"/>
        <w:gridCol w:w="367"/>
        <w:gridCol w:w="109"/>
        <w:gridCol w:w="109"/>
        <w:gridCol w:w="109"/>
        <w:gridCol w:w="109"/>
        <w:gridCol w:w="109"/>
        <w:gridCol w:w="109"/>
        <w:gridCol w:w="109"/>
        <w:gridCol w:w="109"/>
        <w:gridCol w:w="109"/>
        <w:gridCol w:w="154"/>
      </w:tblGrid>
      <w:tr>
        <w:trPr/>
        <w:tc>
          <w:tcPr>
            <w:tcW w:w="121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 the 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1135" w:type="dxa"/>
            <w:gridSpan w:val="10"/>
            <w:tcBorders/>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Non-Compensation</w:t>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and Equipment Rental</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Professional Fees</w:t>
            </w:r>
            <w:r>
              <w:rPr>
                <w:rFonts w:ascii="Times New Roman;serif" w:hAnsi="Times New Roman;serif"/>
                <w:b w:val="false"/>
                <w:color w:val="000000"/>
                <w:sz w:val="13"/>
              </w:rPr>
              <w:t>(A)</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Travel and Related Expenses</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Technology and Information Services</w:t>
            </w:r>
            <w:r>
              <w:rPr>
                <w:rFonts w:ascii="Times New Roman;serif" w:hAnsi="Times New Roman;serif"/>
                <w:b w:val="false"/>
                <w:color w:val="000000"/>
                <w:sz w:val="13"/>
              </w:rPr>
              <w:t>(A)</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Execution, Clearing and Custody Fees</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4,046 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(A)Includes the reclassification of $0.3 million of technology and related expenses from "Professional Fees" to "Technology and Information Services" in the Investment Management segment for the three months ended March 31, 2025 to conform to the current presentation. See Notes 2 and 19 to our unaudited condensed consolidated financial statements for further information.</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Investment Management Results of Operations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Investment Management segment includes the following: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Wealth Management – conducted through EWM and ETC. Fee-based revenues from EWM are primarily earned on a percentage of AUM, while ETC primarily earns fees from negotiated trust services.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Private Equity – conducted through our investment interests in private equity funds. We maintain a limited partner's interest in Glisco II, Glisco III and Glisco IV (together the "Glisco Funds"), as well as Glisco Manager Holdings LP and the general partners of the Glisco Funds. We receive our portion of the management fees earned by Glisco Partners Inc. ("Glisco") from Glisco Manager Holdings LP. We are passive investors and do not participate in the management of any Glisco sponsored funds. We are also passive investors in Trilantic V and previously were passive investors in Trilantic IV (through December 2025). In the event the private equity funds perform below certain thresholds, we may be obligated to repay certain carried interest previously distributed. As of March 31, 2026, there was no previously distributed carried interest received from the funds subject to repayment.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also hold an interest in Atalanta Sosnoff that is accounted for under the equity method of accounting. The result of this investment is included within Income from Equity Method Investments. See Note 8 to our unaudited condensed consolidated financial statements for further information.</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Assets Under Management</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AUM in our Wealth Management business of $15.1 billion at March 31, 2026 decreased $0.4 billion, or </w:t>
      </w:r>
      <w:r>
        <w:rPr>
          <w:rFonts w:ascii="Times New Roman;serif" w:hAnsi="Times New Roman;serif"/>
          <w:b w:val="false"/>
          <w:color w:val="000000"/>
          <w:sz w:val="20"/>
          <w:shd w:fill="FFFFFF" w:val="clear"/>
        </w:rPr>
        <w:t>3%</w:t>
      </w:r>
      <w:r>
        <w:rPr>
          <w:rFonts w:ascii="Times New Roman;serif" w:hAnsi="Times New Roman;serif"/>
          <w:b w:val="false"/>
          <w:color w:val="000000"/>
          <w:sz w:val="20"/>
        </w:rPr>
        <w:t>, compared to $15.5 billion at December 31, 2025. The amounts of AUM presented in the table below reflect the fair value of assets which we manage on behalf of Wealth Management clients. As defined in ASC 820, valuations performed for Level 1 investments are based on quoted prices obtained from active markets generated by third parties and Level 2 investments are valued through the use of models based on either direct or indirect observable inputs or other valuation methodologies performed by third parties to determine fair value. For Level 1 and Level 2 investments, we obtain both active quotes from nationally recognized exchanges and third-party pricing services to determine market or fair value quotes, respectively. For Level 3 investments, pricing inputs are unobservable for the investment and includes situations where there is little, if any, market activity for the investment. The inputs into the determination of fair value require significant management judgment or estimation. Wealth Management maintained 77% and 78% of Level 1 investments, 19% and 18% of Level 2 investments and 4% and 4% of Level 3 investments as of March 31, 2026 and December 31, 2025, respectively.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fees that we receive for providing investment advisory and management services are primarily driven by the level and composition of AUM. Accordingly, client flows, market movements, and changes in our product mix will impact the level of management fees we receive from our Wealth Management business. Fees vary with the type of assets managed and the channel in which they are managed, with higher fees earned on equity assets and alternative investment funds, such as hedge funds and private equity funds, and lower fees earned on fixed income and cash management products. Clients will increase or reduce the aggregate amount of AUM that we manage for a number of reasons, including changes in the level of assets that they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d55c8df0a38248a4bad3569328277986_7">
        <w:r>
          <w:rPr>
            <w:rStyle w:val="InternetLink"/>
          </w:rPr>
          <w:t>T</w:t>
        </w:r>
      </w:hyperlink>
      <w:hyperlink w:anchor="id55c8df0a38248a4bad3569328277986_7">
        <w:r>
          <w:rPr>
            <w:rStyle w:val="InternetLink"/>
          </w:rPr>
          <w:t>a</w:t>
        </w:r>
      </w:hyperlink>
      <w:hyperlink w:anchor="id55c8df0a38248a4bad3569328277986_7">
        <w:r>
          <w:rPr>
            <w:rStyle w:val="InternetLink"/>
          </w:rPr>
          <w:t>b</w:t>
        </w:r>
      </w:hyperlink>
      <w:hyperlink w:anchor="id55c8df0a38248a4bad3569328277986_7">
        <w:r>
          <w:rPr>
            <w:rStyle w:val="InternetLink"/>
          </w:rPr>
          <w:t>l</w:t>
        </w:r>
      </w:hyperlink>
      <w:hyperlink w:anchor="id55c8df0a38248a4bad3569328277986_7">
        <w:r>
          <w:rPr>
            <w:rStyle w:val="InternetLink"/>
          </w:rPr>
          <w:t>e</w:t>
        </w:r>
      </w:hyperlink>
      <w:hyperlink w:anchor="id55c8df0a38248a4bad3569328277986_7">
        <w:r>
          <w:rPr>
            <w:rStyle w:val="InternetLink"/>
          </w:rPr>
          <w:t xml:space="preserve"> </w:t>
        </w:r>
      </w:hyperlink>
      <w:hyperlink w:anchor="id55c8df0a38248a4bad3569328277986_7">
        <w:r>
          <w:rPr>
            <w:rStyle w:val="InternetLink"/>
          </w:rPr>
          <w:t>o</w:t>
        </w:r>
      </w:hyperlink>
      <w:hyperlink w:anchor="id55c8df0a38248a4bad3569328277986_7">
        <w:r>
          <w:rPr>
            <w:rStyle w:val="InternetLink"/>
          </w:rPr>
          <w:t>f</w:t>
        </w:r>
      </w:hyperlink>
      <w:hyperlink w:anchor="id55c8df0a38248a4bad3569328277986_7">
        <w:r>
          <w:rPr>
            <w:rStyle w:val="InternetLink"/>
          </w:rPr>
          <w:t xml:space="preserve"> </w:t>
        </w:r>
      </w:hyperlink>
      <w:hyperlink w:anchor="id55c8df0a38248a4bad3569328277986_7">
        <w:r>
          <w:rPr>
            <w:rStyle w:val="InternetLink"/>
          </w:rPr>
          <w:t>C</w:t>
        </w:r>
      </w:hyperlink>
      <w:hyperlink w:anchor="id55c8df0a38248a4bad3569328277986_7">
        <w:r>
          <w:rPr>
            <w:rStyle w:val="InternetLink"/>
          </w:rPr>
          <w:t>o</w:t>
        </w:r>
      </w:hyperlink>
      <w:hyperlink w:anchor="id55c8df0a38248a4bad3569328277986_7">
        <w:r>
          <w:rPr>
            <w:rStyle w:val="InternetLink"/>
          </w:rPr>
          <w:t>n</w:t>
        </w:r>
      </w:hyperlink>
      <w:hyperlink w:anchor="id55c8df0a38248a4bad3569328277986_7">
        <w:r>
          <w:rPr>
            <w:rStyle w:val="InternetLink"/>
          </w:rPr>
          <w:t>t</w:t>
        </w:r>
      </w:hyperlink>
      <w:hyperlink w:anchor="id55c8df0a38248a4bad3569328277986_7">
        <w:r>
          <w:rPr>
            <w:rStyle w:val="InternetLink"/>
          </w:rPr>
          <w:t>e</w:t>
        </w:r>
      </w:hyperlink>
      <w:hyperlink w:anchor="id55c8df0a38248a4bad3569328277986_7">
        <w:r>
          <w:rPr>
            <w:rStyle w:val="InternetLink"/>
          </w:rPr>
          <w:t>n</w:t>
        </w:r>
      </w:hyperlink>
      <w:hyperlink w:anchor="id55c8df0a38248a4bad3569328277986_7">
        <w:r>
          <w:rPr>
            <w:rStyle w:val="InternetLink"/>
          </w:rPr>
          <w:t>t</w:t>
        </w:r>
      </w:hyperlink>
      <w:hyperlink w:anchor="id55c8df0a38248a4bad3569328277986_7">
        <w:r>
          <w:rPr>
            <w:rStyle w:val="InternetLink"/>
          </w:rPr>
          <w:t>s</w:t>
        </w:r>
      </w:hyperlink>
      <w:r>
        <w:rPr>
          <w:color w:val="000000"/>
        </w:rPr>
        <w: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have available for investment purposes, their overall asset allocation strategy, our relative performance versus competitors offering similar investment products and the quality of our service. The fees we earn are also impacted by our investment performance, as the appreciation or depreciation in the value of the assets that we manage directly impacts our fees.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AUM activity for Wealth Management for the three months ended March 31, 2026:</w:t>
      </w:r>
    </w:p>
    <w:tbl>
      <w:tblPr>
        <w:tblW w:w="6852" w:type="dxa"/>
        <w:jc w:val="left"/>
        <w:tblInd w:w="0" w:type="dxa"/>
        <w:tblLayout w:type="fixed"/>
        <w:tblCellMar>
          <w:top w:w="28" w:type="dxa"/>
          <w:left w:w="28" w:type="dxa"/>
          <w:bottom w:w="28" w:type="dxa"/>
          <w:right w:w="28" w:type="dxa"/>
        </w:tblCellMar>
      </w:tblPr>
      <w:tblGrid>
        <w:gridCol w:w="1647"/>
        <w:gridCol w:w="1447"/>
        <w:gridCol w:w="1450"/>
        <w:gridCol w:w="304"/>
        <w:gridCol w:w="1039"/>
        <w:gridCol w:w="157"/>
        <w:gridCol w:w="109"/>
        <w:gridCol w:w="109"/>
        <w:gridCol w:w="109"/>
        <w:gridCol w:w="109"/>
        <w:gridCol w:w="109"/>
        <w:gridCol w:w="109"/>
        <w:gridCol w:w="154"/>
      </w:tblGrid>
      <w:tr>
        <w:trPr/>
        <w:tc>
          <w:tcPr>
            <w:tcW w:w="1647"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Inflows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Outflows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Appreciation (Depreciation)</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Unconsolidated Affiliates - Balance at March 31, 2026</w:t>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Atalanta Sosnoff</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the composition of AUM for Wealth Management as of March 31, 2026:</w:t>
      </w:r>
    </w:p>
    <w:tbl>
      <w:tblPr>
        <w:tblW w:w="2230" w:type="dxa"/>
        <w:jc w:val="left"/>
        <w:tblInd w:w="0" w:type="dxa"/>
        <w:tblLayout w:type="fixed"/>
        <w:tblCellMar>
          <w:top w:w="28" w:type="dxa"/>
          <w:left w:w="28" w:type="dxa"/>
          <w:bottom w:w="28" w:type="dxa"/>
          <w:right w:w="28" w:type="dxa"/>
        </w:tblCellMar>
      </w:tblPr>
      <w:tblGrid>
        <w:gridCol w:w="445"/>
        <w:gridCol w:w="391"/>
        <w:gridCol w:w="394"/>
        <w:gridCol w:w="232"/>
        <w:gridCol w:w="234"/>
        <w:gridCol w:w="271"/>
        <w:gridCol w:w="109"/>
        <w:gridCol w:w="154"/>
      </w:tblGrid>
      <w:tr>
        <w:trPr/>
        <w:tc>
          <w:tcPr>
            <w:tcW w:w="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Equities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Liquidity</w:t>
            </w:r>
            <w:r>
              <w:rPr>
                <w:rFonts w:ascii="Times New Roman;serif" w:hAnsi="Times New Roman;serif"/>
                <w:b w:val="false"/>
                <w:color w:val="000000"/>
                <w:sz w:val="13"/>
              </w:rPr>
              <w:t>(1)</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cash, cash equivalents and U.S. Treasury securities.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Wealth Management business serves individuals, families and related institutions delivering customized investment management, financial planning, and trust and custody services. Investment portfolios are tailored to meet the investment objectives of individual clients and reflect a blend of equity, fixed income and other products. Fees charged to clients reflect the composition of the assets managed and the services provided. Investment performance in the Wealth Management business is measured against appropriate indices based on the composition of AUM, most frequently the S&amp;P 500 and a composite fixed income index principally reflecting BarCap and MSCI indices.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For the three months ended March 31, 2026, AUM for Wealth Management decreased </w:t>
      </w:r>
      <w:r>
        <w:rPr>
          <w:rFonts w:ascii="Times New Roman;serif" w:hAnsi="Times New Roman;serif"/>
          <w:b w:val="false"/>
          <w:color w:val="000000"/>
          <w:sz w:val="20"/>
          <w:shd w:fill="FFFFFF" w:val="clear"/>
        </w:rPr>
        <w:t>3%</w:t>
      </w:r>
      <w:r>
        <w:rPr>
          <w:rFonts w:ascii="Times New Roman;serif" w:hAnsi="Times New Roman;serif"/>
          <w:b w:val="false"/>
          <w:color w:val="000000"/>
          <w:sz w:val="20"/>
        </w:rPr>
        <w:t xml:space="preserve">, reflecting a </w:t>
      </w:r>
      <w:r>
        <w:rPr>
          <w:rFonts w:ascii="Times New Roman;serif" w:hAnsi="Times New Roman;serif"/>
          <w:b w:val="false"/>
          <w:color w:val="000000"/>
          <w:sz w:val="20"/>
          <w:shd w:fill="FFFFFF" w:val="clear"/>
        </w:rPr>
        <w:t>2%</w:t>
      </w:r>
      <w:r>
        <w:rPr>
          <w:color w:val="000000"/>
        </w:rPr>
        <w:t xml:space="preserve"> </w:t>
      </w:r>
      <w:r>
        <w:rPr>
          <w:rFonts w:ascii="Times New Roman;serif" w:hAnsi="Times New Roman;serif"/>
          <w:b w:val="false"/>
          <w:color w:val="000000"/>
          <w:sz w:val="20"/>
        </w:rPr>
        <w:t xml:space="preserve">decrease from market depreciation and a </w:t>
      </w:r>
      <w:r>
        <w:rPr>
          <w:rFonts w:ascii="Times New Roman;serif" w:hAnsi="Times New Roman;serif"/>
          <w:b w:val="false"/>
          <w:color w:val="000000"/>
          <w:sz w:val="20"/>
          <w:shd w:fill="FFFFFF" w:val="clear"/>
        </w:rPr>
        <w:t>1% decrease from net outflows</w:t>
      </w:r>
      <w:r>
        <w:rPr>
          <w:rFonts w:ascii="Times New Roman;serif" w:hAnsi="Times New Roman;serif"/>
          <w:b w:val="false"/>
          <w:color w:val="000000"/>
          <w:sz w:val="20"/>
        </w:rPr>
        <w:t>. Performance as of March 31, 2026 reflected:</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Wealth Management lagged the S&amp;P 500 on a 1 and 3-year basis by approximately 6% and 5%, respectively</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The S&amp;P 500 was up approximately 18% on both a 1 and 3-year basis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Wealth Management outperformed the fixed income composite on a 1 and 3-year basis by approximately 0.04% and 0.5%, respectively</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The fixed income composite was up approximately 4% and 2% on a 1 and 3-year basis, respectively</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The S&amp;P 500 and the fixed income composite were down approximately 4% and 1%, respectively, for the three months ended March 31, 2026</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AUM from our unconsolidated affiliate, Atalanta Sosnoff, decreased 5% compared to December 31, 2025.</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Three Months Ended March 31, 2026 versus March 31, 2025</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Net Revenues were $22.8 million for the three months ended March 31, 2026, an increase of $2.5 million, or 12%, versus $20.3 million for the three months ended March 31, 2025. Asset Management and Administration Fees earned from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d55c8df0a38248a4bad3569328277986_7">
        <w:r>
          <w:rPr>
            <w:rStyle w:val="InternetLink"/>
          </w:rPr>
          <w:t>T</w:t>
        </w:r>
      </w:hyperlink>
      <w:hyperlink w:anchor="id55c8df0a38248a4bad3569328277986_7">
        <w:r>
          <w:rPr>
            <w:rStyle w:val="InternetLink"/>
          </w:rPr>
          <w:t>a</w:t>
        </w:r>
      </w:hyperlink>
      <w:hyperlink w:anchor="id55c8df0a38248a4bad3569328277986_7">
        <w:r>
          <w:rPr>
            <w:rStyle w:val="InternetLink"/>
          </w:rPr>
          <w:t>b</w:t>
        </w:r>
      </w:hyperlink>
      <w:hyperlink w:anchor="id55c8df0a38248a4bad3569328277986_7">
        <w:r>
          <w:rPr>
            <w:rStyle w:val="InternetLink"/>
          </w:rPr>
          <w:t>l</w:t>
        </w:r>
      </w:hyperlink>
      <w:hyperlink w:anchor="id55c8df0a38248a4bad3569328277986_7">
        <w:r>
          <w:rPr>
            <w:rStyle w:val="InternetLink"/>
          </w:rPr>
          <w:t>e</w:t>
        </w:r>
      </w:hyperlink>
      <w:hyperlink w:anchor="id55c8df0a38248a4bad3569328277986_7">
        <w:r>
          <w:rPr>
            <w:rStyle w:val="InternetLink"/>
          </w:rPr>
          <w:t xml:space="preserve"> </w:t>
        </w:r>
      </w:hyperlink>
      <w:hyperlink w:anchor="id55c8df0a38248a4bad3569328277986_7">
        <w:r>
          <w:rPr>
            <w:rStyle w:val="InternetLink"/>
          </w:rPr>
          <w:t>o</w:t>
        </w:r>
      </w:hyperlink>
      <w:hyperlink w:anchor="id55c8df0a38248a4bad3569328277986_7">
        <w:r>
          <w:rPr>
            <w:rStyle w:val="InternetLink"/>
          </w:rPr>
          <w:t>f</w:t>
        </w:r>
      </w:hyperlink>
      <w:hyperlink w:anchor="id55c8df0a38248a4bad3569328277986_7">
        <w:r>
          <w:rPr>
            <w:rStyle w:val="InternetLink"/>
          </w:rPr>
          <w:t xml:space="preserve"> </w:t>
        </w:r>
      </w:hyperlink>
      <w:hyperlink w:anchor="id55c8df0a38248a4bad3569328277986_7">
        <w:r>
          <w:rPr>
            <w:rStyle w:val="InternetLink"/>
          </w:rPr>
          <w:t>C</w:t>
        </w:r>
      </w:hyperlink>
      <w:hyperlink w:anchor="id55c8df0a38248a4bad3569328277986_7">
        <w:r>
          <w:rPr>
            <w:rStyle w:val="InternetLink"/>
          </w:rPr>
          <w:t>o</w:t>
        </w:r>
      </w:hyperlink>
      <w:hyperlink w:anchor="id55c8df0a38248a4bad3569328277986_7">
        <w:r>
          <w:rPr>
            <w:rStyle w:val="InternetLink"/>
          </w:rPr>
          <w:t>n</w:t>
        </w:r>
      </w:hyperlink>
      <w:hyperlink w:anchor="id55c8df0a38248a4bad3569328277986_7">
        <w:r>
          <w:rPr>
            <w:rStyle w:val="InternetLink"/>
          </w:rPr>
          <w:t>t</w:t>
        </w:r>
      </w:hyperlink>
      <w:hyperlink w:anchor="id55c8df0a38248a4bad3569328277986_7">
        <w:r>
          <w:rPr>
            <w:rStyle w:val="InternetLink"/>
          </w:rPr>
          <w:t>e</w:t>
        </w:r>
      </w:hyperlink>
      <w:hyperlink w:anchor="id55c8df0a38248a4bad3569328277986_7">
        <w:r>
          <w:rPr>
            <w:rStyle w:val="InternetLink"/>
          </w:rPr>
          <w:t>n</w:t>
        </w:r>
      </w:hyperlink>
      <w:hyperlink w:anchor="id55c8df0a38248a4bad3569328277986_7">
        <w:r>
          <w:rPr>
            <w:rStyle w:val="InternetLink"/>
          </w:rPr>
          <w:t>t</w:t>
        </w:r>
      </w:hyperlink>
      <w:hyperlink w:anchor="id55c8df0a38248a4bad3569328277986_7">
        <w:r>
          <w:rPr>
            <w:rStyle w:val="InternetLink"/>
          </w:rPr>
          <w:t>s</w:t>
        </w:r>
      </w:hyperlink>
      <w:r>
        <w:rPr>
          <w:color w:val="000000"/>
        </w:rPr>
        <w: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management of Wealth Management client portfolios increased $1.7 million, or 8%, compared to the three months ended March 31, 2025, as associated AUM increased 10%, from market appreciation as well as net inflows.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Employee Compensation and Benefits Expense was $14.9 million for the three months ended March 31, 2026, an increase of $3.1 million, or 26%, versus $11.8 million for the three months ended March 31, 2025, primarily reflecting a higher accrual for incentive compensation and higher base salaries, resulting from higher headcount.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Non-Compensation expenses were $4.1 million for the three months ended March 31, 2026, an increase of $0.1 million, or 2%, versus $4.0 million for the three months ended March 31, 2025, primarily driven by an increase in technology and information services, partially offset by a decrease in professional fees.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Income from Equity Method Investments was $1.0 million for the three months ended March 31, 2026, an increase of $0.1 million, or 14%, versus $0.9 million for the three months ended March 31, 2025, reflecting higher earnings from Atalanta Sosnoff in the first quarter of 2026. See Note 8 to our unaudited condensed consolidated financial statements for further information.</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operating cash flows are primarily influenced by the timing and receipt of fees and the payment of operating expenses, including incentive compensation to our employees and interest expense on our Notes Payable, lines of credit and other financing arrangements, and the payment of income taxes. Advisory and Underwriting fees are generally collected within 90 days of invoice. Placement fees are generally collected within 180 days of invoice and a portion of certain fees primarily related to private funds capital raising and the private capital businesses may be collected in a period exceeding one year. Commissions earned from our agency trading activities are generally received from our clearing broker within 11 days. Fees from our Wealth Management business are generally invoiced and collected within 90 days. We traditionally pay a substantial portion of incentive compensation during the first three months of each calendar year with respect to the prior year's results and prior years' deferred compensation. Likewise, payments to fund investments related to hedging our deferred cash compensation plans are generally funded in the first three months of each calendar year. Our investing and financing cash flows are primarily influenced by activities to invest our cash in highly liquid securities or bank certificates of deposit, deploy capital to fund investments and acquisitions, repurchase outstanding Class A Shares (including for the net settlement of RSUs) and/or noncontrolling interest in Evercore LP, as well as our other subsidiaries, payment of dividends, other periodic distributions to our stakeholders and to raise capital through the issuance of stock or debt. We generally make dividend payments and other distributions on a quarterly basis. If required, we may periodically draw down on our lines of credit to balance the timing of our operating, investing and financing cash flow needs. A summary of our operating, investing and financing cash flows is as follows:</w:t>
      </w:r>
    </w:p>
    <w:tbl>
      <w:tblPr>
        <w:tblW w:w="9304" w:type="dxa"/>
        <w:jc w:val="left"/>
        <w:tblInd w:w="0" w:type="dxa"/>
        <w:tblLayout w:type="fixed"/>
        <w:tblCellMar>
          <w:top w:w="28" w:type="dxa"/>
          <w:left w:w="28" w:type="dxa"/>
          <w:bottom w:w="28" w:type="dxa"/>
          <w:right w:w="28" w:type="dxa"/>
        </w:tblCellMar>
      </w:tblPr>
      <w:tblGrid>
        <w:gridCol w:w="2194"/>
        <w:gridCol w:w="1930"/>
        <w:gridCol w:w="1935"/>
        <w:gridCol w:w="240"/>
        <w:gridCol w:w="941"/>
        <w:gridCol w:w="124"/>
        <w:gridCol w:w="124"/>
        <w:gridCol w:w="124"/>
        <w:gridCol w:w="124"/>
        <w:gridCol w:w="240"/>
        <w:gridCol w:w="941"/>
        <w:gridCol w:w="124"/>
        <w:gridCol w:w="109"/>
        <w:gridCol w:w="154"/>
      </w:tblGrid>
      <w:tr>
        <w:trPr/>
        <w:tc>
          <w:tcPr>
            <w:tcW w:w="2194"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Provided By (Used In)</w:t>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322,721 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153,790 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charges</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230,993 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173,787 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activities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(779,577)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(877,230)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11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(225,863)</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(549,653)</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524,527 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679,761 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(731,439)</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(460,857)</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Increase (Decrease) in Cash, Cash Equivalents and Restricted Cash</w:t>
            </w:r>
          </w:p>
        </w:tc>
        <w:tc>
          <w:tcPr>
            <w:tcW w:w="11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(440,048)</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(319,367)</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w:t>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1,436,140 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882,107 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of Period</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996,092 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562,740 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d55c8df0a38248a4bad3569328277986_7">
        <w:r>
          <w:rPr>
            <w:rStyle w:val="InternetLink"/>
          </w:rPr>
          <w:t>T</w:t>
        </w:r>
      </w:hyperlink>
      <w:hyperlink w:anchor="id55c8df0a38248a4bad3569328277986_7">
        <w:r>
          <w:rPr>
            <w:rStyle w:val="InternetLink"/>
          </w:rPr>
          <w:t>a</w:t>
        </w:r>
      </w:hyperlink>
      <w:hyperlink w:anchor="id55c8df0a38248a4bad3569328277986_7">
        <w:r>
          <w:rPr>
            <w:rStyle w:val="InternetLink"/>
          </w:rPr>
          <w:t>b</w:t>
        </w:r>
      </w:hyperlink>
      <w:hyperlink w:anchor="id55c8df0a38248a4bad3569328277986_7">
        <w:r>
          <w:rPr>
            <w:rStyle w:val="InternetLink"/>
          </w:rPr>
          <w:t>l</w:t>
        </w:r>
      </w:hyperlink>
      <w:hyperlink w:anchor="id55c8df0a38248a4bad3569328277986_7">
        <w:r>
          <w:rPr>
            <w:rStyle w:val="InternetLink"/>
          </w:rPr>
          <w:t>e</w:t>
        </w:r>
      </w:hyperlink>
      <w:hyperlink w:anchor="id55c8df0a38248a4bad3569328277986_7">
        <w:r>
          <w:rPr>
            <w:rStyle w:val="InternetLink"/>
          </w:rPr>
          <w:t xml:space="preserve"> </w:t>
        </w:r>
      </w:hyperlink>
      <w:hyperlink w:anchor="id55c8df0a38248a4bad3569328277986_7">
        <w:r>
          <w:rPr>
            <w:rStyle w:val="InternetLink"/>
          </w:rPr>
          <w:t>o</w:t>
        </w:r>
      </w:hyperlink>
      <w:hyperlink w:anchor="id55c8df0a38248a4bad3569328277986_7">
        <w:r>
          <w:rPr>
            <w:rStyle w:val="InternetLink"/>
          </w:rPr>
          <w:t>f</w:t>
        </w:r>
      </w:hyperlink>
      <w:hyperlink w:anchor="id55c8df0a38248a4bad3569328277986_7">
        <w:r>
          <w:rPr>
            <w:rStyle w:val="InternetLink"/>
          </w:rPr>
          <w:t xml:space="preserve"> </w:t>
        </w:r>
      </w:hyperlink>
      <w:hyperlink w:anchor="id55c8df0a38248a4bad3569328277986_7">
        <w:r>
          <w:rPr>
            <w:rStyle w:val="InternetLink"/>
          </w:rPr>
          <w:t>C</w:t>
        </w:r>
      </w:hyperlink>
      <w:hyperlink w:anchor="id55c8df0a38248a4bad3569328277986_7">
        <w:r>
          <w:rPr>
            <w:rStyle w:val="InternetLink"/>
          </w:rPr>
          <w:t>o</w:t>
        </w:r>
      </w:hyperlink>
      <w:hyperlink w:anchor="id55c8df0a38248a4bad3569328277986_7">
        <w:r>
          <w:rPr>
            <w:rStyle w:val="InternetLink"/>
          </w:rPr>
          <w:t>n</w:t>
        </w:r>
      </w:hyperlink>
      <w:hyperlink w:anchor="id55c8df0a38248a4bad3569328277986_7">
        <w:r>
          <w:rPr>
            <w:rStyle w:val="InternetLink"/>
          </w:rPr>
          <w:t>t</w:t>
        </w:r>
      </w:hyperlink>
      <w:hyperlink w:anchor="id55c8df0a38248a4bad3569328277986_7">
        <w:r>
          <w:rPr>
            <w:rStyle w:val="InternetLink"/>
          </w:rPr>
          <w:t>e</w:t>
        </w:r>
      </w:hyperlink>
      <w:hyperlink w:anchor="id55c8df0a38248a4bad3569328277986_7">
        <w:r>
          <w:rPr>
            <w:rStyle w:val="InternetLink"/>
          </w:rPr>
          <w:t>n</w:t>
        </w:r>
      </w:hyperlink>
      <w:hyperlink w:anchor="id55c8df0a38248a4bad3569328277986_7">
        <w:r>
          <w:rPr>
            <w:rStyle w:val="InternetLink"/>
          </w:rPr>
          <w:t>t</w:t>
        </w:r>
      </w:hyperlink>
      <w:hyperlink w:anchor="id55c8df0a38248a4bad3569328277986_7">
        <w:r>
          <w:rPr>
            <w:rStyle w:val="InternetLink"/>
          </w:rPr>
          <w:t>s</w:t>
        </w:r>
      </w:hyperlink>
      <w:r>
        <w:rPr>
          <w:color w:val="000000"/>
        </w:rPr>
        <w:t>                                              </w:t>
      </w:r>
    </w:p>
    <w:p>
      <w:pPr>
        <w:pStyle w:val="TextBody"/>
        <w:bidi w:val="0"/>
        <w:spacing w:lineRule="auto" w:line="288" w:before="180" w:after="283"/>
        <w:ind w:left="0" w:right="0" w:firstLine="450"/>
        <w:jc w:val="both"/>
        <w:rPr/>
      </w:pPr>
      <w:r>
        <w:rPr>
          <w:rFonts w:ascii="Times New Roman;serif" w:hAnsi="Times New Roman;serif"/>
          <w:b/>
          <w:i/>
          <w:color w:val="000000"/>
          <w:sz w:val="20"/>
        </w:rPr>
        <w:t>Three Months Ended March 31, 2026.</w:t>
      </w:r>
      <w:r>
        <w:rPr>
          <w:color w:val="000000"/>
        </w:rPr>
        <w:t xml:space="preserve"> </w:t>
      </w:r>
      <w:r>
        <w:rPr>
          <w:rFonts w:ascii="Times New Roman;serif" w:hAnsi="Times New Roman;serif"/>
          <w:b w:val="false"/>
          <w:color w:val="000000"/>
          <w:sz w:val="20"/>
        </w:rPr>
        <w:t>Cash, Cash Equivalents and Restricted Cash were $1.0 billion at March 31, 2026, a decrease of $440.0 million versus Cash, Cash Equivalents and Restricted Cash of $1.4 billion at December 31, 2025. Operating activities resulted in a net outflow of $225.9 million, primarily related to the payment of 2025 bonus awards and deferred cash compensation, which contributed to a decrease to Accrued Compensation and Benefits on our Unaudited Condensed Consolidated Statement of Financial Condition as of March 31, 2026, partially offset by earnings. Cash of $524.5 million was provided by investing activities, primarily related to net proceeds from sales and maturities of investment securities, partially offset by net purchases of certificates of deposit. Financing activities during the period used cash of $731.4 million, primarily for purchases of treasury stock (including for the net settlement of RSUs), the payment of dividends, the $48.0 million repayment of our Series C Notes and distributions made to noncontrolling interest holders. Cash is also impacted due to the effect of foreign exchange rate fluctuation when translating non-U.S. currencies to U.S. Dollars.</w:t>
      </w:r>
    </w:p>
    <w:p>
      <w:pPr>
        <w:pStyle w:val="TextBody"/>
        <w:bidi w:val="0"/>
        <w:spacing w:lineRule="auto" w:line="288" w:before="180" w:after="283"/>
        <w:ind w:left="0" w:right="0" w:firstLine="450"/>
        <w:jc w:val="both"/>
        <w:rPr/>
      </w:pPr>
      <w:r>
        <w:rPr>
          <w:rFonts w:ascii="Times New Roman;serif" w:hAnsi="Times New Roman;serif"/>
          <w:b/>
          <w:i/>
          <w:color w:val="000000"/>
          <w:sz w:val="20"/>
        </w:rPr>
        <w:t>Three Months Ended March 31, 2025.</w:t>
      </w:r>
      <w:r>
        <w:rPr>
          <w:color w:val="000000"/>
        </w:rPr>
        <w:t xml:space="preserve"> </w:t>
      </w:r>
      <w:r>
        <w:rPr>
          <w:rFonts w:ascii="Times New Roman;serif" w:hAnsi="Times New Roman;serif"/>
          <w:b w:val="false"/>
          <w:color w:val="000000"/>
          <w:sz w:val="20"/>
        </w:rPr>
        <w:t>Cash, Cash Equivalents and Restricted Cash were $562.7 million at March 31, 2025, a decrease of $319.4 million versus Cash, Cash Equivalents and Restricted Cash of $882.1 million at December 31, 2024. Operating activities resulted in a net outflow of $549.7 million, primarily related to the payment of 2024 bonus awards and deferred cash compensation, which contributed to a decrease to Accrued Compensation and Benefits on our Unaudited Condensed Consolidated Statement of Financial Condition as of March 31, 2025, partially offset by earnings. Cash of $679.8 million was provided by investing activities, primarily related to net proceeds from sales and maturities of investment securities and certificates of deposit, partially offset by purchases of equipment and leasehold improvements. Financing activities during the period used cash of $460.9 million, primarily for purchases of treasury stock (including for the net settlement of RSUs) and the payment of dividends and distributions made to noncontrolling interest holders. Cash is also impacted due to the effect of foreign exchange rate fluctuation when translating non-U.S. currencies to U.S. Dollars.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General</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current assets principally include Cash and Cash Equivalents, Investment Securities and Certificates of Deposit, Accounts Receivable and contract assets, included in Other Current Assets, relating to revenues from our Investment Banking &amp; Equities and Investment Management segments. Our current liabilities principally include accrued expenses, accrued liabilities, accrued employee compensation and short-term borrowings. We traditionally have made payments for employee bonus awards and year-end distributions to partners in the first quarter of the year with respect to the prior year's results. In addition, payments in respect of deferred cash compensation arrangements and related investments are also made in the first quarter. From time to time, advances and/or commitments may also be granted to new employees at or near the date they begin employment, or to existing employees for the purpose of incentive or retention. Cash distributions related to partnership tax allocations are made to the partners of Evercore LP and certain other entities in accordance with our corporate estimated payment calendar; these payments are generally made quarterly. In addition, dividends on Class A Shares, and related distributions to partners of Evercore LP, are paid when and if declared by the Board of Directors, which is generally quarterly.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regularly monitor our liquidity position, including cash, other significant working capital, current assets and liabilities, long-term liabilities, lease commitments and related fixed assets, principal investment commitments related to our Investment Management business, dividends on Class A Shares, partnership distributions and other capital transactions, as well as other matters relating to liquidity and compliance with capital requirements and restrictions of our regulated legal entities. Our liquidity is highly dependent on our revenue stream from our operations, principally from our Investment Banking &amp; Equities segment, which is primarily a function of closing client transactions and earning success fees, the timing and realization of which is irregular and dependent upon factors that are not subject to our control. Our revenue stream funds the payment of our expenses, including annual bonus payments, a portion of which are guaranteed, deferred compensation arrangements, interest expense on our Notes Payable, lines of credit and other financing arrangements, including interest expense related to deferred acquisition consideration and mandatorily redeemable interests, as well as payments for income taxes. Payments made for income taxes may be reduced by deductions taken for the increase in tax basis of our investment in Evercore LP. Certain of these tax deductions, when realized, require payment under our long-term liability, Amounts Due Pursuant to Tax Receivable Agreements. We intend to fund these payments from cash and cash equivalents on hand, principally derived from cash flows from operations. These tax deductions, when realized, will result in cash otherwise required to satisfy tax obligations becoming available for other purposes. Our Management Committee meets regularly to monitor our liquidity and cash positions against our short and long-term obligations, as well as our capital requirements and commitments, including deferred compensation arrangements. The result of this review contributes to management's recommendation to the Board of Directors as to the level of quarterly dividend payments, if any, as well as the level of long-term borrowings required.</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d55c8df0a38248a4bad3569328277986_7">
        <w:r>
          <w:rPr>
            <w:rStyle w:val="InternetLink"/>
          </w:rPr>
          <w:t>T</w:t>
        </w:r>
      </w:hyperlink>
      <w:hyperlink w:anchor="id55c8df0a38248a4bad3569328277986_7">
        <w:r>
          <w:rPr>
            <w:rStyle w:val="InternetLink"/>
          </w:rPr>
          <w:t>a</w:t>
        </w:r>
      </w:hyperlink>
      <w:hyperlink w:anchor="id55c8df0a38248a4bad3569328277986_7">
        <w:r>
          <w:rPr>
            <w:rStyle w:val="InternetLink"/>
          </w:rPr>
          <w:t>b</w:t>
        </w:r>
      </w:hyperlink>
      <w:hyperlink w:anchor="id55c8df0a38248a4bad3569328277986_7">
        <w:r>
          <w:rPr>
            <w:rStyle w:val="InternetLink"/>
          </w:rPr>
          <w:t>l</w:t>
        </w:r>
      </w:hyperlink>
      <w:hyperlink w:anchor="id55c8df0a38248a4bad3569328277986_7">
        <w:r>
          <w:rPr>
            <w:rStyle w:val="InternetLink"/>
          </w:rPr>
          <w:t>e</w:t>
        </w:r>
      </w:hyperlink>
      <w:hyperlink w:anchor="id55c8df0a38248a4bad3569328277986_7">
        <w:r>
          <w:rPr>
            <w:rStyle w:val="InternetLink"/>
          </w:rPr>
          <w:t xml:space="preserve"> </w:t>
        </w:r>
      </w:hyperlink>
      <w:hyperlink w:anchor="id55c8df0a38248a4bad3569328277986_7">
        <w:r>
          <w:rPr>
            <w:rStyle w:val="InternetLink"/>
          </w:rPr>
          <w:t>o</w:t>
        </w:r>
      </w:hyperlink>
      <w:hyperlink w:anchor="id55c8df0a38248a4bad3569328277986_7">
        <w:r>
          <w:rPr>
            <w:rStyle w:val="InternetLink"/>
          </w:rPr>
          <w:t>f</w:t>
        </w:r>
      </w:hyperlink>
      <w:hyperlink w:anchor="id55c8df0a38248a4bad3569328277986_7">
        <w:r>
          <w:rPr>
            <w:rStyle w:val="InternetLink"/>
          </w:rPr>
          <w:t xml:space="preserve"> </w:t>
        </w:r>
      </w:hyperlink>
      <w:hyperlink w:anchor="id55c8df0a38248a4bad3569328277986_7">
        <w:r>
          <w:rPr>
            <w:rStyle w:val="InternetLink"/>
          </w:rPr>
          <w:t>C</w:t>
        </w:r>
      </w:hyperlink>
      <w:hyperlink w:anchor="id55c8df0a38248a4bad3569328277986_7">
        <w:r>
          <w:rPr>
            <w:rStyle w:val="InternetLink"/>
          </w:rPr>
          <w:t>o</w:t>
        </w:r>
      </w:hyperlink>
      <w:hyperlink w:anchor="id55c8df0a38248a4bad3569328277986_7">
        <w:r>
          <w:rPr>
            <w:rStyle w:val="InternetLink"/>
          </w:rPr>
          <w:t>n</w:t>
        </w:r>
      </w:hyperlink>
      <w:hyperlink w:anchor="id55c8df0a38248a4bad3569328277986_7">
        <w:r>
          <w:rPr>
            <w:rStyle w:val="InternetLink"/>
          </w:rPr>
          <w:t>t</w:t>
        </w:r>
      </w:hyperlink>
      <w:hyperlink w:anchor="id55c8df0a38248a4bad3569328277986_7">
        <w:r>
          <w:rPr>
            <w:rStyle w:val="InternetLink"/>
          </w:rPr>
          <w:t>e</w:t>
        </w:r>
      </w:hyperlink>
      <w:hyperlink w:anchor="id55c8df0a38248a4bad3569328277986_7">
        <w:r>
          <w:rPr>
            <w:rStyle w:val="InternetLink"/>
          </w:rPr>
          <w:t>n</w:t>
        </w:r>
      </w:hyperlink>
      <w:hyperlink w:anchor="id55c8df0a38248a4bad3569328277986_7">
        <w:r>
          <w:rPr>
            <w:rStyle w:val="InternetLink"/>
          </w:rPr>
          <w:t>t</w:t>
        </w:r>
      </w:hyperlink>
      <w:hyperlink w:anchor="id55c8df0a38248a4bad3569328277986_7">
        <w:r>
          <w:rPr>
            <w:rStyle w:val="InternetLink"/>
          </w:rPr>
          <w:t>s</w:t>
        </w:r>
      </w:hyperlink>
      <w:r>
        <w:rPr>
          <w:color w:val="000000"/>
        </w:rPr>
        <w:t>                                              </w:t>
      </w:r>
    </w:p>
    <w:p>
      <w:pPr>
        <w:pStyle w:val="TextBody"/>
        <w:bidi w:val="0"/>
        <w:spacing w:lineRule="auto" w:line="288" w:before="0" w:after="0"/>
        <w:ind w:left="0" w:right="0" w:firstLine="450"/>
        <w:jc w:val="both"/>
        <w:rPr/>
      </w:pPr>
      <w:r>
        <w:rPr>
          <w:rFonts w:ascii="Times New Roman;serif" w:hAnsi="Times New Roman;serif"/>
          <w:b w:val="false"/>
          <w:color w:val="000000"/>
          <w:sz w:val="20"/>
        </w:rPr>
        <w:t>As a financial services firm, our businesses are materially affected by conditions in the global financial markets and economic conditions throughout the world. Revenue generated by our advisory activities is related to the number and value of the transactions in which we are involved. In addition, revenue related to our equities business is driven by market volumes and institutional investor trends, such as the trend to passive investment strategies. During periods of unfavorable market or economic conditions - which may result from the current or anticipated impact of tariffs and inflation, changes in the level of interest rates, changes in the availability of financing, supply chain disruptions, an evolving regulatory environment, climate change, extreme weather events or natural disasters, the emergence or continuation of widespread health emergencies or pandemics, cyberattacks or campaigns, military conflict, including escalating international tensions, terrorism or other geopolitical events - the number and value of M&amp;A transactions, as well as issuance volumes in capital markets, generally decrease, and they generally increase during periods of favorable market or economic conditions. Restructuring activity generally is counter-cyclical to M&amp;A activity. In addition, during periods of unfavorable market conditions our Investment Management business may be impacted by reduced equity valuations and generate relatively lower revenue because fees we receive, either directly or through our affiliates, typically are in part based on the market value of underlying publicly-traded securities. Our profitability may also be adversely affected by our fixed costs and the possibility that we would be unable to scale back other costs within a time frame, and in an amount sufficient, to match any decreases in revenue relating to changes in market and economic conditions. Likewise, our liquidity may be adversely impacted by our contractual obligations, including lease obligations and obligations to pay principal and interest on our Notes Payable. Reduced equity valuations resulting from future adverse economic events and/or market conditions may impact our performance and may result in future net redemptions of AUM from our Investment Management clients, which would generally result in lower revenues and cash flows. These adverse conditions could also have an impact on our goodwill impairment assessment, which is done annually, as of November 30</w:t>
      </w:r>
      <w:r>
        <w:rPr>
          <w:rFonts w:ascii="Times New Roman;serif" w:hAnsi="Times New Roman;serif"/>
          <w:b w:val="false"/>
          <w:color w:val="000000"/>
          <w:sz w:val="13"/>
        </w:rPr>
        <w:t>th</w:t>
      </w:r>
      <w:r>
        <w:rPr>
          <w:rFonts w:ascii="Times New Roman;serif" w:hAnsi="Times New Roman;serif"/>
          <w:b w:val="false"/>
          <w:color w:val="000000"/>
          <w:sz w:val="20"/>
        </w:rPr>
        <w:t xml:space="preserve">, or more frequently if circumstances indicate impairment may have occurred.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Geopolitical and macroeconomic uncertainty remain present and have led to market volatility. These evolving conditions may impact the transaction environment in the near to medium term and/or impact the timing of transaction closings. We will continue to assess the potential ongoing impacts of these factors, including the regular monitoring of our cash levels, liquidity, regulatory capital requirements, debt covenants and our other contractual obligations. See "Results of Operations"</w:t>
      </w:r>
      <w:r>
        <w:rPr>
          <w:color w:val="000000"/>
        </w:rPr>
        <w:t xml:space="preserve"> </w:t>
      </w:r>
      <w:r>
        <w:rPr>
          <w:rFonts w:ascii="Times New Roman;serif" w:hAnsi="Times New Roman;serif"/>
          <w:b w:val="false"/>
          <w:color w:val="000000"/>
          <w:sz w:val="20"/>
        </w:rPr>
        <w:t>above for further information.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assess each of our equity method investments for impairment annually, or more frequently if circumstances indicate impairment may have occurred. These circumstances could include unfavorable market conditions or the loss of key personnel of the investee.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a further discussion of risks related to our business, refer to Item 1A. "Risk Factors" in our Annual Report on Form 10-K for the year ended December 31, 2025.</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Treasury Purchases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We periodically repurchase Class A Shares and/or LP Units into Treasury (including through the net settlement of equity awards) in order to offset the dilutive effect of equity awards granted as compensation (see Note 15 to our unaudited condensed consolidated financial statements for further information), or amounts in excess of that if management's review, discussed above, determines adequate cash is available. The amount of cash required for these share repurchases is a function of the mix of equity and deferred cash compensation awarded for the annual bonus awards (see further discussion on deferred compensation under </w:t>
      </w:r>
      <w:r>
        <w:rPr>
          <w:rFonts w:ascii="Times New Roman;serif" w:hAnsi="Times New Roman;serif"/>
          <w:b w:val="false"/>
          <w:i/>
          <w:color w:val="000000"/>
          <w:sz w:val="20"/>
        </w:rPr>
        <w:t xml:space="preserve">Other Commitments </w:t>
      </w:r>
      <w:r>
        <w:rPr>
          <w:rFonts w:ascii="Times New Roman;serif" w:hAnsi="Times New Roman;serif"/>
          <w:b w:val="false"/>
          <w:color w:val="000000"/>
          <w:sz w:val="20"/>
        </w:rPr>
        <w:t>below). In addition, we may, from time to time, purchase noncontrolling interests in subsidiaries.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April 29, 2025, our Board of Directors authorized (in addition to the net settlement of equity awards) the repurchase of Class A Shares and/or LP Units so that from that date forward, we are able to repurchase an aggregate of the lesser of $1.6 billion worth of Class A Shares and/or LP Units and 8.0 million Class A Shares and/or LP Units. Under this share repurchase program, shares may be repurchased from time to time in open market transactions, in privately-negotiated transactions or otherwise. The timing and the actual amount of shares repurchased will depend on a variety of factors, including our liquidity position, legal requirements, price, economic and market conditions and the objective to reduce the dilutive effect of equity awards granted as compensation to employees. This program may be suspended or discontinued at any time and does not have a specified expiration date. During the three months ended March 31, 2026, we repurchased 1,026,236 Class A Shares, at an average cost per share of $302.01, for $309.9 million, pursuant to our repurchase program.</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periodically buy shares into treasury from our employees in order to allow them to satisfy their minimum tax requirements for share deliveries under our share equity plan. During the three months ended March 31, 2026,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d55c8df0a38248a4bad3569328277986_7">
        <w:r>
          <w:rPr>
            <w:rStyle w:val="InternetLink"/>
          </w:rPr>
          <w:t>T</w:t>
        </w:r>
      </w:hyperlink>
      <w:hyperlink w:anchor="id55c8df0a38248a4bad3569328277986_7">
        <w:r>
          <w:rPr>
            <w:rStyle w:val="InternetLink"/>
          </w:rPr>
          <w:t>a</w:t>
        </w:r>
      </w:hyperlink>
      <w:hyperlink w:anchor="id55c8df0a38248a4bad3569328277986_7">
        <w:r>
          <w:rPr>
            <w:rStyle w:val="InternetLink"/>
          </w:rPr>
          <w:t>b</w:t>
        </w:r>
      </w:hyperlink>
      <w:hyperlink w:anchor="id55c8df0a38248a4bad3569328277986_7">
        <w:r>
          <w:rPr>
            <w:rStyle w:val="InternetLink"/>
          </w:rPr>
          <w:t>l</w:t>
        </w:r>
      </w:hyperlink>
      <w:hyperlink w:anchor="id55c8df0a38248a4bad3569328277986_7">
        <w:r>
          <w:rPr>
            <w:rStyle w:val="InternetLink"/>
          </w:rPr>
          <w:t>e</w:t>
        </w:r>
      </w:hyperlink>
      <w:hyperlink w:anchor="id55c8df0a38248a4bad3569328277986_7">
        <w:r>
          <w:rPr>
            <w:rStyle w:val="InternetLink"/>
          </w:rPr>
          <w:t xml:space="preserve"> </w:t>
        </w:r>
      </w:hyperlink>
      <w:hyperlink w:anchor="id55c8df0a38248a4bad3569328277986_7">
        <w:r>
          <w:rPr>
            <w:rStyle w:val="InternetLink"/>
          </w:rPr>
          <w:t>o</w:t>
        </w:r>
      </w:hyperlink>
      <w:hyperlink w:anchor="id55c8df0a38248a4bad3569328277986_7">
        <w:r>
          <w:rPr>
            <w:rStyle w:val="InternetLink"/>
          </w:rPr>
          <w:t>f</w:t>
        </w:r>
      </w:hyperlink>
      <w:hyperlink w:anchor="id55c8df0a38248a4bad3569328277986_7">
        <w:r>
          <w:rPr>
            <w:rStyle w:val="InternetLink"/>
          </w:rPr>
          <w:t xml:space="preserve"> </w:t>
        </w:r>
      </w:hyperlink>
      <w:hyperlink w:anchor="id55c8df0a38248a4bad3569328277986_7">
        <w:r>
          <w:rPr>
            <w:rStyle w:val="InternetLink"/>
          </w:rPr>
          <w:t>C</w:t>
        </w:r>
      </w:hyperlink>
      <w:hyperlink w:anchor="id55c8df0a38248a4bad3569328277986_7">
        <w:r>
          <w:rPr>
            <w:rStyle w:val="InternetLink"/>
          </w:rPr>
          <w:t>o</w:t>
        </w:r>
      </w:hyperlink>
      <w:hyperlink w:anchor="id55c8df0a38248a4bad3569328277986_7">
        <w:r>
          <w:rPr>
            <w:rStyle w:val="InternetLink"/>
          </w:rPr>
          <w:t>n</w:t>
        </w:r>
      </w:hyperlink>
      <w:hyperlink w:anchor="id55c8df0a38248a4bad3569328277986_7">
        <w:r>
          <w:rPr>
            <w:rStyle w:val="InternetLink"/>
          </w:rPr>
          <w:t>t</w:t>
        </w:r>
      </w:hyperlink>
      <w:hyperlink w:anchor="id55c8df0a38248a4bad3569328277986_7">
        <w:r>
          <w:rPr>
            <w:rStyle w:val="InternetLink"/>
          </w:rPr>
          <w:t>e</w:t>
        </w:r>
      </w:hyperlink>
      <w:hyperlink w:anchor="id55c8df0a38248a4bad3569328277986_7">
        <w:r>
          <w:rPr>
            <w:rStyle w:val="InternetLink"/>
          </w:rPr>
          <w:t>n</w:t>
        </w:r>
      </w:hyperlink>
      <w:hyperlink w:anchor="id55c8df0a38248a4bad3569328277986_7">
        <w:r>
          <w:rPr>
            <w:rStyle w:val="InternetLink"/>
          </w:rPr>
          <w:t>t</w:t>
        </w:r>
      </w:hyperlink>
      <w:hyperlink w:anchor="id55c8df0a38248a4bad3569328277986_7">
        <w:r>
          <w:rPr>
            <w:rStyle w:val="InternetLink"/>
          </w:rPr>
          <w:t>s</w:t>
        </w:r>
      </w:hyperlink>
      <w:r>
        <w:rPr>
          <w:color w:val="000000"/>
        </w:rPr>
        <w: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repurchased 903,405 Class A Shares, at an average cost per share of $344.71, for $311.4 million, primarily related to minimum tax withholding requirements of share deliveries.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aggregate 1,929,641 Class A Shares repurchased during the three months ended March 31, 2026 were acquired for aggregate purchase consideration of $621.3 million, at an average cost per share of $322.00.</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Private Placement Notes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March 30, 2016, we issued an aggregate of $170.0 million of senior notes, including: $38.0 million aggregate principal amount of our 4.88% Series A Notes which were due and repaid on March 30, 2021, $67.0 million aggregate principal amount of our 5.23% Series B Notes which were originally due March 30, 2023 and prepaid on June 28, 2022, $48.0 million aggregate principal amount of our 5.48% Series C Notes which were due and repaid on March 30, 2026 and $17.0 million aggregate principal amount of our 5.58% Series D Notes, pursuant to the 2016 Note Purchase Agreement, amended on July 10, 2025, among the Company and the purchasers party thereto in a private placement exempt from registration under the Securities Act of 1933.</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August 1, 2019, we issued $175.0 million and £25.0 million of senior unsecured notes through private placement. These notes include: $75.0 million aggregate principal amount of our 4.34% Series E Notes, $60.0 million aggregate principal amount of our 4.44% Series F Notes, $40.0 million aggregate principal amount of our 4.54% Series G Notes and £25.0 million aggregate principal amount of our 3.33% Series H Notes, each of which were issued pursuant to the 2019 Note Purchase Agreement, amended on July 10, 2025, among the Company and the purchasers party thereto in a private placement exempt from registration under the Securities Act of 1933.</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March 29, 2021, we issued $38.0 million aggregate principal amount of our 1.97% Series I Notes which were due and repaid on August 1, 2025, pursuant to the 2021 Note Purchase Agreement, among the Company and the purchasers party thereto in a private placement exempt from registration under the Securities Act of 1933.</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June 28, 2022, we issued $67.0 million aggregate principal amount of our 4.61% Series J Notes, pursuant to the 2022 Note Purchase Agreement, amended on July 10, 2025, among the Company and the purchasers party thereto in a private placement exempt from registration under the Securities Act of 1933.</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24, 2025, we issued an aggregate of $250.0 million of senior notes, including: $125.0 million aggregate principal amount of our 5.17% Series K Notes and $125.0 million aggregate principal amount of our 5.47% Series L Notes, pursuant to the 2025 Note Purchase Agreement, among the Company and the purchasers party thereto in a private placement exempt from registration under the Securities Act of 1933.</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on the above issuances is payable semi-annually and the notes are guaranteed by certain of our domestic subsidiaries. We may, at our option, prepay all, or from time to time any part of, the notes (without regard to Series), in an amount not less than 5% of the aggregate principal amount of each of the individual issuances then outstanding at 100% of the principal amount thereof plus an applicable "make-whole amount." The 2025 Private Placement Notes also allow for prepayment within six months of maturity without an applicable "make-whole amount." Upon the occurrence of a change of control, the holders of the notes will have the right to require us to prepay the entire unpaid principal amounts held by each holder of the notes plus accrued and unpaid interest to the prepayment date. The respective Note Purchase Agreements contain customary covenants, including financial covenants requiring compliance with a maximum leverage ratio, a minimum tangible net worth and a minimum interest coverage ratio, and customary events of default. Interest on the notes is subject to certain escalation provisions in the event that the leverage ratio exceeds certain thresholds. As of March 31, 2026, we were in compliance with all of these covenants.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Lines of Credit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10, 2025, we amended our $85.0 million revolving credit facility East held with PNC such that the aggregate principal amount was increased to up to $225.0 million to be used for working capital and other corporate activities. The facility is unsecured. In addition, the agreement contains certain reporting covenants, as well as certain debt covenants, that prohibit East and us from incurring other indebtedness, subject to specified exceptions. We and our consolidated subsidiaries were in compliance with these covenants as of March 31, 2026. Drawings for this facility bear interest at Daily SOFR plus 130 basis points and the maturity date was extended to July 10, 2028. There were no drawings under this facility at March 31, 2026.</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EGL maintains a subordinated revolving credit facility with PNC, as amended on October 10, 2025, in an aggregate principal amount of up to $75.0 million, to be used as needed in support of capital requirements from time to time of EGL.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d55c8df0a38248a4bad3569328277986_7">
        <w:r>
          <w:rPr>
            <w:rStyle w:val="InternetLink"/>
          </w:rPr>
          <w:t>T</w:t>
        </w:r>
      </w:hyperlink>
      <w:hyperlink w:anchor="id55c8df0a38248a4bad3569328277986_7">
        <w:r>
          <w:rPr>
            <w:rStyle w:val="InternetLink"/>
          </w:rPr>
          <w:t>a</w:t>
        </w:r>
      </w:hyperlink>
      <w:hyperlink w:anchor="id55c8df0a38248a4bad3569328277986_7">
        <w:r>
          <w:rPr>
            <w:rStyle w:val="InternetLink"/>
          </w:rPr>
          <w:t>b</w:t>
        </w:r>
      </w:hyperlink>
      <w:hyperlink w:anchor="id55c8df0a38248a4bad3569328277986_7">
        <w:r>
          <w:rPr>
            <w:rStyle w:val="InternetLink"/>
          </w:rPr>
          <w:t>l</w:t>
        </w:r>
      </w:hyperlink>
      <w:hyperlink w:anchor="id55c8df0a38248a4bad3569328277986_7">
        <w:r>
          <w:rPr>
            <w:rStyle w:val="InternetLink"/>
          </w:rPr>
          <w:t>e</w:t>
        </w:r>
      </w:hyperlink>
      <w:hyperlink w:anchor="id55c8df0a38248a4bad3569328277986_7">
        <w:r>
          <w:rPr>
            <w:rStyle w:val="InternetLink"/>
          </w:rPr>
          <w:t xml:space="preserve"> </w:t>
        </w:r>
      </w:hyperlink>
      <w:hyperlink w:anchor="id55c8df0a38248a4bad3569328277986_7">
        <w:r>
          <w:rPr>
            <w:rStyle w:val="InternetLink"/>
          </w:rPr>
          <w:t>o</w:t>
        </w:r>
      </w:hyperlink>
      <w:hyperlink w:anchor="id55c8df0a38248a4bad3569328277986_7">
        <w:r>
          <w:rPr>
            <w:rStyle w:val="InternetLink"/>
          </w:rPr>
          <w:t>f</w:t>
        </w:r>
      </w:hyperlink>
      <w:hyperlink w:anchor="id55c8df0a38248a4bad3569328277986_7">
        <w:r>
          <w:rPr>
            <w:rStyle w:val="InternetLink"/>
          </w:rPr>
          <w:t xml:space="preserve"> </w:t>
        </w:r>
      </w:hyperlink>
      <w:hyperlink w:anchor="id55c8df0a38248a4bad3569328277986_7">
        <w:r>
          <w:rPr>
            <w:rStyle w:val="InternetLink"/>
          </w:rPr>
          <w:t>C</w:t>
        </w:r>
      </w:hyperlink>
      <w:hyperlink w:anchor="id55c8df0a38248a4bad3569328277986_7">
        <w:r>
          <w:rPr>
            <w:rStyle w:val="InternetLink"/>
          </w:rPr>
          <w:t>o</w:t>
        </w:r>
      </w:hyperlink>
      <w:hyperlink w:anchor="id55c8df0a38248a4bad3569328277986_7">
        <w:r>
          <w:rPr>
            <w:rStyle w:val="InternetLink"/>
          </w:rPr>
          <w:t>n</w:t>
        </w:r>
      </w:hyperlink>
      <w:hyperlink w:anchor="id55c8df0a38248a4bad3569328277986_7">
        <w:r>
          <w:rPr>
            <w:rStyle w:val="InternetLink"/>
          </w:rPr>
          <w:t>t</w:t>
        </w:r>
      </w:hyperlink>
      <w:hyperlink w:anchor="id55c8df0a38248a4bad3569328277986_7">
        <w:r>
          <w:rPr>
            <w:rStyle w:val="InternetLink"/>
          </w:rPr>
          <w:t>e</w:t>
        </w:r>
      </w:hyperlink>
      <w:hyperlink w:anchor="id55c8df0a38248a4bad3569328277986_7">
        <w:r>
          <w:rPr>
            <w:rStyle w:val="InternetLink"/>
          </w:rPr>
          <w:t>n</w:t>
        </w:r>
      </w:hyperlink>
      <w:hyperlink w:anchor="id55c8df0a38248a4bad3569328277986_7">
        <w:r>
          <w:rPr>
            <w:rStyle w:val="InternetLink"/>
          </w:rPr>
          <w:t>t</w:t>
        </w:r>
      </w:hyperlink>
      <w:hyperlink w:anchor="id55c8df0a38248a4bad3569328277986_7">
        <w:r>
          <w:rPr>
            <w:rStyle w:val="InternetLink"/>
          </w:rPr>
          <w:t>s</w:t>
        </w:r>
      </w:hyperlink>
      <w:r>
        <w:rPr>
          <w:color w:val="000000"/>
        </w:rPr>
        <w: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facility is unsecured and is guaranteed by Evercore LP and other affiliates, pursuant to a guaranty agreement, which provides for certain reporting requirements and debt covenants consistent with the PNC Facility. The interest rate provisions are Daily SOFR plus 130 basis points and the maturity date is October 10, 2029. There were no drawings under this facility at March 31, 2026.</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EGL's clearing broker provides temporary funding for the settlement of securities transactions.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Other Commitments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long-term obligations for operating lease commitments, principally related to office space, which expire on various dates through 2035. See Note 9 to our unaudited condensed consolidated financial statements for anticipated current and future payments under these arrangements.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a long-term liability, Amounts Due Pursuant to Tax Receivable Agreements, which requires payments to certain current and former Senior Managing Directors.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deferred compensation and deferred consideration arrangements, we expect to make cash payments in future periods, including related to our Long-term Incentive Plans, Deferred Cash Compensation Program and other deferred compensation arrangements. Further, we make investments to hedge the economic risk of amounts due under our Deferred Cash Compensation Program. For further information, including timing of payments, see Notes 7 and 15 to our unaudited condensed consolidated financial statements.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Certain of our subsidiaries are regulated entities and are subject to capital requirements. For further information see Note 17 to our unaudited condensed consolidated financial statements.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had total commitments (not reflected on our Unaudited Condensed Consolidated Statements of Financial Condition) relating to future capital contributions to private equity funds of $2.5 million as of March 31, 2026 and December 31, 2025. We may be required to fund these commitments at any time through June 2028, depending on the timing and level of investments by the private equity funds. We expect to fund these commitments with cash flows from operations. See Note 16 to our unaudited condensed consolidated financial statements for further information.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entered into commitments to pay additional consideration, including contingent consideration and certain other contingent compensation arrangements, related to our acquisition of Robey Warshaw in 2025. See Notes 5 and 15 to our unaudited condensed consolidated financial statements for further information.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do not invest in any off-balance sheet vehicles that provide liquidity, capital resources, market or credit risk support, or engage in any leasing activities that expose us to any liability that is not reflected in our unaudited condensed consolidated financial statements.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March 31, 2026, our current and former Senior Managing Directors owned an aggregate of approximately 1.2 million vested Class A LP Units, 0.3 million vested Class E LP Units, 0.4 million vested Class I LP Units and 0.8 million vested Class K LP Units. In addition, 0.7 million unvested Class K-P Units, which convert into a number of Class K LP Units based on the achievement of certain market and service conditions and defined benchmark results, were outstanding as of March 31, 2026. We have an obligation to exchange vested Class A, E, I and K LP Units to Class A Common Stock upon the request of the holder.</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Our Unaudited Condensed Consolidated Statement of Financial Condition as of March 31, 2026 included $986.0 million of Cash and Cash Equivalents and $1.04 billion of Investment Securities and Certificates of Deposit, which are generally comprised of highly-liquid investments. For further information regarding other cash commitments and the timing of payments, refer to </w:t>
      </w:r>
      <w:r>
        <w:rPr>
          <w:rFonts w:ascii="Times New Roman;serif" w:hAnsi="Times New Roman;serif"/>
          <w:b w:val="false"/>
          <w:i/>
          <w:color w:val="000000"/>
          <w:sz w:val="20"/>
        </w:rPr>
        <w:t>"General"</w:t>
      </w:r>
      <w:r>
        <w:rPr>
          <w:color w:val="000000"/>
        </w:rPr>
        <w:t xml:space="preserve"> </w:t>
      </w:r>
      <w:r>
        <w:rPr>
          <w:rFonts w:ascii="Times New Roman;serif" w:hAnsi="Times New Roman;serif"/>
          <w:b w:val="false"/>
          <w:color w:val="000000"/>
          <w:sz w:val="20"/>
        </w:rPr>
        <w:t>above.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Market Risk and Credit Risk</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in general, are not a capital-intensive organization and as such, are not subject to significant market or credit risks. Nevertheless, we have established procedures to assess both the market and credit risk, as well as specific investment risk, exchange rate risk and credit risk related to receivables.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d55c8df0a38248a4bad3569328277986_7">
        <w:r>
          <w:rPr>
            <w:rStyle w:val="InternetLink"/>
          </w:rPr>
          <w:t>T</w:t>
        </w:r>
      </w:hyperlink>
      <w:hyperlink w:anchor="id55c8df0a38248a4bad3569328277986_7">
        <w:r>
          <w:rPr>
            <w:rStyle w:val="InternetLink"/>
          </w:rPr>
          <w:t>a</w:t>
        </w:r>
      </w:hyperlink>
      <w:hyperlink w:anchor="id55c8df0a38248a4bad3569328277986_7">
        <w:r>
          <w:rPr>
            <w:rStyle w:val="InternetLink"/>
          </w:rPr>
          <w:t>b</w:t>
        </w:r>
      </w:hyperlink>
      <w:hyperlink w:anchor="id55c8df0a38248a4bad3569328277986_7">
        <w:r>
          <w:rPr>
            <w:rStyle w:val="InternetLink"/>
          </w:rPr>
          <w:t>l</w:t>
        </w:r>
      </w:hyperlink>
      <w:hyperlink w:anchor="id55c8df0a38248a4bad3569328277986_7">
        <w:r>
          <w:rPr>
            <w:rStyle w:val="InternetLink"/>
          </w:rPr>
          <w:t>e</w:t>
        </w:r>
      </w:hyperlink>
      <w:hyperlink w:anchor="id55c8df0a38248a4bad3569328277986_7">
        <w:r>
          <w:rPr>
            <w:rStyle w:val="InternetLink"/>
          </w:rPr>
          <w:t xml:space="preserve"> </w:t>
        </w:r>
      </w:hyperlink>
      <w:hyperlink w:anchor="id55c8df0a38248a4bad3569328277986_7">
        <w:r>
          <w:rPr>
            <w:rStyle w:val="InternetLink"/>
          </w:rPr>
          <w:t>o</w:t>
        </w:r>
      </w:hyperlink>
      <w:hyperlink w:anchor="id55c8df0a38248a4bad3569328277986_7">
        <w:r>
          <w:rPr>
            <w:rStyle w:val="InternetLink"/>
          </w:rPr>
          <w:t>f</w:t>
        </w:r>
      </w:hyperlink>
      <w:hyperlink w:anchor="id55c8df0a38248a4bad3569328277986_7">
        <w:r>
          <w:rPr>
            <w:rStyle w:val="InternetLink"/>
          </w:rPr>
          <w:t xml:space="preserve"> </w:t>
        </w:r>
      </w:hyperlink>
      <w:hyperlink w:anchor="id55c8df0a38248a4bad3569328277986_7">
        <w:r>
          <w:rPr>
            <w:rStyle w:val="InternetLink"/>
          </w:rPr>
          <w:t>C</w:t>
        </w:r>
      </w:hyperlink>
      <w:hyperlink w:anchor="id55c8df0a38248a4bad3569328277986_7">
        <w:r>
          <w:rPr>
            <w:rStyle w:val="InternetLink"/>
          </w:rPr>
          <w:t>o</w:t>
        </w:r>
      </w:hyperlink>
      <w:hyperlink w:anchor="id55c8df0a38248a4bad3569328277986_7">
        <w:r>
          <w:rPr>
            <w:rStyle w:val="InternetLink"/>
          </w:rPr>
          <w:t>n</w:t>
        </w:r>
      </w:hyperlink>
      <w:hyperlink w:anchor="id55c8df0a38248a4bad3569328277986_7">
        <w:r>
          <w:rPr>
            <w:rStyle w:val="InternetLink"/>
          </w:rPr>
          <w:t>t</w:t>
        </w:r>
      </w:hyperlink>
      <w:hyperlink w:anchor="id55c8df0a38248a4bad3569328277986_7">
        <w:r>
          <w:rPr>
            <w:rStyle w:val="InternetLink"/>
          </w:rPr>
          <w:t>e</w:t>
        </w:r>
      </w:hyperlink>
      <w:hyperlink w:anchor="id55c8df0a38248a4bad3569328277986_7">
        <w:r>
          <w:rPr>
            <w:rStyle w:val="InternetLink"/>
          </w:rPr>
          <w:t>n</w:t>
        </w:r>
      </w:hyperlink>
      <w:hyperlink w:anchor="id55c8df0a38248a4bad3569328277986_7">
        <w:r>
          <w:rPr>
            <w:rStyle w:val="InternetLink"/>
          </w:rPr>
          <w:t>t</w:t>
        </w:r>
      </w:hyperlink>
      <w:hyperlink w:anchor="id55c8df0a38248a4bad3569328277986_7">
        <w:r>
          <w:rPr>
            <w:rStyle w:val="InternetLink"/>
          </w:rPr>
          <w:t>s</w:t>
        </w:r>
      </w:hyperlink>
      <w:r>
        <w:rPr>
          <w:color w:val="000000"/>
        </w:rPr>
        <w:t>                                              </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Market and Investment Risk</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hold equity securities and invest in exchange-traded funds principally as an economic hedge against our deferred cash compensation program. As of March 31, 2026, the fair value of our investments with these products, based on closing prices, was $143.1 million. We had net realized and unrealized losses of ($7.2) million for the three months ended March 31, 2026, from our exchange-traded funds portfolio. See Note 7 to our unaudited condensed consolidated financial statements for further information.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estimate that a hypothetical 10%, 20% and 30% adverse change in the market value of the investments would have resulted in a decrease in pre-tax income of approximately $14.3 million, $28.6 million and $42.9 million, respectively, for the three months ended March 31, 2026.</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Private Equity Funds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Through our principal investments in private equity funds and our ability to earn carried interest from these funds, we face exposure to changes in the estimated fair value of the companies in which these funds invest. Valuations and analysis regarding our investments in Trilantic and Glisco are performed by their respective professionals, and thus we are not involved in determining the fair value for the portfolio companies of such funds. See Note 8 to our unaudited condensed consolidated financial statements for further information.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estimate that a hypothetical 10% adverse change in the value of the private equity funds would have resulted in a decrease in pre-tax income of approximately $0.2 million for the three months ended March 31, 2026.</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Exchange Rate Risk</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have foreign operations, through our subsidiaries and affiliates, primarily in Europe and Asia, as well as provide services to clients in other jurisdictions, which creates foreign exchange rate risk. We have not entered into any transactions to hedge our exposure to foreign exchange fluctuations in these subsidiaries through the use of derivative instruments or otherwise. An appreciation or depreciation of any of these currencies relative to the U.S. dollar would result in an adverse or beneficial impact to our financial results. A significant portion of our non-U.S. revenues and expenses have been, and will continue to be, derived from contracts denominated in foreign currencies (i.e. British Pounds sterling, Euros, Singapore dollars, among others). Historically, the value of these foreign currencies has fluctuated relative to the U.S. dollar. For the three months ended March 31, 2026, the net impact of the fluctuation of foreign currencies recorded in Other Comprehensive Income (Loss) within the Unaudited Condensed Consolidated Statement of Comprehensive Income was a loss of $10.8 million, net of tax. It is generally not our intention to hedge our foreign currency exposure in these subsidiaries, and we will reevaluate this policy from time to time. </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Credit Risks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maintain cash and cash equivalents, as well as certificates of deposit, with financial institutions with high credit ratings. At times, we may maintain deposits in federally insured financial institutions in excess of federally insured ("FDIC") limits or enter into sweep arrangements where banks will periodically transfer a portion of our excess cash position to a money market fund. However, we believe that we are not exposed to significant credit risk due to the financial position of the depository institutions or investment vehicles in which those deposits are held.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Accounts Receivable consists primarily of advisory fees and expense reimbursements billed to our clients. Other Assets includes long-term receivables primarily from certain fees related to private funds capital raising and the private capital businesses. Receivables are reported net of any allowance for credit losses. We maintain an allowance for credit losses to provide coverage for probable losses from our customer receivables and determine the adequacy of the allowance by estimating the probability of loss based on our analysis of historical credit loss experience of our client receivables, and taking into consideration current market conditions and reasonable and supportable forecasts that affect the collectability of the reported amount. Our receivables collection periods generally are within 90 days of invoice, with the exception of placement fees, which are generally collected within 180 days of invoice, and certain fees primarily related to private funds capital raising and the private capital businesses, a portion of which may be collected in a period exceeding one year. The collection period for liability management and restructuring transaction receivables may exceed 90 days. We reversed bad debt expense of $0.1 million for the three months ended March 31, 2026 and recorded bad debt expense of $2.6 million for the three months ended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d55c8df0a38248a4bad3569328277986_7">
        <w:r>
          <w:rPr>
            <w:rStyle w:val="InternetLink"/>
          </w:rPr>
          <w:t>T</w:t>
        </w:r>
      </w:hyperlink>
      <w:hyperlink w:anchor="id55c8df0a38248a4bad3569328277986_7">
        <w:r>
          <w:rPr>
            <w:rStyle w:val="InternetLink"/>
          </w:rPr>
          <w:t>a</w:t>
        </w:r>
      </w:hyperlink>
      <w:hyperlink w:anchor="id55c8df0a38248a4bad3569328277986_7">
        <w:r>
          <w:rPr>
            <w:rStyle w:val="InternetLink"/>
          </w:rPr>
          <w:t>b</w:t>
        </w:r>
      </w:hyperlink>
      <w:hyperlink w:anchor="id55c8df0a38248a4bad3569328277986_7">
        <w:r>
          <w:rPr>
            <w:rStyle w:val="InternetLink"/>
          </w:rPr>
          <w:t>l</w:t>
        </w:r>
      </w:hyperlink>
      <w:hyperlink w:anchor="id55c8df0a38248a4bad3569328277986_7">
        <w:r>
          <w:rPr>
            <w:rStyle w:val="InternetLink"/>
          </w:rPr>
          <w:t>e</w:t>
        </w:r>
      </w:hyperlink>
      <w:hyperlink w:anchor="id55c8df0a38248a4bad3569328277986_7">
        <w:r>
          <w:rPr>
            <w:rStyle w:val="InternetLink"/>
          </w:rPr>
          <w:t xml:space="preserve"> </w:t>
        </w:r>
      </w:hyperlink>
      <w:hyperlink w:anchor="id55c8df0a38248a4bad3569328277986_7">
        <w:r>
          <w:rPr>
            <w:rStyle w:val="InternetLink"/>
          </w:rPr>
          <w:t>o</w:t>
        </w:r>
      </w:hyperlink>
      <w:hyperlink w:anchor="id55c8df0a38248a4bad3569328277986_7">
        <w:r>
          <w:rPr>
            <w:rStyle w:val="InternetLink"/>
          </w:rPr>
          <w:t>f</w:t>
        </w:r>
      </w:hyperlink>
      <w:hyperlink w:anchor="id55c8df0a38248a4bad3569328277986_7">
        <w:r>
          <w:rPr>
            <w:rStyle w:val="InternetLink"/>
          </w:rPr>
          <w:t xml:space="preserve"> </w:t>
        </w:r>
      </w:hyperlink>
      <w:hyperlink w:anchor="id55c8df0a38248a4bad3569328277986_7">
        <w:r>
          <w:rPr>
            <w:rStyle w:val="InternetLink"/>
          </w:rPr>
          <w:t>C</w:t>
        </w:r>
      </w:hyperlink>
      <w:hyperlink w:anchor="id55c8df0a38248a4bad3569328277986_7">
        <w:r>
          <w:rPr>
            <w:rStyle w:val="InternetLink"/>
          </w:rPr>
          <w:t>o</w:t>
        </w:r>
      </w:hyperlink>
      <w:hyperlink w:anchor="id55c8df0a38248a4bad3569328277986_7">
        <w:r>
          <w:rPr>
            <w:rStyle w:val="InternetLink"/>
          </w:rPr>
          <w:t>n</w:t>
        </w:r>
      </w:hyperlink>
      <w:hyperlink w:anchor="id55c8df0a38248a4bad3569328277986_7">
        <w:r>
          <w:rPr>
            <w:rStyle w:val="InternetLink"/>
          </w:rPr>
          <w:t>t</w:t>
        </w:r>
      </w:hyperlink>
      <w:hyperlink w:anchor="id55c8df0a38248a4bad3569328277986_7">
        <w:r>
          <w:rPr>
            <w:rStyle w:val="InternetLink"/>
          </w:rPr>
          <w:t>e</w:t>
        </w:r>
      </w:hyperlink>
      <w:hyperlink w:anchor="id55c8df0a38248a4bad3569328277986_7">
        <w:r>
          <w:rPr>
            <w:rStyle w:val="InternetLink"/>
          </w:rPr>
          <w:t>n</w:t>
        </w:r>
      </w:hyperlink>
      <w:hyperlink w:anchor="id55c8df0a38248a4bad3569328277986_7">
        <w:r>
          <w:rPr>
            <w:rStyle w:val="InternetLink"/>
          </w:rPr>
          <w:t>t</w:t>
        </w:r>
      </w:hyperlink>
      <w:hyperlink w:anchor="id55c8df0a38248a4bad3569328277986_7">
        <w:r>
          <w:rPr>
            <w:rStyle w:val="InternetLink"/>
          </w:rPr>
          <w:t>s</w:t>
        </w:r>
      </w:hyperlink>
      <w:r>
        <w:rPr>
          <w:color w:val="000000"/>
        </w:rPr>
        <w:t>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and December 31, 2025, total receivables recorded in Accounts Receivable amounted to $546.6 million and $555.8 million, respectively, net of an allowance for credit losses, and total receivables recorded in Other Assets amounted to $143.6 million and $129.9 million, respectively.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Current Assets and Other Assets include arrangements in which an estimate of variable consideration has been included in the transaction price and thereby recognized as revenue that precedes the contractual due date (contract assets). As of March 31, 2026, total contract assets recorded in Other Current Assets and Other Assets amounted to $61.6 million and $31.5 million, respectively. As of December 31, 2025, total contract assets recorded in Other Current Assets and Other Assets amounted to $147.4 million and $27.9 million, respectively.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With respect to our Investment Securities portfolio, which is comprised primarily of U.S. Treasury securities, exchange-traded funds and securities investments, we manage our credit risk exposure by limiting concentration risk and maintaining investment grade credit quality. As of March 31, 2026, we had Investment Securities of $836.7 million, of which 83% were U.S. Treasury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included in this report are prepared in conformity with U.S. GAAP, which requires management to make estimates and assumptions regarding future events that affect the amounts reported in our consolidated financial statements and their notes, including reported amounts of assets, liabilities, revenue and expenses, and related disclosure of contingent assets and liabilities. We base these estimates on historical experience and various other assumptions that we believe to be reasonable under the circumstances. Actual results could differ materially from those estimates. For a discussion of our critical accounting policies and estimates, refer to our Annual Report on Form 10-K for the year ended December 31, 2025.</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Recently Issued Accounting Standards</w:t>
      </w:r>
    </w:p>
    <w:p>
      <w:pPr>
        <w:pStyle w:val="TextBody"/>
        <w:bidi w:val="0"/>
        <w:spacing w:lineRule="auto" w:line="288" w:before="180" w:after="1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a discussion of recently issued accounting standards and their impact or potential impact on our consolidated financial statements, see Note 3 to our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938" w:type="dxa"/>
        <w:jc w:val="center"/>
        <w:tblInd w:w="0" w:type="dxa"/>
        <w:tblLayout w:type="fixed"/>
        <w:tblCellMar>
          <w:top w:w="28" w:type="dxa"/>
          <w:left w:w="28" w:type="dxa"/>
          <w:bottom w:w="28" w:type="dxa"/>
          <w:right w:w="28" w:type="dxa"/>
        </w:tblCellMar>
      </w:tblPr>
      <w:tblGrid>
        <w:gridCol w:w="255"/>
        <w:gridCol w:w="223"/>
        <w:gridCol w:w="226"/>
        <w:gridCol w:w="1532"/>
        <w:gridCol w:w="1532"/>
        <w:gridCol w:w="2170"/>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Quantitative and Qualitative Disclosures About Market Risk</w:t>
            </w:r>
          </w:p>
        </w:tc>
      </w:tr>
    </w:tbl>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"Management's Discussion and Analysis of Financial Condition and Results of Operations – Market Risk and Credit Risk." We do not believe we face any material interest rate risk, foreign currency exchange risk, equity price risk or other market risk except as disclosed in Item 2 " – Market Risk and Credit Risk"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955" w:type="dxa"/>
        <w:jc w:val="center"/>
        <w:tblInd w:w="0" w:type="dxa"/>
        <w:tblLayout w:type="fixed"/>
        <w:tblCellMar>
          <w:top w:w="28" w:type="dxa"/>
          <w:left w:w="28" w:type="dxa"/>
          <w:bottom w:w="28" w:type="dxa"/>
          <w:right w:w="28" w:type="dxa"/>
        </w:tblCellMar>
      </w:tblPr>
      <w:tblGrid>
        <w:gridCol w:w="255"/>
        <w:gridCol w:w="224"/>
        <w:gridCol w:w="226"/>
        <w:gridCol w:w="658"/>
        <w:gridCol w:w="658"/>
        <w:gridCol w:w="934"/>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Controls and Procedures</w:t>
            </w:r>
          </w:p>
        </w:tc>
      </w:tr>
    </w:tbl>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Conclusion Regarding the Effectiveness of Disclosure Controls and Procedures</w:t>
      </w:r>
    </w:p>
    <w:p>
      <w:pPr>
        <w:pStyle w:val="TextBody"/>
        <w:bidi w:val="0"/>
        <w:spacing w:lineRule="auto" w:line="288" w:before="264" w:after="2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Any controls and procedures, no matter how well designed and operated, can provide only reasonable assurance of achieving the desired control objectives. Our management, with the participation of our Chief Executive Officer and Chief Financial Officer, has evaluated the effectiveness of the design and operation of our disclosure controls and procedures pursuant to Rule 13a-15 under the Exchange Act as of the end of the period covered by this report. Based upon that evaluation and subject to the foregoing, our Chief Executive Officer and Chief Financial Officer concluded that, as of the end of the period covered by this report, the design and operation of our disclosure controls and procedures (as defined in Rule 13a-15(e) under the Exchange Act) were effective to accomplish their objectives at the reasonable assurance level.</w:t>
      </w:r>
    </w:p>
    <w:p>
      <w:pPr>
        <w:pStyle w:val="TextBody"/>
        <w:bidi w:val="0"/>
        <w:spacing w:lineRule="auto" w:line="288" w:before="264" w:after="200"/>
        <w:jc w:val="both"/>
        <w:rPr>
          <w:rFonts w:ascii="Times New Roman;serif" w:hAnsi="Times New Roman;serif"/>
          <w:b/>
          <w:color w:val="000000"/>
          <w:sz w:val="20"/>
        </w:rPr>
      </w:pPr>
      <w:r>
        <w:rPr>
          <w:rFonts w:ascii="Times New Roman;serif" w:hAnsi="Times New Roman;serif"/>
          <w:b/>
          <w:color w:val="000000"/>
          <w:sz w:val="20"/>
        </w:rPr>
        <w:t>Changes in Internal Controls over Financial Reporting</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not made any changes during the three months ended March 31, 2026 that have materially affected, or are reasonably likely to materially affect, our internal control over financial reporting (as defined in Rule 13a-15(f) under the Exchange Act).</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d55c8df0a38248a4bad3569328277986_7">
        <w:r>
          <w:rPr>
            <w:rStyle w:val="InternetLink"/>
          </w:rPr>
          <w:t>T</w:t>
        </w:r>
      </w:hyperlink>
      <w:hyperlink w:anchor="id55c8df0a38248a4bad3569328277986_7">
        <w:r>
          <w:rPr>
            <w:rStyle w:val="InternetLink"/>
          </w:rPr>
          <w:t>a</w:t>
        </w:r>
      </w:hyperlink>
      <w:hyperlink w:anchor="id55c8df0a38248a4bad3569328277986_7">
        <w:r>
          <w:rPr>
            <w:rStyle w:val="InternetLink"/>
          </w:rPr>
          <w:t>b</w:t>
        </w:r>
      </w:hyperlink>
      <w:hyperlink w:anchor="id55c8df0a38248a4bad3569328277986_7">
        <w:r>
          <w:rPr>
            <w:rStyle w:val="InternetLink"/>
          </w:rPr>
          <w:t>l</w:t>
        </w:r>
      </w:hyperlink>
      <w:hyperlink w:anchor="id55c8df0a38248a4bad3569328277986_7">
        <w:r>
          <w:rPr>
            <w:rStyle w:val="InternetLink"/>
          </w:rPr>
          <w:t>e</w:t>
        </w:r>
      </w:hyperlink>
      <w:hyperlink w:anchor="id55c8df0a38248a4bad3569328277986_7">
        <w:r>
          <w:rPr>
            <w:rStyle w:val="InternetLink"/>
          </w:rPr>
          <w:t xml:space="preserve"> </w:t>
        </w:r>
      </w:hyperlink>
      <w:hyperlink w:anchor="id55c8df0a38248a4bad3569328277986_7">
        <w:r>
          <w:rPr>
            <w:rStyle w:val="InternetLink"/>
          </w:rPr>
          <w:t>o</w:t>
        </w:r>
      </w:hyperlink>
      <w:hyperlink w:anchor="id55c8df0a38248a4bad3569328277986_7">
        <w:r>
          <w:rPr>
            <w:rStyle w:val="InternetLink"/>
          </w:rPr>
          <w:t>f</w:t>
        </w:r>
      </w:hyperlink>
      <w:hyperlink w:anchor="id55c8df0a38248a4bad3569328277986_7">
        <w:r>
          <w:rPr>
            <w:rStyle w:val="InternetLink"/>
          </w:rPr>
          <w:t xml:space="preserve"> </w:t>
        </w:r>
      </w:hyperlink>
      <w:hyperlink w:anchor="id55c8df0a38248a4bad3569328277986_7">
        <w:r>
          <w:rPr>
            <w:rStyle w:val="InternetLink"/>
          </w:rPr>
          <w:t>C</w:t>
        </w:r>
      </w:hyperlink>
      <w:hyperlink w:anchor="id55c8df0a38248a4bad3569328277986_7">
        <w:r>
          <w:rPr>
            <w:rStyle w:val="InternetLink"/>
          </w:rPr>
          <w:t>o</w:t>
        </w:r>
      </w:hyperlink>
      <w:hyperlink w:anchor="id55c8df0a38248a4bad3569328277986_7">
        <w:r>
          <w:rPr>
            <w:rStyle w:val="InternetLink"/>
          </w:rPr>
          <w:t>n</w:t>
        </w:r>
      </w:hyperlink>
      <w:hyperlink w:anchor="id55c8df0a38248a4bad3569328277986_7">
        <w:r>
          <w:rPr>
            <w:rStyle w:val="InternetLink"/>
          </w:rPr>
          <w:t>t</w:t>
        </w:r>
      </w:hyperlink>
      <w:hyperlink w:anchor="id55c8df0a38248a4bad3569328277986_7">
        <w:r>
          <w:rPr>
            <w:rStyle w:val="InternetLink"/>
          </w:rPr>
          <w:t>e</w:t>
        </w:r>
      </w:hyperlink>
      <w:hyperlink w:anchor="id55c8df0a38248a4bad3569328277986_7">
        <w:r>
          <w:rPr>
            <w:rStyle w:val="InternetLink"/>
          </w:rPr>
          <w:t>n</w:t>
        </w:r>
      </w:hyperlink>
      <w:hyperlink w:anchor="id55c8df0a38248a4bad3569328277986_7">
        <w:r>
          <w:rPr>
            <w:rStyle w:val="InternetLink"/>
          </w:rPr>
          <w:t>t</w:t>
        </w:r>
      </w:hyperlink>
      <w:hyperlink w:anchor="id55c8df0a38248a4bad3569328277986_7">
        <w:r>
          <w:rPr>
            <w:rStyle w:val="InternetLink"/>
          </w:rPr>
          <w:t>s</w:t>
        </w:r>
      </w:hyperlink>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428" w:type="dxa"/>
        <w:jc w:val="center"/>
        <w:tblInd w:w="0" w:type="dxa"/>
        <w:tblLayout w:type="fixed"/>
        <w:tblCellMar>
          <w:top w:w="28" w:type="dxa"/>
          <w:left w:w="28" w:type="dxa"/>
          <w:bottom w:w="28" w:type="dxa"/>
          <w:right w:w="28" w:type="dxa"/>
        </w:tblCellMar>
      </w:tblPr>
      <w:tblGrid>
        <w:gridCol w:w="255"/>
        <w:gridCol w:w="223"/>
        <w:gridCol w:w="226"/>
        <w:gridCol w:w="504"/>
        <w:gridCol w:w="504"/>
        <w:gridCol w:w="716"/>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Legal Proceedings</w:t>
            </w:r>
          </w:p>
        </w:tc>
      </w:tr>
    </w:tbl>
    <w:p>
      <w:pPr>
        <w:pStyle w:val="TextBody"/>
        <w:bidi w:val="0"/>
        <w:spacing w:lineRule="auto" w:line="288" w:before="100" w:after="283"/>
        <w:ind w:left="0" w:right="0" w:firstLine="450"/>
        <w:jc w:val="both"/>
        <w:rPr/>
      </w:pPr>
      <w:r>
        <w:rPr>
          <w:rFonts w:ascii="Times New Roman;serif" w:hAnsi="Times New Roman;serif"/>
          <w:b w:val="false"/>
          <w:color w:val="000000"/>
          <w:sz w:val="20"/>
        </w:rPr>
        <w:t>In the normal course of business, from time to time, the Company and its affiliates are involved in judicial or regulatory proceedings, arbitration or mediation concerning matters arising in connection with the conduct of its businesses, including contractual and employment matters. In addition, United Kingdom, German, Hong Kong, Singapore, Canadian, Dubai, Saudi, Indonesian and United States government agencies and self-regulatory organizations, as well as state securities commissions in the United States, conduct periodic examinations and initiate administrative proceedings regarding the Company's business, including, among other matters, accounting and operational matters, that can result in censure, fine, the issuance of cease-and-desist orders or the suspension or expulsion of a broker-dealer, investment advisor, or its directors, officers or employees. In view of the inherent difficulty of determining whether any loss in connection with such matters is probable and whether the amount of such loss can be reasonably estimated, particularly in cases where claimants seek substantial or indeterminate damages or where investigations and proceedings are in the early stages, the Company cannot estimate the amount of such loss or range of loss, if any, related to such matters, how or if such matters will be resolved, when they will ultimately be resolved, or what the eventual settlement, fine, penalty or other relief, if any, might be. Subject to the foregoing, the Company believes, based on current knowledge and after consultation with counsel, that it is not currently party to any material pending proceedings, individually or in the aggregate, the resolution of which would have a material effect on the Company. Provisions for losses are established in accordance with ASC 450</w:t>
      </w:r>
      <w:r>
        <w:rPr>
          <w:color w:val="000000"/>
        </w:rPr>
        <w:t xml:space="preserve"> </w:t>
      </w:r>
      <w:r>
        <w:rPr>
          <w:rFonts w:ascii="Times New Roman;serif" w:hAnsi="Times New Roman;serif"/>
          <w:b w:val="false"/>
          <w:color w:val="000000"/>
          <w:sz w:val="20"/>
        </w:rPr>
        <w:t>when warranted</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Once established, such provisions are adjusted when there is more information available or when an event occurs requiring a 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849" w:type="dxa"/>
        <w:jc w:val="center"/>
        <w:tblInd w:w="0" w:type="dxa"/>
        <w:tblLayout w:type="fixed"/>
        <w:tblCellMar>
          <w:top w:w="28" w:type="dxa"/>
          <w:left w:w="28" w:type="dxa"/>
          <w:bottom w:w="28" w:type="dxa"/>
          <w:right w:w="28" w:type="dxa"/>
        </w:tblCellMar>
      </w:tblPr>
      <w:tblGrid>
        <w:gridCol w:w="255"/>
        <w:gridCol w:w="223"/>
        <w:gridCol w:w="226"/>
        <w:gridCol w:w="1507"/>
        <w:gridCol w:w="1507"/>
        <w:gridCol w:w="2131"/>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Unregistered Sales of Equity Securities and Use of Proceeds</w:t>
            </w:r>
          </w:p>
        </w:tc>
      </w:tr>
    </w:tbl>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Issuer Purchases of Equity Securities</w:t>
      </w:r>
    </w:p>
    <w:tbl>
      <w:tblPr>
        <w:tblW w:w="10205" w:type="dxa"/>
        <w:jc w:val="left"/>
        <w:tblInd w:w="0" w:type="dxa"/>
        <w:tblLayout w:type="fixed"/>
        <w:tblCellMar>
          <w:top w:w="28" w:type="dxa"/>
          <w:left w:w="28" w:type="dxa"/>
          <w:bottom w:w="28" w:type="dxa"/>
          <w:right w:w="28" w:type="dxa"/>
        </w:tblCellMar>
      </w:tblPr>
      <w:tblGrid>
        <w:gridCol w:w="445"/>
        <w:gridCol w:w="325"/>
        <w:gridCol w:w="331"/>
        <w:gridCol w:w="109"/>
        <w:gridCol w:w="109"/>
        <w:gridCol w:w="109"/>
        <w:gridCol w:w="488"/>
        <w:gridCol w:w="488"/>
        <w:gridCol w:w="446"/>
        <w:gridCol w:w="109"/>
        <w:gridCol w:w="109"/>
        <w:gridCol w:w="109"/>
        <w:gridCol w:w="259"/>
        <w:gridCol w:w="890"/>
        <w:gridCol w:w="135"/>
        <w:gridCol w:w="109"/>
        <w:gridCol w:w="109"/>
        <w:gridCol w:w="109"/>
        <w:gridCol w:w="960"/>
        <w:gridCol w:w="655"/>
        <w:gridCol w:w="657"/>
        <w:gridCol w:w="109"/>
        <w:gridCol w:w="109"/>
        <w:gridCol w:w="109"/>
        <w:gridCol w:w="1015"/>
        <w:gridCol w:w="743"/>
        <w:gridCol w:w="1060"/>
      </w:tblGrid>
      <w:tr>
        <w:trPr/>
        <w:tc>
          <w:tcPr>
            <w:tcW w:w="44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r>
      <w:tr>
        <w:trPr/>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w:t>
              <w:br/>
              <w:t>Shares (or Units)</w:t>
              <w:br/>
              <w:t>Purchased(1)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w:t>
              <w:br/>
              <w:t>Paid Per Share(2)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(or Units) Purchased as Part of Publicly Announced Plans or Programs(3)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Number (or Approximate Dollar Value) of Shares (or Units) that May Yet Be Purchased Under the Plans or Programs(3)</w:t>
            </w:r>
          </w:p>
        </w:tc>
      </w:tr>
      <w:tr>
        <w:trPr/>
        <w:tc>
          <w:tcPr>
            <w:tcW w:w="11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to January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9,884 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342.99 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7,195,462 </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 to February 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1,291,150 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428,708 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6,766,754 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 to March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628,607 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597,528 </w:t>
            </w:r>
          </w:p>
        </w:tc>
        <w:tc>
          <w:tcPr>
            <w:tcW w:w="6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6,169,226 </w:t>
            </w:r>
          </w:p>
        </w:tc>
        <w:tc>
          <w:tcPr>
            <w:tcW w:w="10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January 1 to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1,929,641 </w:t>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322.00 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1,026,236 </w:t>
            </w:r>
          </w:p>
        </w:tc>
        <w:tc>
          <w:tcPr>
            <w:tcW w:w="6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6,169,226 </w:t>
            </w:r>
          </w:p>
        </w:tc>
        <w:tc>
          <w:tcPr>
            <w:tcW w:w="10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8" w:type="dxa"/>
            <w:gridSpan w:val="3"/>
            <w:tcBorders/>
            <w:vAlign w:val="center"/>
          </w:tcPr>
          <w:p>
            <w:pPr>
              <w:pStyle w:val="TableContents"/>
              <w:bidi w:val="0"/>
              <w:spacing w:before="0" w:after="283"/>
              <w:jc w:val="left"/>
              <w:rPr>
                <w:sz w:val="4"/>
                <w:szCs w:val="4"/>
              </w:rPr>
            </w:pPr>
            <w:r>
              <w:rPr>
                <w:sz w:val="4"/>
                <w:szCs w:val="4"/>
              </w:rPr>
            </w:r>
          </w:p>
        </w:tc>
      </w:tr>
      <w:tr>
        <w:trPr/>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8" w:type="dxa"/>
            <w:gridSpan w:val="3"/>
            <w:tcBorders/>
            <w:vAlign w:val="center"/>
          </w:tcPr>
          <w:p>
            <w:pPr>
              <w:pStyle w:val="TableContents"/>
              <w:bidi w:val="0"/>
              <w:spacing w:before="0" w:after="283"/>
              <w:jc w:val="left"/>
              <w:rPr>
                <w:sz w:val="4"/>
                <w:szCs w:val="4"/>
              </w:rPr>
            </w:pPr>
            <w:r>
              <w:rPr>
                <w:sz w:val="4"/>
                <w:szCs w:val="4"/>
              </w:rPr>
            </w:r>
          </w:p>
        </w:tc>
      </w:tr>
      <w:tr>
        <w:trPr/>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8" w:type="dxa"/>
            <w:gridSpan w:val="3"/>
            <w:tcBorders/>
            <w:vAlign w:val="center"/>
          </w:tcPr>
          <w:p>
            <w:pPr>
              <w:pStyle w:val="TableContents"/>
              <w:bidi w:val="0"/>
              <w:spacing w:before="0" w:after="283"/>
              <w:jc w:val="left"/>
              <w:rPr>
                <w:sz w:val="4"/>
                <w:szCs w:val="4"/>
              </w:rPr>
            </w:pPr>
            <w:r>
              <w:rPr>
                <w:sz w:val="4"/>
                <w:szCs w:val="4"/>
              </w:rPr>
            </w:r>
          </w:p>
        </w:tc>
      </w:tr>
      <w:tr>
        <w:trPr/>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8" w:type="dxa"/>
            <w:gridSpan w:val="3"/>
            <w:tcBorders/>
            <w:vAlign w:val="center"/>
          </w:tcPr>
          <w:p>
            <w:pPr>
              <w:pStyle w:val="TableContents"/>
              <w:bidi w:val="0"/>
              <w:spacing w:before="0" w:after="283"/>
              <w:jc w:val="left"/>
              <w:rPr>
                <w:sz w:val="4"/>
                <w:szCs w:val="4"/>
              </w:rPr>
            </w:pPr>
            <w:r>
              <w:rPr>
                <w:sz w:val="4"/>
                <w:szCs w:val="4"/>
              </w:rPr>
            </w:r>
          </w:p>
        </w:tc>
      </w:tr>
      <w:tr>
        <w:trPr/>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8" w:type="dxa"/>
            <w:gridSpan w:val="3"/>
            <w:tcBorders/>
            <w:vAlign w:val="center"/>
          </w:tcPr>
          <w:p>
            <w:pPr>
              <w:pStyle w:val="TableContents"/>
              <w:bidi w:val="0"/>
              <w:spacing w:before="0" w:after="283"/>
              <w:jc w:val="left"/>
              <w:rPr>
                <w:sz w:val="4"/>
                <w:szCs w:val="4"/>
              </w:rPr>
            </w:pPr>
            <w:r>
              <w:rPr>
                <w:sz w:val="4"/>
                <w:szCs w:val="4"/>
              </w:rPr>
            </w:r>
          </w:p>
        </w:tc>
      </w:tr>
      <w:tr>
        <w:trPr/>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8" w:type="dxa"/>
            <w:gridSpan w:val="3"/>
            <w:tcBorders/>
            <w:vAlign w:val="center"/>
          </w:tcPr>
          <w:p>
            <w:pPr>
              <w:pStyle w:val="TableContents"/>
              <w:bidi w:val="0"/>
              <w:spacing w:before="0" w:after="283"/>
              <w:jc w:val="left"/>
              <w:rPr>
                <w:sz w:val="4"/>
                <w:szCs w:val="4"/>
              </w:rPr>
            </w:pPr>
            <w:r>
              <w:rPr>
                <w:sz w:val="4"/>
                <w:szCs w:val="4"/>
              </w:rPr>
            </w:r>
          </w:p>
        </w:tc>
      </w:tr>
      <w:tr>
        <w:trPr/>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8" w:type="dxa"/>
            <w:gridSpan w:val="3"/>
            <w:tcBorders/>
            <w:vAlign w:val="center"/>
          </w:tcPr>
          <w:p>
            <w:pPr>
              <w:pStyle w:val="TableContents"/>
              <w:bidi w:val="0"/>
              <w:spacing w:before="0" w:after="283"/>
              <w:jc w:val="left"/>
              <w:rPr>
                <w:sz w:val="4"/>
                <w:szCs w:val="4"/>
              </w:rPr>
            </w:pPr>
            <w:r>
              <w:rPr>
                <w:sz w:val="4"/>
                <w:szCs w:val="4"/>
              </w:rPr>
            </w:r>
          </w:p>
        </w:tc>
      </w:tr>
      <w:tr>
        <w:trPr/>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8" w:type="dxa"/>
            <w:gridSpan w:val="3"/>
            <w:tcBorders/>
            <w:vAlign w:val="center"/>
          </w:tcPr>
          <w:p>
            <w:pPr>
              <w:pStyle w:val="TableContents"/>
              <w:bidi w:val="0"/>
              <w:spacing w:before="0" w:after="283"/>
              <w:jc w:val="left"/>
              <w:rPr>
                <w:sz w:val="4"/>
                <w:szCs w:val="4"/>
              </w:rPr>
            </w:pPr>
            <w:r>
              <w:rPr>
                <w:sz w:val="4"/>
                <w:szCs w:val="4"/>
              </w:rPr>
            </w:r>
          </w:p>
        </w:tc>
      </w:tr>
      <w:tr>
        <w:trPr/>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8" w:type="dxa"/>
            <w:gridSpan w:val="3"/>
            <w:tcBorders/>
            <w:vAlign w:val="center"/>
          </w:tcPr>
          <w:p>
            <w:pPr>
              <w:pStyle w:val="TableContents"/>
              <w:bidi w:val="0"/>
              <w:spacing w:before="0" w:after="283"/>
              <w:jc w:val="left"/>
              <w:rPr>
                <w:sz w:val="4"/>
                <w:szCs w:val="4"/>
              </w:rPr>
            </w:pPr>
            <w:r>
              <w:rPr>
                <w:sz w:val="4"/>
                <w:szCs w:val="4"/>
              </w:rPr>
            </w:r>
          </w:p>
        </w:tc>
      </w:tr>
      <w:tr>
        <w:trPr/>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8" w:type="dxa"/>
            <w:gridSpan w:val="3"/>
            <w:tcBorders/>
            <w:vAlign w:val="center"/>
          </w:tcPr>
          <w:p>
            <w:pPr>
              <w:pStyle w:val="TableContents"/>
              <w:bidi w:val="0"/>
              <w:spacing w:before="0" w:after="283"/>
              <w:jc w:val="left"/>
              <w:rPr>
                <w:sz w:val="4"/>
                <w:szCs w:val="4"/>
              </w:rPr>
            </w:pPr>
            <w:r>
              <w:rPr>
                <w:sz w:val="4"/>
                <w:szCs w:val="4"/>
              </w:rPr>
            </w:r>
          </w:p>
        </w:tc>
      </w:tr>
      <w:tr>
        <w:trPr/>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8" w:type="dxa"/>
            <w:gridSpan w:val="3"/>
            <w:tcBorders/>
            <w:vAlign w:val="center"/>
          </w:tcPr>
          <w:p>
            <w:pPr>
              <w:pStyle w:val="TableContents"/>
              <w:bidi w:val="0"/>
              <w:spacing w:before="0" w:after="283"/>
              <w:jc w:val="left"/>
              <w:rPr>
                <w:sz w:val="4"/>
                <w:szCs w:val="4"/>
              </w:rPr>
            </w:pPr>
            <w:r>
              <w:rPr>
                <w:sz w:val="4"/>
                <w:szCs w:val="4"/>
              </w:rPr>
            </w:r>
          </w:p>
        </w:tc>
      </w:tr>
      <w:tr>
        <w:trPr/>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8" w:type="dxa"/>
            <w:gridSpan w:val="3"/>
            <w:tcBorders/>
            <w:vAlign w:val="center"/>
          </w:tcPr>
          <w:p>
            <w:pPr>
              <w:pStyle w:val="TableContents"/>
              <w:bidi w:val="0"/>
              <w:spacing w:before="0" w:after="283"/>
              <w:jc w:val="left"/>
              <w:rPr>
                <w:sz w:val="4"/>
                <w:szCs w:val="4"/>
              </w:rPr>
            </w:pPr>
            <w:r>
              <w:rPr>
                <w:sz w:val="4"/>
                <w:szCs w:val="4"/>
              </w:rPr>
            </w:r>
          </w:p>
        </w:tc>
      </w:tr>
      <w:tr>
        <w:trPr/>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8" w:type="dxa"/>
            <w:gridSpan w:val="3"/>
            <w:tcBorders/>
            <w:vAlign w:val="center"/>
          </w:tcPr>
          <w:p>
            <w:pPr>
              <w:pStyle w:val="TableContents"/>
              <w:bidi w:val="0"/>
              <w:spacing w:before="0" w:after="283"/>
              <w:jc w:val="left"/>
              <w:rPr>
                <w:sz w:val="4"/>
                <w:szCs w:val="4"/>
              </w:rPr>
            </w:pPr>
            <w:r>
              <w:rPr>
                <w:sz w:val="4"/>
                <w:szCs w:val="4"/>
              </w:rPr>
            </w:r>
          </w:p>
        </w:tc>
      </w:tr>
      <w:tr>
        <w:trPr/>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8" w:type="dxa"/>
            <w:gridSpan w:val="3"/>
            <w:tcBorders/>
            <w:vAlign w:val="center"/>
          </w:tcPr>
          <w:p>
            <w:pPr>
              <w:pStyle w:val="TableContents"/>
              <w:bidi w:val="0"/>
              <w:spacing w:before="0" w:after="283"/>
              <w:jc w:val="left"/>
              <w:rPr>
                <w:sz w:val="4"/>
                <w:szCs w:val="4"/>
              </w:rPr>
            </w:pPr>
            <w:r>
              <w:rPr>
                <w:sz w:val="4"/>
                <w:szCs w:val="4"/>
              </w:rPr>
            </w:r>
          </w:p>
        </w:tc>
      </w:tr>
      <w:tr>
        <w:trPr/>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8" w:type="dxa"/>
            <w:gridSpan w:val="3"/>
            <w:tcBorders/>
            <w:vAlign w:val="center"/>
          </w:tcPr>
          <w:p>
            <w:pPr>
              <w:pStyle w:val="TableContents"/>
              <w:bidi w:val="0"/>
              <w:spacing w:before="0" w:after="283"/>
              <w:jc w:val="left"/>
              <w:rPr>
                <w:sz w:val="4"/>
                <w:szCs w:val="4"/>
              </w:rPr>
            </w:pPr>
            <w:r>
              <w:rPr>
                <w:sz w:val="4"/>
                <w:szCs w:val="4"/>
              </w:rPr>
            </w:r>
          </w:p>
        </w:tc>
      </w:tr>
      <w:tr>
        <w:trPr/>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8" w:type="dxa"/>
            <w:gridSpan w:val="3"/>
            <w:tcBorders/>
            <w:vAlign w:val="center"/>
          </w:tcPr>
          <w:p>
            <w:pPr>
              <w:pStyle w:val="TableContents"/>
              <w:bidi w:val="0"/>
              <w:spacing w:before="0" w:after="283"/>
              <w:jc w:val="left"/>
              <w:rPr>
                <w:sz w:val="4"/>
                <w:szCs w:val="4"/>
              </w:rPr>
            </w:pPr>
            <w:r>
              <w:rPr>
                <w:sz w:val="4"/>
                <w:szCs w:val="4"/>
              </w:rPr>
            </w:r>
          </w:p>
        </w:tc>
      </w:tr>
      <w:tr>
        <w:trPr/>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8" w:type="dxa"/>
            <w:gridSpan w:val="3"/>
            <w:tcBorders/>
            <w:vAlign w:val="center"/>
          </w:tcPr>
          <w:p>
            <w:pPr>
              <w:pStyle w:val="TableContents"/>
              <w:bidi w:val="0"/>
              <w:spacing w:before="0" w:after="283"/>
              <w:jc w:val="left"/>
              <w:rPr>
                <w:sz w:val="4"/>
                <w:szCs w:val="4"/>
              </w:rPr>
            </w:pPr>
            <w:r>
              <w:rPr>
                <w:sz w:val="4"/>
                <w:szCs w:val="4"/>
              </w:rPr>
            </w:r>
          </w:p>
        </w:tc>
      </w:tr>
      <w:tr>
        <w:trPr/>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the repurchase of 903,405 shares in treasury transactions arising from net settlement of equity awards to satisfy minimum tax obligations during the three months ended March 31, 2026.</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(2)Excludes excise tax levied on share repurchases, net of issuances.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(3)On April 29, 2025, our Board of Directors authorized (in addition to the net settlement of equity awards) the repurchase of Class A Shares and/or LP Units so that from that date forward, we are able to repurchase an aggregate of the lesser of $1.6 billion worth of Class A Shares and/or LP Units and 8.0 million Class A Shares and/or LP Units. Under this share repurchase program, shares may be repurchased from time to time in open market transactions, in privately-negotiated transactions or otherwise. The timing and the actual amount of shares repurchased will depend on a variety of factors, including legal requirements, price and economic and market conditions. This program may be suspended or discontinued at any time and does not have a specified expiration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429" w:type="dxa"/>
        <w:jc w:val="left"/>
        <w:tblInd w:w="0" w:type="dxa"/>
        <w:tblLayout w:type="fixed"/>
        <w:tblCellMar>
          <w:top w:w="28" w:type="dxa"/>
          <w:left w:w="28" w:type="dxa"/>
          <w:bottom w:w="28" w:type="dxa"/>
          <w:right w:w="28" w:type="dxa"/>
        </w:tblCellMar>
      </w:tblPr>
      <w:tblGrid>
        <w:gridCol w:w="255"/>
        <w:gridCol w:w="224"/>
        <w:gridCol w:w="226"/>
        <w:gridCol w:w="504"/>
        <w:gridCol w:w="504"/>
        <w:gridCol w:w="716"/>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Information</w:t>
            </w:r>
          </w:p>
        </w:tc>
      </w:tr>
    </w:tbl>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none of the Company's trustees or executive officers adopted or terminated any contract, instruction or written plan for the purchase or sale of Company securities that was intended to satisfy the affirmative defense conditions of Rule 10b5-1(c) or any non 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d55c8df0a38248a4bad3569328277986_7">
        <w:r>
          <w:rPr>
            <w:rStyle w:val="InternetLink"/>
          </w:rPr>
          <w:t>T</w:t>
        </w:r>
      </w:hyperlink>
      <w:hyperlink w:anchor="id55c8df0a38248a4bad3569328277986_7">
        <w:r>
          <w:rPr>
            <w:rStyle w:val="InternetLink"/>
          </w:rPr>
          <w:t>a</w:t>
        </w:r>
      </w:hyperlink>
      <w:hyperlink w:anchor="id55c8df0a38248a4bad3569328277986_7">
        <w:r>
          <w:rPr>
            <w:rStyle w:val="InternetLink"/>
          </w:rPr>
          <w:t>b</w:t>
        </w:r>
      </w:hyperlink>
      <w:hyperlink w:anchor="id55c8df0a38248a4bad3569328277986_7">
        <w:r>
          <w:rPr>
            <w:rStyle w:val="InternetLink"/>
          </w:rPr>
          <w:t>l</w:t>
        </w:r>
      </w:hyperlink>
      <w:hyperlink w:anchor="id55c8df0a38248a4bad3569328277986_7">
        <w:r>
          <w:rPr>
            <w:rStyle w:val="InternetLink"/>
          </w:rPr>
          <w:t>e</w:t>
        </w:r>
      </w:hyperlink>
      <w:hyperlink w:anchor="id55c8df0a38248a4bad3569328277986_7">
        <w:r>
          <w:rPr>
            <w:rStyle w:val="InternetLink"/>
          </w:rPr>
          <w:t xml:space="preserve"> </w:t>
        </w:r>
      </w:hyperlink>
      <w:hyperlink w:anchor="id55c8df0a38248a4bad3569328277986_7">
        <w:r>
          <w:rPr>
            <w:rStyle w:val="InternetLink"/>
          </w:rPr>
          <w:t>o</w:t>
        </w:r>
      </w:hyperlink>
      <w:hyperlink w:anchor="id55c8df0a38248a4bad3569328277986_7">
        <w:r>
          <w:rPr>
            <w:rStyle w:val="InternetLink"/>
          </w:rPr>
          <w:t>f</w:t>
        </w:r>
      </w:hyperlink>
      <w:hyperlink w:anchor="id55c8df0a38248a4bad3569328277986_7">
        <w:r>
          <w:rPr>
            <w:rStyle w:val="InternetLink"/>
          </w:rPr>
          <w:t xml:space="preserve"> </w:t>
        </w:r>
      </w:hyperlink>
      <w:hyperlink w:anchor="id55c8df0a38248a4bad3569328277986_7">
        <w:r>
          <w:rPr>
            <w:rStyle w:val="InternetLink"/>
          </w:rPr>
          <w:t>C</w:t>
        </w:r>
      </w:hyperlink>
      <w:hyperlink w:anchor="id55c8df0a38248a4bad3569328277986_7">
        <w:r>
          <w:rPr>
            <w:rStyle w:val="InternetLink"/>
          </w:rPr>
          <w:t>o</w:t>
        </w:r>
      </w:hyperlink>
      <w:hyperlink w:anchor="id55c8df0a38248a4bad3569328277986_7">
        <w:r>
          <w:rPr>
            <w:rStyle w:val="InternetLink"/>
          </w:rPr>
          <w:t>n</w:t>
        </w:r>
      </w:hyperlink>
      <w:hyperlink w:anchor="id55c8df0a38248a4bad3569328277986_7">
        <w:r>
          <w:rPr>
            <w:rStyle w:val="InternetLink"/>
          </w:rPr>
          <w:t>t</w:t>
        </w:r>
      </w:hyperlink>
      <w:hyperlink w:anchor="id55c8df0a38248a4bad3569328277986_7">
        <w:r>
          <w:rPr>
            <w:rStyle w:val="InternetLink"/>
          </w:rPr>
          <w:t>e</w:t>
        </w:r>
      </w:hyperlink>
      <w:hyperlink w:anchor="id55c8df0a38248a4bad3569328277986_7">
        <w:r>
          <w:rPr>
            <w:rStyle w:val="InternetLink"/>
          </w:rPr>
          <w:t>n</w:t>
        </w:r>
      </w:hyperlink>
      <w:hyperlink w:anchor="id55c8df0a38248a4bad3569328277986_7">
        <w:r>
          <w:rPr>
            <w:rStyle w:val="InternetLink"/>
          </w:rPr>
          <w:t>t</w:t>
        </w:r>
      </w:hyperlink>
      <w:hyperlink w:anchor="id55c8df0a38248a4bad3569328277986_7">
        <w:r>
          <w:rPr>
            <w:rStyle w:val="InternetLink"/>
          </w:rPr>
          <w:t>s</w:t>
        </w:r>
      </w:hyperlink>
      <w:r>
        <w:rPr>
          <w:color w:val="000000"/>
        </w:rPr>
        <w:t>                                              </w:t>
      </w:r>
    </w:p>
    <w:tbl>
      <w:tblPr>
        <w:tblW w:w="4528" w:type="dxa"/>
        <w:jc w:val="left"/>
        <w:tblInd w:w="0" w:type="dxa"/>
        <w:tblLayout w:type="fixed"/>
        <w:tblCellMar>
          <w:top w:w="28" w:type="dxa"/>
          <w:left w:w="28" w:type="dxa"/>
          <w:bottom w:w="28" w:type="dxa"/>
          <w:right w:w="28" w:type="dxa"/>
        </w:tblCellMar>
      </w:tblPr>
      <w:tblGrid>
        <w:gridCol w:w="255"/>
        <w:gridCol w:w="223"/>
        <w:gridCol w:w="226"/>
        <w:gridCol w:w="1119"/>
        <w:gridCol w:w="1119"/>
        <w:gridCol w:w="1586"/>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6.</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Exhibits and Financial Statement Schedules</w:t>
            </w:r>
          </w:p>
        </w:tc>
      </w:tr>
    </w:tbl>
    <w:tbl>
      <w:tblPr>
        <w:tblW w:w="10205" w:type="dxa"/>
        <w:jc w:val="left"/>
        <w:tblInd w:w="0" w:type="dxa"/>
        <w:tblLayout w:type="fixed"/>
        <w:tblCellMar>
          <w:top w:w="28" w:type="dxa"/>
          <w:left w:w="28" w:type="dxa"/>
          <w:bottom w:w="28" w:type="dxa"/>
          <w:right w:w="28" w:type="dxa"/>
        </w:tblCellMar>
      </w:tblPr>
      <w:tblGrid>
        <w:gridCol w:w="296"/>
        <w:gridCol w:w="260"/>
        <w:gridCol w:w="261"/>
        <w:gridCol w:w="109"/>
        <w:gridCol w:w="109"/>
        <w:gridCol w:w="109"/>
        <w:gridCol w:w="2793"/>
        <w:gridCol w:w="2581"/>
        <w:gridCol w:w="3687"/>
      </w:tblGrid>
      <w:tr>
        <w:trPr/>
        <w:tc>
          <w:tcPr>
            <w:tcW w:w="29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3687"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vr3312026ex311.htm">
              <w:r>
                <w:rPr>
                  <w:rStyle w:val="InternetLink"/>
                  <w:rFonts w:ascii="Times New Roman;serif" w:hAnsi="Times New Roman;serif"/>
                  <w:b w:val="false"/>
                  <w:color w:val="0000FF"/>
                  <w:sz w:val="20"/>
                  <w:u w:val="single"/>
                </w:rPr>
                <w:t>Certification of the Chief Executive Officer pursuant to Rule 13a-14(a) (filed herewith)</w:t>
              </w:r>
            </w:hyperlink>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vr3312026ex312.htm">
              <w:r>
                <w:rPr>
                  <w:rStyle w:val="InternetLink"/>
                  <w:rFonts w:ascii="Times New Roman;serif" w:hAnsi="Times New Roman;serif"/>
                  <w:b w:val="false"/>
                  <w:color w:val="0000FF"/>
                  <w:sz w:val="20"/>
                  <w:u w:val="single"/>
                </w:rPr>
                <w:t>Certification of the Chief Financial Officer pursuant to Rule 13a-14(a) (filed herewith)</w:t>
              </w:r>
            </w:hyperlink>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vr3312026ex321.htm">
              <w:r>
                <w:rPr>
                  <w:rStyle w:val="InternetLink"/>
                  <w:rFonts w:ascii="Times New Roman;serif" w:hAnsi="Times New Roman;serif"/>
                  <w:b w:val="false"/>
                  <w:color w:val="0000FF"/>
                  <w:sz w:val="20"/>
                  <w:u w:val="single"/>
                </w:rPr>
                <w:t>Certification of the Chief Executive Officer pursuant to 18 U.S.C. Section 1350, as adopted pursuant to Section 906 of the Sarbanes-Oxley Act of 2002 (furnished herewith)</w:t>
              </w:r>
            </w:hyperlink>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vr3312026ex322.htm">
              <w:r>
                <w:rPr>
                  <w:rStyle w:val="InternetLink"/>
                  <w:rFonts w:ascii="Times New Roman;serif" w:hAnsi="Times New Roman;serif"/>
                  <w:b w:val="false"/>
                  <w:color w:val="0000FF"/>
                  <w:sz w:val="20"/>
                  <w:u w:val="single"/>
                </w:rPr>
                <w:t>Certification of the Chief Financial Officer pursuant to 18 U.S.C. Section 1350, as adopted pursuant to Section 906 of the Sarbanes-Oxley Act of 2002 (furnished herewith)</w:t>
              </w:r>
            </w:hyperlink>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1" w:type="dxa"/>
            <w:gridSpan w:val="3"/>
            <w:tcBorders/>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materials from the Registrant's Quarterly Report on Form 10-Q for the quarter ended March 31, 2026, are formatted in Inline XBRL: (i) Condensed Consolidated Statements of Financial Condition as of March 31, 2026 and December 31, 2025, (ii) Condensed Consolidated Statements of Operations for the three months ended March 31, 2026 and 2025, (iii) Condensed Consolidated Statements of Comprehensive Income for the three months ended March 31, 2026 and 2025, (iv) Condensed Consolidated Statements of Changes in Equity for the three months ended March 31, 2026 and 2025, (v) Condensed Consolidated Statements of Cash Flows for the three months ended March 31, 2026 and 2025, and (vi) Notes to Condensed Consolidated Financial Statements, tagged as blocks of text including detailed tags</w:t>
            </w:r>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w:t>
            </w:r>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w:t>
            </w:r>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w:t>
            </w:r>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w:t>
            </w:r>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w:t>
            </w:r>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from the Company's Quarterly Report on Form 10-Q for the quarter ended March 31, 2026 is formatted in Inline XBRL (and contained in Exhibit 101)</w:t>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d55c8df0a38248a4bad3569328277986_7">
        <w:r>
          <w:rPr>
            <w:rStyle w:val="InternetLink"/>
          </w:rPr>
          <w:t>T</w:t>
        </w:r>
      </w:hyperlink>
      <w:hyperlink w:anchor="id55c8df0a38248a4bad3569328277986_7">
        <w:r>
          <w:rPr>
            <w:rStyle w:val="InternetLink"/>
          </w:rPr>
          <w:t>a</w:t>
        </w:r>
      </w:hyperlink>
      <w:hyperlink w:anchor="id55c8df0a38248a4bad3569328277986_7">
        <w:r>
          <w:rPr>
            <w:rStyle w:val="InternetLink"/>
          </w:rPr>
          <w:t>b</w:t>
        </w:r>
      </w:hyperlink>
      <w:hyperlink w:anchor="id55c8df0a38248a4bad3569328277986_7">
        <w:r>
          <w:rPr>
            <w:rStyle w:val="InternetLink"/>
          </w:rPr>
          <w:t>l</w:t>
        </w:r>
      </w:hyperlink>
      <w:hyperlink w:anchor="id55c8df0a38248a4bad3569328277986_7">
        <w:r>
          <w:rPr>
            <w:rStyle w:val="InternetLink"/>
          </w:rPr>
          <w:t>e</w:t>
        </w:r>
      </w:hyperlink>
      <w:hyperlink w:anchor="id55c8df0a38248a4bad3569328277986_7">
        <w:r>
          <w:rPr>
            <w:rStyle w:val="InternetLink"/>
          </w:rPr>
          <w:t xml:space="preserve"> </w:t>
        </w:r>
      </w:hyperlink>
      <w:hyperlink w:anchor="id55c8df0a38248a4bad3569328277986_7">
        <w:r>
          <w:rPr>
            <w:rStyle w:val="InternetLink"/>
          </w:rPr>
          <w:t>o</w:t>
        </w:r>
      </w:hyperlink>
      <w:hyperlink w:anchor="id55c8df0a38248a4bad3569328277986_7">
        <w:r>
          <w:rPr>
            <w:rStyle w:val="InternetLink"/>
          </w:rPr>
          <w:t>f</w:t>
        </w:r>
      </w:hyperlink>
      <w:hyperlink w:anchor="id55c8df0a38248a4bad3569328277986_7">
        <w:r>
          <w:rPr>
            <w:rStyle w:val="InternetLink"/>
          </w:rPr>
          <w:t xml:space="preserve"> </w:t>
        </w:r>
      </w:hyperlink>
      <w:hyperlink w:anchor="id55c8df0a38248a4bad3569328277986_7">
        <w:r>
          <w:rPr>
            <w:rStyle w:val="InternetLink"/>
          </w:rPr>
          <w:t>C</w:t>
        </w:r>
      </w:hyperlink>
      <w:hyperlink w:anchor="id55c8df0a38248a4bad3569328277986_7">
        <w:r>
          <w:rPr>
            <w:rStyle w:val="InternetLink"/>
          </w:rPr>
          <w:t>o</w:t>
        </w:r>
      </w:hyperlink>
      <w:hyperlink w:anchor="id55c8df0a38248a4bad3569328277986_7">
        <w:r>
          <w:rPr>
            <w:rStyle w:val="InternetLink"/>
          </w:rPr>
          <w:t>n</w:t>
        </w:r>
      </w:hyperlink>
      <w:hyperlink w:anchor="id55c8df0a38248a4bad3569328277986_7">
        <w:r>
          <w:rPr>
            <w:rStyle w:val="InternetLink"/>
          </w:rPr>
          <w:t>t</w:t>
        </w:r>
      </w:hyperlink>
      <w:hyperlink w:anchor="id55c8df0a38248a4bad3569328277986_7">
        <w:r>
          <w:rPr>
            <w:rStyle w:val="InternetLink"/>
          </w:rPr>
          <w:t>e</w:t>
        </w:r>
      </w:hyperlink>
      <w:hyperlink w:anchor="id55c8df0a38248a4bad3569328277986_7">
        <w:r>
          <w:rPr>
            <w:rStyle w:val="InternetLink"/>
          </w:rPr>
          <w:t>n</w:t>
        </w:r>
      </w:hyperlink>
      <w:hyperlink w:anchor="id55c8df0a38248a4bad3569328277986_7">
        <w:r>
          <w:rPr>
            <w:rStyle w:val="InternetLink"/>
          </w:rPr>
          <w:t>t</w:t>
        </w:r>
      </w:hyperlink>
      <w:hyperlink w:anchor="id55c8df0a38248a4bad3569328277986_7">
        <w:r>
          <w:rPr>
            <w:rStyle w:val="InternetLink"/>
          </w:rPr>
          <w:t>s</w:t>
        </w:r>
      </w:hyperlink>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Date: May 6, 2026</w:t>
      </w:r>
    </w:p>
    <w:tbl>
      <w:tblPr>
        <w:tblW w:w="3882" w:type="dxa"/>
        <w:jc w:val="left"/>
        <w:tblInd w:w="0" w:type="dxa"/>
        <w:tblLayout w:type="fixed"/>
        <w:tblCellMar>
          <w:top w:w="28" w:type="dxa"/>
          <w:left w:w="28" w:type="dxa"/>
          <w:bottom w:w="28" w:type="dxa"/>
          <w:right w:w="28" w:type="dxa"/>
        </w:tblCellMar>
      </w:tblPr>
      <w:tblGrid>
        <w:gridCol w:w="124"/>
        <w:gridCol w:w="109"/>
        <w:gridCol w:w="109"/>
        <w:gridCol w:w="195"/>
        <w:gridCol w:w="195"/>
        <w:gridCol w:w="195"/>
        <w:gridCol w:w="855"/>
        <w:gridCol w:w="855"/>
        <w:gridCol w:w="12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Evercore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JOHN S. WEINBERG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2955" w:type="dxa"/>
            <w:gridSpan w:val="3"/>
            <w:tcBorders>
              <w:top w:val="single" w:sz="2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John S. Weinberg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Title:</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Chief Executive Officer and Chairman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TIM LALONDE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2955" w:type="dxa"/>
            <w:gridSpan w:val="3"/>
            <w:tcBorders>
              <w:top w:val="single" w:sz="2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Tim LaLonde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Title:</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CHIEF EXECUTIVE OFFICER CERTIFICATION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John S. Weinberg, certify that: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Evercore Inc. (the "Registrant");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280" w:after="283"/>
        <w:jc w:val="left"/>
        <w:rPr>
          <w:rFonts w:ascii="Times New Roman;serif" w:hAnsi="Times New Roman;serif"/>
          <w:b w:val="false"/>
          <w:color w:val="000000"/>
          <w:sz w:val="20"/>
        </w:rPr>
      </w:pPr>
      <w:r>
        <w:rPr>
          <w:rFonts w:ascii="Times New Roman;serif" w:hAnsi="Times New Roman;serif"/>
          <w:b w:val="false"/>
          <w:color w:val="000000"/>
          <w:sz w:val="20"/>
        </w:rPr>
        <w:t>Dated: May 6, 2026</w:t>
      </w:r>
    </w:p>
    <w:p>
      <w:pPr>
        <w:pStyle w:val="TextBody"/>
        <w:bidi w:val="0"/>
        <w:spacing w:lineRule="auto" w:line="288" w:before="0" w:after="0"/>
        <w:jc w:val="left"/>
        <w:rPr>
          <w:color w:val="000000"/>
        </w:rPr>
      </w:pPr>
      <w:r>
        <w:rPr>
          <w:color w:val="000000"/>
        </w:rPr>
        <w:t> </w:t>
      </w:r>
    </w:p>
    <w:tbl>
      <w:tblPr>
        <w:tblW w:w="3297" w:type="dxa"/>
        <w:jc w:val="left"/>
        <w:tblInd w:w="0" w:type="dxa"/>
        <w:tblLayout w:type="fixed"/>
        <w:tblCellMar>
          <w:top w:w="28" w:type="dxa"/>
          <w:left w:w="28" w:type="dxa"/>
          <w:bottom w:w="28" w:type="dxa"/>
          <w:right w:w="28" w:type="dxa"/>
        </w:tblCellMar>
      </w:tblPr>
      <w:tblGrid>
        <w:gridCol w:w="124"/>
        <w:gridCol w:w="109"/>
        <w:gridCol w:w="109"/>
        <w:gridCol w:w="866"/>
        <w:gridCol w:w="866"/>
        <w:gridCol w:w="12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s /    JOHN S. WEINBERG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John S. Weinberg</w:t>
              <w:br/>
              <w:t>Chief Executive Officer and Chairman</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CHIEF FINANCIAL OFFICER CERTIFICATION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Tim LaLonde, certify that: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Evercore Inc. (the "Registrant");</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280" w:after="283"/>
        <w:jc w:val="left"/>
        <w:rPr>
          <w:rFonts w:ascii="Times New Roman;serif" w:hAnsi="Times New Roman;serif"/>
          <w:b w:val="false"/>
          <w:color w:val="000000"/>
          <w:sz w:val="20"/>
        </w:rPr>
      </w:pPr>
      <w:r>
        <w:rPr>
          <w:rFonts w:ascii="Times New Roman;serif" w:hAnsi="Times New Roman;serif"/>
          <w:b w:val="false"/>
          <w:color w:val="000000"/>
          <w:sz w:val="20"/>
        </w:rPr>
        <w:t>Dated: May 6, 2026</w:t>
      </w:r>
    </w:p>
    <w:p>
      <w:pPr>
        <w:pStyle w:val="TextBody"/>
        <w:bidi w:val="0"/>
        <w:spacing w:lineRule="auto" w:line="288" w:before="0" w:after="0"/>
        <w:jc w:val="left"/>
        <w:rPr>
          <w:color w:val="000000"/>
        </w:rPr>
      </w:pPr>
      <w:r>
        <w:rPr>
          <w:color w:val="000000"/>
        </w:rPr>
        <w:t> </w:t>
      </w:r>
    </w:p>
    <w:tbl>
      <w:tblPr>
        <w:tblW w:w="2262" w:type="dxa"/>
        <w:jc w:val="left"/>
        <w:tblInd w:w="0" w:type="dxa"/>
        <w:tblLayout w:type="fixed"/>
        <w:tblCellMar>
          <w:top w:w="28" w:type="dxa"/>
          <w:left w:w="28" w:type="dxa"/>
          <w:bottom w:w="28" w:type="dxa"/>
          <w:right w:w="28" w:type="dxa"/>
        </w:tblCellMar>
      </w:tblPr>
      <w:tblGrid>
        <w:gridCol w:w="124"/>
        <w:gridCol w:w="109"/>
        <w:gridCol w:w="109"/>
        <w:gridCol w:w="561"/>
        <w:gridCol w:w="561"/>
        <w:gridCol w:w="7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s /    TIM LALONDE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Tim LaLonde</w:t>
              <w:b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of the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Evercore Inc. (the "Company") as filed with the Securities and Exchange Commission on the date hereof (the "Report"), I, John S. Weinberg, Chief Executive Officer of the Company, certify, pursuant to 18 U.S.C. § 1350, as adopted pursuant to Section 906 of the Sarbanes-Oxley Act of 2002, that: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May 6, 2026</w:t>
      </w:r>
    </w:p>
    <w:p>
      <w:pPr>
        <w:pStyle w:val="TextBody"/>
        <w:bidi w:val="0"/>
        <w:spacing w:lineRule="auto" w:line="288" w:before="0" w:after="0"/>
        <w:jc w:val="left"/>
        <w:rPr>
          <w:color w:val="000000"/>
        </w:rPr>
      </w:pPr>
      <w:r>
        <w:rPr>
          <w:color w:val="000000"/>
        </w:rPr>
        <w:t> </w:t>
      </w:r>
    </w:p>
    <w:tbl>
      <w:tblPr>
        <w:tblW w:w="3297" w:type="dxa"/>
        <w:jc w:val="left"/>
        <w:tblInd w:w="0" w:type="dxa"/>
        <w:tblLayout w:type="fixed"/>
        <w:tblCellMar>
          <w:top w:w="28" w:type="dxa"/>
          <w:left w:w="28" w:type="dxa"/>
          <w:bottom w:w="28" w:type="dxa"/>
          <w:right w:w="28" w:type="dxa"/>
        </w:tblCellMar>
      </w:tblPr>
      <w:tblGrid>
        <w:gridCol w:w="124"/>
        <w:gridCol w:w="109"/>
        <w:gridCol w:w="109"/>
        <w:gridCol w:w="866"/>
        <w:gridCol w:w="866"/>
        <w:gridCol w:w="12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s /    JOHN S. WEINBERG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John S. Weinberg</w:t>
              <w:br/>
              <w:t>Chief Executive Officer and Chairman</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18 U.S.C. Section 1350 and is not being filed as part of the Report or as a separate disclosure document.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of the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Evercore Inc. (the "Company") as filed with the Securities and Exchange Commission on the date hereof (the "Report"), I, Tim LaLonde, Chief Financial Officer of the Company, certify, pursuant to 18 U.S.C. § 1350, as adopted pursuant to Section 906 of the Sarbanes-Oxley Act of 2002, that: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May 6, 2026</w:t>
      </w:r>
    </w:p>
    <w:p>
      <w:pPr>
        <w:pStyle w:val="TextBody"/>
        <w:bidi w:val="0"/>
        <w:spacing w:lineRule="auto" w:line="288" w:before="0" w:after="0"/>
        <w:jc w:val="left"/>
        <w:rPr>
          <w:color w:val="000000"/>
        </w:rPr>
      </w:pPr>
      <w:r>
        <w:rPr>
          <w:color w:val="000000"/>
        </w:rPr>
        <w:t> </w:t>
      </w:r>
    </w:p>
    <w:tbl>
      <w:tblPr>
        <w:tblW w:w="2262" w:type="dxa"/>
        <w:jc w:val="left"/>
        <w:tblInd w:w="0" w:type="dxa"/>
        <w:tblLayout w:type="fixed"/>
        <w:tblCellMar>
          <w:top w:w="28" w:type="dxa"/>
          <w:left w:w="28" w:type="dxa"/>
          <w:bottom w:w="28" w:type="dxa"/>
          <w:right w:w="28" w:type="dxa"/>
        </w:tblCellMar>
      </w:tblPr>
      <w:tblGrid>
        <w:gridCol w:w="124"/>
        <w:gridCol w:w="109"/>
        <w:gridCol w:w="109"/>
        <w:gridCol w:w="561"/>
        <w:gridCol w:w="561"/>
        <w:gridCol w:w="7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s /    TIM LALONDE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Tim LaLonde</w:t>
              <w:br/>
              <w:t>Chief Financial Officer</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18 U.S.C. Section 1350 and is not being filed as part of the Report or as a separate disclosure document.</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31722</Words>
  <Characters>179085</Characters>
  <CharactersWithSpaces>210525</CharactersWithSpaces>
  <Paragraphs>3058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