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right="300" w:hanging="452"/>
        <w:spacing w:after="0" w:line="274"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2008</w:t>
      </w:r>
    </w:p>
    <w:p>
      <w:pPr>
        <w:jc w:val="center"/>
        <w:ind w:right="-59"/>
        <w:spacing w:after="0"/>
        <w:rPr>
          <w:sz w:val="20"/>
          <w:szCs w:val="20"/>
          <w:color w:val="auto"/>
        </w:rPr>
      </w:pPr>
      <w:r>
        <w:rPr>
          <w:rFonts w:ascii="Arial" w:cs="Arial" w:eastAsia="Arial" w:hAnsi="Arial"/>
          <w:sz w:val="18"/>
          <w:szCs w:val="18"/>
          <w:b w:val="1"/>
          <w:bCs w:val="1"/>
          <w:color w:val="auto"/>
        </w:rPr>
        <w:t>OR</w:t>
      </w:r>
    </w:p>
    <w:p>
      <w:pPr>
        <w:ind w:left="460" w:hanging="452"/>
        <w:spacing w:after="0" w:line="199" w:lineRule="auto"/>
        <w:tabs>
          <w:tab w:leader="none" w:pos="460" w:val="left"/>
        </w:tabs>
        <w:numPr>
          <w:ilvl w:val="0"/>
          <w:numId w:val="2"/>
        </w:numPr>
        <w:rPr>
          <w:rFonts w:ascii="MS PGothic" w:cs="MS PGothic" w:eastAsia="MS PGothic" w:hAnsi="MS PGothic"/>
          <w:sz w:val="8"/>
          <w:szCs w:val="8"/>
          <w:color w:val="auto"/>
          <w:highlight w:val="black"/>
        </w:rPr>
      </w:pPr>
      <w:r>
        <w:rPr>
          <w:rFonts w:ascii="Arial" w:cs="Arial" w:eastAsia="Arial" w:hAnsi="Arial"/>
          <w:sz w:val="8"/>
          <w:szCs w:val="8"/>
          <w:b w:val="1"/>
          <w:bCs w:val="1"/>
          <w:color w:val="auto"/>
        </w:rPr>
        <w:t>TRANSITION REPORT PURSUANT TO SECTION 13 OR 15(d) OF THE SECURITIES EXCHANGE ACT OF 1934 FOR THE TRANSITION</w:t>
      </w:r>
    </w:p>
    <w:p>
      <w:pPr>
        <w:spacing w:after="0" w:line="203" w:lineRule="exact"/>
        <w:rPr>
          <w:sz w:val="24"/>
          <w:szCs w:val="24"/>
          <w:color w:val="auto"/>
        </w:rPr>
      </w:pPr>
    </w:p>
    <w:p>
      <w:pPr>
        <w:ind w:left="460"/>
        <w:spacing w:after="0"/>
        <w:tabs>
          <w:tab w:leader="none" w:pos="2660" w:val="left"/>
          <w:tab w:leader="none" w:pos="3880" w:val="left"/>
        </w:tabs>
        <w:rPr>
          <w:sz w:val="20"/>
          <w:szCs w:val="20"/>
          <w:color w:val="auto"/>
        </w:rPr>
      </w:pPr>
      <w:r>
        <w:rPr>
          <w:rFonts w:ascii="Arial" w:cs="Arial" w:eastAsia="Arial" w:hAnsi="Arial"/>
          <w:sz w:val="18"/>
          <w:szCs w:val="18"/>
          <w:b w:val="1"/>
          <w:bCs w:val="1"/>
          <w:color w:val="auto"/>
        </w:rPr>
        <w:t>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001-32975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EVERCORE PARTNERS INC.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5020" w:type="dxa"/>
            <w:vAlign w:val="bottom"/>
          </w:tcPr>
          <w:p>
            <w:pPr>
              <w:jc w:val="center"/>
              <w:ind w:right="1844"/>
              <w:spacing w:after="0"/>
              <w:rPr>
                <w:sz w:val="20"/>
                <w:szCs w:val="20"/>
                <w:color w:val="auto"/>
              </w:rPr>
            </w:pPr>
            <w:r>
              <w:rPr>
                <w:rFonts w:ascii="Arial" w:cs="Arial" w:eastAsia="Arial" w:hAnsi="Arial"/>
                <w:sz w:val="18"/>
                <w:szCs w:val="18"/>
                <w:b w:val="1"/>
                <w:bCs w:val="1"/>
                <w:color w:val="auto"/>
                <w:w w:val="88"/>
              </w:rPr>
              <w:t>Delaware</w:t>
            </w:r>
          </w:p>
        </w:tc>
        <w:tc>
          <w:tcPr>
            <w:tcW w:w="2980" w:type="dxa"/>
            <w:vAlign w:val="bottom"/>
          </w:tcPr>
          <w:p>
            <w:pPr>
              <w:jc w:val="right"/>
              <w:ind w:right="24"/>
              <w:spacing w:after="0"/>
              <w:rPr>
                <w:sz w:val="20"/>
                <w:szCs w:val="20"/>
                <w:color w:val="auto"/>
              </w:rPr>
            </w:pPr>
            <w:r>
              <w:rPr>
                <w:rFonts w:ascii="Arial" w:cs="Arial" w:eastAsia="Arial" w:hAnsi="Arial"/>
                <w:sz w:val="18"/>
                <w:szCs w:val="18"/>
                <w:b w:val="1"/>
                <w:bCs w:val="1"/>
                <w:color w:val="auto"/>
              </w:rPr>
              <w:t>20-4748747</w:t>
            </w:r>
          </w:p>
        </w:tc>
      </w:tr>
      <w:tr>
        <w:trPr>
          <w:trHeight w:val="149"/>
        </w:trPr>
        <w:tc>
          <w:tcPr>
            <w:tcW w:w="5020" w:type="dxa"/>
            <w:vAlign w:val="bottom"/>
          </w:tcPr>
          <w:p>
            <w:pPr>
              <w:jc w:val="center"/>
              <w:ind w:right="18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8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60"/>
        </w:trPr>
        <w:tc>
          <w:tcPr>
            <w:tcW w:w="5020" w:type="dxa"/>
            <w:vAlign w:val="bottom"/>
          </w:tcPr>
          <w:p>
            <w:pPr>
              <w:jc w:val="center"/>
              <w:ind w:right="1844"/>
              <w:spacing w:after="0"/>
              <w:rPr>
                <w:sz w:val="20"/>
                <w:szCs w:val="20"/>
                <w:color w:val="auto"/>
              </w:rPr>
            </w:pPr>
            <w:r>
              <w:rPr>
                <w:rFonts w:ascii="Arial" w:cs="Arial" w:eastAsia="Arial" w:hAnsi="Arial"/>
                <w:sz w:val="14"/>
                <w:szCs w:val="14"/>
                <w:b w:val="1"/>
                <w:bCs w:val="1"/>
                <w:color w:val="auto"/>
                <w:w w:val="89"/>
              </w:rPr>
              <w:t>Incorporation or Organization)</w:t>
            </w:r>
          </w:p>
        </w:tc>
        <w:tc>
          <w:tcPr>
            <w:tcW w:w="2980" w:type="dxa"/>
            <w:vAlign w:val="bottom"/>
          </w:tcPr>
          <w:p>
            <w:pPr>
              <w:jc w:val="center"/>
              <w:ind w:left="1864"/>
              <w:spacing w:after="0"/>
              <w:rPr>
                <w:sz w:val="20"/>
                <w:szCs w:val="20"/>
                <w:color w:val="auto"/>
              </w:rPr>
            </w:pPr>
            <w:r>
              <w:rPr>
                <w:rFonts w:ascii="Arial" w:cs="Arial" w:eastAsia="Arial" w:hAnsi="Arial"/>
                <w:sz w:val="14"/>
                <w:szCs w:val="14"/>
                <w:b w:val="1"/>
                <w:bCs w:val="1"/>
                <w:color w:val="auto"/>
                <w:w w:val="87"/>
              </w:rPr>
              <w:t>Identification No.)</w:t>
            </w:r>
          </w:p>
        </w:tc>
      </w:tr>
      <w:tr>
        <w:trPr>
          <w:trHeight w:val="218"/>
        </w:trPr>
        <w:tc>
          <w:tcPr>
            <w:tcW w:w="5020" w:type="dxa"/>
            <w:vAlign w:val="bottom"/>
          </w:tcPr>
          <w:p>
            <w:pPr>
              <w:jc w:val="center"/>
              <w:ind w:right="1844"/>
              <w:spacing w:after="0" w:line="218" w:lineRule="exact"/>
              <w:rPr>
                <w:sz w:val="20"/>
                <w:szCs w:val="20"/>
                <w:color w:val="auto"/>
              </w:rPr>
            </w:pPr>
            <w:r>
              <w:rPr>
                <w:rFonts w:ascii="Arial" w:cs="Arial" w:eastAsia="Arial" w:hAnsi="Arial"/>
                <w:sz w:val="18"/>
                <w:szCs w:val="18"/>
                <w:b w:val="1"/>
                <w:bCs w:val="1"/>
                <w:color w:val="auto"/>
                <w:w w:val="88"/>
              </w:rPr>
              <w:t xml:space="preserve">55 East 52 </w:t>
            </w:r>
            <w:r>
              <w:rPr>
                <w:rFonts w:ascii="Arial" w:cs="Arial" w:eastAsia="Arial" w:hAnsi="Arial"/>
                <w:sz w:val="22"/>
                <w:szCs w:val="22"/>
                <w:b w:val="1"/>
                <w:bCs w:val="1"/>
                <w:color w:val="auto"/>
                <w:w w:val="88"/>
                <w:vertAlign w:val="superscript"/>
              </w:rPr>
              <w:t>nd</w:t>
            </w:r>
            <w:r>
              <w:rPr>
                <w:rFonts w:ascii="Arial" w:cs="Arial" w:eastAsia="Arial" w:hAnsi="Arial"/>
                <w:sz w:val="18"/>
                <w:szCs w:val="18"/>
                <w:b w:val="1"/>
                <w:bCs w:val="1"/>
                <w:color w:val="auto"/>
                <w:w w:val="88"/>
              </w:rPr>
              <w:t xml:space="preserve"> Street, New York, New York</w:t>
            </w:r>
          </w:p>
        </w:tc>
        <w:tc>
          <w:tcPr>
            <w:tcW w:w="2980" w:type="dxa"/>
            <w:vAlign w:val="bottom"/>
          </w:tcPr>
          <w:p>
            <w:pPr>
              <w:jc w:val="right"/>
              <w:ind w:right="224"/>
              <w:spacing w:after="0"/>
              <w:rPr>
                <w:sz w:val="20"/>
                <w:szCs w:val="20"/>
                <w:color w:val="auto"/>
              </w:rPr>
            </w:pPr>
            <w:r>
              <w:rPr>
                <w:rFonts w:ascii="Arial" w:cs="Arial" w:eastAsia="Arial" w:hAnsi="Arial"/>
                <w:sz w:val="18"/>
                <w:szCs w:val="18"/>
                <w:b w:val="1"/>
                <w:bCs w:val="1"/>
                <w:color w:val="auto"/>
              </w:rPr>
              <w:t>10055</w:t>
            </w:r>
          </w:p>
        </w:tc>
      </w:tr>
      <w:tr>
        <w:trPr>
          <w:trHeight w:val="174"/>
        </w:trPr>
        <w:tc>
          <w:tcPr>
            <w:tcW w:w="502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80" w:type="dxa"/>
            <w:vAlign w:val="bottom"/>
          </w:tcPr>
          <w:p>
            <w:pPr>
              <w:jc w:val="center"/>
              <w:ind w:left="1864"/>
              <w:spacing w:after="0"/>
              <w:rPr>
                <w:sz w:val="20"/>
                <w:szCs w:val="20"/>
                <w:color w:val="auto"/>
              </w:rPr>
            </w:pPr>
            <w:r>
              <w:rPr>
                <w:rFonts w:ascii="Arial" w:cs="Arial" w:eastAsia="Arial" w:hAnsi="Arial"/>
                <w:sz w:val="14"/>
                <w:szCs w:val="14"/>
                <w:b w:val="1"/>
                <w:bCs w:val="1"/>
                <w:color w:val="auto"/>
                <w:w w:val="92"/>
              </w:rPr>
              <w:t>(Zip Code)</w:t>
            </w:r>
          </w:p>
        </w:tc>
      </w:tr>
    </w:tbl>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(212) 857-3100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4040" w:type="dxa"/>
            <w:vAlign w:val="bottom"/>
            <w:gridSpan w:val="3"/>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940" w:type="dxa"/>
            <w:vAlign w:val="bottom"/>
            <w:gridSpan w:val="5"/>
          </w:tcPr>
          <w:p>
            <w:pPr>
              <w:jc w:val="center"/>
              <w:ind w:right="2240"/>
              <w:spacing w:after="0"/>
              <w:rPr>
                <w:sz w:val="20"/>
                <w:szCs w:val="20"/>
                <w:color w:val="auto"/>
              </w:rPr>
            </w:pPr>
            <w:r>
              <w:rPr>
                <w:rFonts w:ascii="Arial" w:cs="Arial" w:eastAsia="Arial" w:hAnsi="Arial"/>
                <w:sz w:val="18"/>
                <w:szCs w:val="18"/>
                <w:b w:val="1"/>
                <w:bCs w:val="1"/>
                <w:color w:val="auto"/>
                <w:w w:val="88"/>
              </w:rPr>
              <w:t>Class A Common Stock, $0.01 par value</w:t>
            </w:r>
          </w:p>
        </w:tc>
        <w:tc>
          <w:tcPr>
            <w:tcW w:w="27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New York Stock Exchange</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6580" w:type="dxa"/>
            <w:vAlign w:val="bottom"/>
            <w:gridSpan w:val="5"/>
          </w:tcPr>
          <w:p>
            <w:pPr>
              <w:ind w:left="108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4060" w:type="dxa"/>
            <w:vAlign w:val="bottom"/>
            <w:gridSpan w:val="3"/>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960" w:type="dxa"/>
            <w:vAlign w:val="bottom"/>
            <w:gridSpan w:val="2"/>
          </w:tcPr>
          <w:p>
            <w:pPr>
              <w:spacing w:after="0"/>
              <w:rPr>
                <w:sz w:val="11"/>
                <w:szCs w:val="11"/>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proceeding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180" w:firstLine="456"/>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0" w:right="279" w:bottom="1440" w:gutter="0" w:footer="0" w:header="0"/>
        </w:sectPr>
      </w:pPr>
    </w:p>
    <w:p>
      <w:pPr>
        <w:spacing w:after="0" w:line="3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firstLine="337"/>
        <w:spacing w:after="0" w:line="210"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528" w:lineRule="exact"/>
        <w:rPr>
          <w:sz w:val="24"/>
          <w:szCs w:val="24"/>
          <w:color w:val="auto"/>
        </w:rPr>
      </w:pPr>
    </w:p>
    <w:p>
      <w:pPr>
        <w:sectPr>
          <w:pgSz w:w="11900" w:h="16838" w:orient="portrait"/>
          <w:cols w:equalWidth="0" w:num="7">
            <w:col w:w="2260" w:space="80"/>
            <w:col w:w="580" w:space="720"/>
            <w:col w:w="1200" w:space="100"/>
            <w:col w:w="160" w:space="520"/>
            <w:col w:w="2480" w:space="240"/>
            <w:col w:w="2020" w:space="80"/>
            <w:col w:w="940"/>
          </w:cols>
          <w:pgMar w:left="240" w:top="230" w:right="27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9" w:lineRule="exact"/>
        <w:rPr>
          <w:sz w:val="24"/>
          <w:szCs w:val="24"/>
          <w:color w:val="auto"/>
        </w:rPr>
      </w:pPr>
    </w:p>
    <w:p>
      <w:pPr>
        <w:sectPr>
          <w:pgSz w:w="11900" w:h="16838" w:orient="portrait"/>
          <w:cols w:equalWidth="0" w:num="5">
            <w:col w:w="7980" w:space="160"/>
            <w:col w:w="260" w:space="80"/>
            <w:col w:w="160" w:space="180"/>
            <w:col w:w="220" w:space="80"/>
            <w:col w:w="2260"/>
          </w:cols>
          <w:pgMar w:left="240" w:top="230" w:right="279" w:bottom="1440" w:gutter="0" w:footer="0" w:header="0"/>
          <w:type w:val="continuous"/>
        </w:sectPr>
      </w:pPr>
    </w:p>
    <w:p>
      <w:pPr>
        <w:ind w:right="220" w:firstLine="456"/>
        <w:spacing w:after="0" w:line="259" w:lineRule="auto"/>
        <w:rPr>
          <w:sz w:val="20"/>
          <w:szCs w:val="20"/>
          <w:color w:val="auto"/>
        </w:rPr>
      </w:pPr>
      <w:r>
        <w:rPr>
          <w:rFonts w:ascii="Arial" w:cs="Arial" w:eastAsia="Arial" w:hAnsi="Arial"/>
          <w:sz w:val="18"/>
          <w:szCs w:val="18"/>
          <w:color w:val="auto"/>
        </w:rPr>
        <w:t>The aggregate market value of the voting and nonvoting common equity of the registrant held by non-affiliates as of June 30, 2008 was approximately $109.4 million, based on the closing price of the registrant’s Class A common stock reported on the New York Stock Exchange on such date of $9.50 per share and on the par value of the registrant’s Class B common stock, par value $0.01 per share.</w:t>
      </w:r>
    </w:p>
    <w:p>
      <w:pPr>
        <w:spacing w:after="0" w:line="19" w:lineRule="exact"/>
        <w:rPr>
          <w:sz w:val="24"/>
          <w:szCs w:val="24"/>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number of shares of the registrant’s Class A common stock, par value $0.01 per share, outstanding as of March 9, 2009, was 12,213,297. The number of shares of the registrant’s Class B common stock, par value $0.01 per share, outstanding as of March 9, 2009 was 51 (excluding 49 shares of Class B common stock held by a subsidiary of the registrant).</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Portions of the definitive Proxy Statement of Evercore Partners Inc. to be filed pursuant to Regulation 14A of the general rules and regulations under the Securities Exchange Act of 1934, as amended, for the 2009 annual meeting of stockholders to be held on June 3, 2009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60" w:type="dxa"/>
            <w:vAlign w:val="bottom"/>
            <w:gridSpan w:val="9"/>
          </w:tcPr>
          <w:p>
            <w:pPr>
              <w:jc w:val="center"/>
              <w:ind w:right="3800"/>
              <w:spacing w:after="0"/>
              <w:rPr>
                <w:sz w:val="20"/>
                <w:szCs w:val="20"/>
                <w:color w:val="auto"/>
              </w:rPr>
            </w:pPr>
            <w:r>
              <w:rPr>
                <w:rFonts w:ascii="Arial" w:cs="Arial" w:eastAsia="Arial" w:hAnsi="Arial"/>
                <w:sz w:val="18"/>
                <w:szCs w:val="18"/>
                <w:b w:val="1"/>
                <w:bCs w:val="1"/>
                <w:color w:val="auto"/>
                <w:w w:val="96"/>
              </w:rPr>
              <w:t>EVERCORE PARTNERS INC.</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4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48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540" w:type="dxa"/>
            <w:vAlign w:val="bottom"/>
            <w:tcBorders>
              <w:bottom w:val="single" w:sz="8" w:color="0000EE"/>
            </w:tcBorders>
            <w:vMerge w:val="continue"/>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1002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Unresolved Staff Comments</w:t>
              </w:r>
            </w:hyperlink>
          </w:p>
        </w:tc>
        <w:tc>
          <w:tcPr>
            <w:tcW w:w="8020" w:type="dxa"/>
            <w:vAlign w:val="bottom"/>
            <w:gridSpan w:val="12"/>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Properties</w:t>
              </w:r>
            </w:hyperlink>
          </w:p>
        </w:tc>
        <w:tc>
          <w:tcPr>
            <w:tcW w:w="9300" w:type="dxa"/>
            <w:vAlign w:val="bottom"/>
            <w:gridSpan w:val="18"/>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Submission of Matters to a Vote of Security Holders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PART II</w:t>
              </w:r>
            </w:hyperlink>
          </w:p>
        </w:tc>
        <w:tc>
          <w:tcPr>
            <w:tcW w:w="420" w:type="dxa"/>
            <w:vAlign w:val="bottom"/>
            <w:gridSpan w:val="3"/>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Market for Registrant’s Common Equity, Related Stockholder Matters and Issuer Purchases of Equity Securities</w:t>
              </w:r>
            </w:hyperlink>
          </w:p>
        </w:tc>
        <w:tc>
          <w:tcPr>
            <w:tcW w:w="21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002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1002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2"/>
                <w:szCs w:val="22"/>
                <w:color w:val="auto"/>
              </w:rPr>
            </w:pPr>
          </w:p>
        </w:tc>
        <w:tc>
          <w:tcPr>
            <w:tcW w:w="3720" w:type="dxa"/>
            <w:vAlign w:val="bottom"/>
            <w:gridSpan w:val="4"/>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Financial Statements and Supplemental Data</w:t>
              </w:r>
            </w:hyperlink>
          </w:p>
        </w:tc>
        <w:tc>
          <w:tcPr>
            <w:tcW w:w="6860" w:type="dxa"/>
            <w:vAlign w:val="bottom"/>
            <w:gridSpan w:val="9"/>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1002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Controls and Procedures</w:t>
              </w:r>
            </w:hyperlink>
          </w:p>
        </w:tc>
        <w:tc>
          <w:tcPr>
            <w:tcW w:w="3700" w:type="dxa"/>
            <w:vAlign w:val="bottom"/>
            <w:gridSpan w:val="3"/>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Other Information</w:t>
              </w:r>
            </w:hyperlink>
          </w:p>
        </w:tc>
        <w:tc>
          <w:tcPr>
            <w:tcW w:w="8300" w:type="dxa"/>
            <w:vAlign w:val="bottom"/>
            <w:gridSpan w:val="14"/>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412"/>
        </w:trPr>
        <w:tc>
          <w:tcPr>
            <w:tcW w:w="1020" w:type="dxa"/>
            <w:vAlign w:val="bottom"/>
            <w:gridSpan w:val="5"/>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5"/>
              </w:rPr>
              <w:t>Item 10.</w:t>
            </w:r>
          </w:p>
        </w:tc>
        <w:tc>
          <w:tcPr>
            <w:tcW w:w="380" w:type="dxa"/>
            <w:vAlign w:val="bottom"/>
            <w:gridSpan w:val="2"/>
          </w:tcPr>
          <w:p>
            <w:pPr>
              <w:spacing w:after="0"/>
              <w:rPr>
                <w:sz w:val="22"/>
                <w:szCs w:val="22"/>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Directors, Executive Officers and Corporate Governance</w:t>
              </w:r>
            </w:hyperlink>
          </w:p>
        </w:tc>
        <w:tc>
          <w:tcPr>
            <w:tcW w:w="6020" w:type="dxa"/>
            <w:vAlign w:val="bottom"/>
            <w:gridSpan w:val="7"/>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002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Executive Compensation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Security Ownership of Certain Beneficial Owners and Management and Related Stockholder Matters</w:t>
              </w:r>
            </w:hyperlink>
          </w:p>
        </w:tc>
        <w:tc>
          <w:tcPr>
            <w:tcW w:w="2900" w:type="dxa"/>
            <w:vAlign w:val="bottom"/>
            <w:gridSpan w:val="2"/>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2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13">
              <w:r>
                <w:rPr>
                  <w:rFonts w:ascii="Arial" w:cs="Arial" w:eastAsia="Arial" w:hAnsi="Arial"/>
                  <w:sz w:val="18"/>
                  <w:szCs w:val="18"/>
                  <w:color w:val="0000EE"/>
                  <w:w w:val="87"/>
                </w:rPr>
                <w:t>Certain Relationships and Related Transactions and Director Independence</w:t>
              </w:r>
            </w:hyperlink>
          </w:p>
        </w:tc>
        <w:tc>
          <w:tcPr>
            <w:tcW w:w="4740" w:type="dxa"/>
            <w:vAlign w:val="bottom"/>
            <w:gridSpan w:val="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1002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Accountant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14">
              <w:r>
                <w:rPr>
                  <w:rFonts w:ascii="Arial" w:cs="Arial" w:eastAsia="Arial" w:hAnsi="Arial"/>
                  <w:sz w:val="18"/>
                  <w:szCs w:val="18"/>
                  <w:color w:val="0000EE"/>
                  <w:w w:val="91"/>
                </w:rPr>
                <w:t>PART IV</w:t>
              </w:r>
            </w:hyperlink>
          </w:p>
        </w:tc>
        <w:tc>
          <w:tcPr>
            <w:tcW w:w="3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10020" w:type="dxa"/>
            <w:vAlign w:val="bottom"/>
            <w:gridSpan w:val="2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Exhibits and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website address is www.evercore.com. We make available free of charge on the Investor Relations section of our website (http://ir.evercore.com) our Annual Report on Form 10-K (“Form 10-K”), Quarterly Reports on Form 10-Q, Current Reports on Form 8-K and all amendments to those reports as soon as reasonably practicable after such material is electronically filed or furnished with the Securities and Exchange Commission (the “SEC”) pursuant to Section 13(a) or 15(d) of the Securities Exchange Act of 1934 (the “Exchange Act”). We also make available through our website other reports filed with or furnished to the SEC under the Exchange Act, including our Proxy Statements and reports filed by officers and directors under Section 16(a) of that Act, as well as our Code of Business Conduct and Ethics. From time to time we may use our website as a channel of distribution of material company information. Financial and other material information regarding the Company is routinely posted on and accessible at http://ir.evercore.com. In addition, you may automatically receive email alerts and other information about us by enrolling your email by visiting the “Email Alert” section at http://ir.evercore.com. We do not intend for information contained in our website to be part of this Form 10-K.</w:t>
      </w:r>
    </w:p>
    <w:p>
      <w:pPr>
        <w:spacing w:after="0" w:line="120"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Any materials we file with the SEC may be read and copied at the SEC’s Public Reference Room at 100 F Street, N.E., Washington, DC, 20549. Information on the operation of the Public Reference Room may be obtained by calling the SEC at 1-800-SEC-0330. The SEC maintains an Internet site (http://www.sec.gov) that contains reports, proxy and information statements and other information regarding issuers that file electronically with the SEC.</w:t>
      </w:r>
    </w:p>
    <w:p>
      <w:pPr>
        <w:spacing w:after="0" w:line="10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In this report, references to “Evercore”, the “Company”, “we”, “us”, “our” and our “Successor Company” refer, subsequent to the Reorganization described in “Management’s Discussion and Analysis of Financial Condition and Results of Operations–Reorganization”, to Evercore Partners Inc., a Delaware corporation, and its consolidated subsidiaries. These references (other than Successor Company) refer, prior to such Reorganization, to Evercore Holdings, or our “Predecessor Company”, which was comprised of certain combined and consolidated entities under the common ownership of the Evercore Senior Managing Directors. Unless the context otherwise requires, references to (1) “Evercore Partners Inc.” refer solely to Evercore Partners Inc., and not to any of its consolidated subsidiaries and</w:t>
      </w:r>
    </w:p>
    <w:p>
      <w:pPr>
        <w:spacing w:after="0" w:line="2" w:lineRule="exact"/>
        <w:rPr>
          <w:sz w:val="20"/>
          <w:szCs w:val="20"/>
          <w:color w:val="auto"/>
        </w:rPr>
      </w:pPr>
    </w:p>
    <w:p>
      <w:pPr>
        <w:ind w:right="20"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“Evercore LP” refer solely to Evercore LP, a Delaware limited partnership, and not to any of its consolidated subsidiaries. References to the “IPO” refer to our initial public offering on August 10, 2006 of 4,542,500 shares of our Class A common stock, including shares issued to the underwriters of the IPO pursuant to their election to exercise in full their overallotment option.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This report contains or incorporates by reference forward-looking statements within the meaning of Section 27A of the Securities Act of 1933 and Section 21E of the Exchange Act, which reflect our current views with respect to, among other things, our operations and financial performance. In some cases, you can identify these forward-looking statements by the use of words such as “outlook”, “believes”, “expects”, “potential”, “continues”, “may”, “should”, “seeks”, “approximately”, “predicts”, “intends”, “plans”, “estimates”, “anticipates” or the negative version of these words or other comparable words. Such forward-looking statements are subject to various risks and uncertainties.</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Accordingly, there are or will be important factors that could cause actual outcomes or results to differ materially from those indicated in these statements. All statements other than statements of historical fact are forward-looking statements and are based on various underlying assumptions and expectations and are subject to known and unknown risks, uncertainties and assumptions, and may include projections of our future financial performance based on our growth strategies and anticipated trends in Evercore’s business. We believe these factors include, but are not limited to, those described under “Risk Factors”. These factors should not be construed as exhaustive and should be read in conjunction with the other cautionary statements that are included or incorporated by reference in this report. We undertake no obligation to publicly update or review any forward-looking statement, whether as a result of new information, future developments or otherwise.</w:t>
      </w:r>
    </w:p>
    <w:p>
      <w:pPr>
        <w:spacing w:after="0" w:line="14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Evercore is one of the leading investment banking boutiques in the world based on the dollar volume of announced worldwide merger and acquisition (“M&amp;A”) transactions on which we have advised since 2003. When we use the term “investment banking boutique,” we mean an investment banking firm that directly or through its affiliates does not underwrite public offerings of securities or engage in commercial banking activities. We provide advisory services to prominent multinational corporations on significant mergers, acquisitions, divestitures, restructurings and other strategic corporate transactions. Evercore also includes an Investment Management business through which we manage private equity funds and institutional assets for sophisticated institutional investors and provide wealth management services for high net-worth individuals. We serve a diverse set of clients around the world from our offices in New York, Boston, San Francisco, London, Mexico City and Monterrey.</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were founded on the belief that there was an opportunity within the investment banking industry for a firm free of the potential conflicts of interest created within large, multi-product financial institutions. We also believed that the broad set of relationships of an independent advisory business would provide the foundation for a differentiated investment platform.</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From the time of our founding in 1996, we have grown by expanding the range of our advisory and investment management services. In our Advisory business, at February 5, 2009 we had 35 Senior Managing Directors with expertise and client relationships in a number of industry sectors, including telecommunications, technology, aerospace and defense, media, energy and power, general industrial, consumer products, chemicals, automotive, and financial institutions: 20 in the United States, 6 in Mexico and 9 in Europe. Our Advisory business has a particular focus on advising multinational corporations on large, complex transactions. In addition, we have professionals with extensive restructuring experience. Our Investment Management business encompasses three sectors: (1) Private Equity, with funds focusing on middle market investing in both the U.S. and Mexico; (2) Institutional Asset Management, in the U.S. through Evercore Asset Management L.L.C. (“EAM”) and in Mexico through Protego Casa de Bolsa (“PCB”); and (3) Wealth Management, through Evercore Wealth Management (“EWM”) in the U.S. and Evercore Pan-Asset Capital Management (“Pan”) in the U.K. Each of these businesses is led by senior investment professionals with extensive experience in their respective fields. In aggregate, our Investment Management business has nine Senior Managing Directors as well as a number of highly experienced Portfolio Managers.</w:t>
      </w:r>
    </w:p>
    <w:p>
      <w:pPr>
        <w:spacing w:after="0" w:line="123"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We have grown from three Senior Managing Directors at our inception to 46 at February 5, 2009. We expect to continue our growth by hiring highly-qualified professionals, expanding into new geographic areas, deepening our coverage of key industry sectors and growing and diversifying our Investment Management products and services. We opened our New York office in 1996 and our San Francisco office in 2005. On August 10, 2006 we combined with Protego Asesores S. de R.L. (“Protego”) in Mexico, with offices in Mexico City and Monterrey, and on December 19, 2006 we acquired Braveheart Financial Services Limited (“Braveheart”), with an office in London. Braveheart was subsequently renamed Evercore Partners Limited (“Evercore Europe”).</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believe maintaining standards of excellence in our core businesses demands a spirit of cooperation and hands-on participation more commonly found in smaller organizations. Since our inception, we have set out to build—in the employees we choose and in the projects we undertake—an organization dedicated to the highest caliber of professionalism.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two business segments are Advisory and Investment Management.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Advisory business provides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have advised on numerous noteworthy transactions, including:</w:t>
      </w:r>
    </w:p>
    <w:p>
      <w:pPr>
        <w:sectPr>
          <w:pgSz w:w="11900" w:h="16838" w:orient="portrait"/>
          <w:cols w:equalWidth="0" w:num="1">
            <w:col w:w="11400"/>
          </w:cols>
          <w:pgMar w:left="240" w:top="459" w:right="259" w:bottom="1440" w:gutter="0" w:footer="0" w:header="0"/>
        </w:sectPr>
      </w:pP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Wyeth on its pending sale to Pfizer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Electronic Data Systems on its sale to Hewlett-Packard</w:t>
      </w:r>
    </w:p>
    <w:p>
      <w:pPr>
        <w:spacing w:after="0" w:line="151" w:lineRule="exact"/>
        <w:rPr>
          <w:sz w:val="20"/>
          <w:szCs w:val="20"/>
          <w:color w:val="auto"/>
        </w:rPr>
      </w:pPr>
    </w:p>
    <w:p>
      <w:pPr>
        <w:sectPr>
          <w:pgSz w:w="11900" w:h="16838" w:orient="portrait"/>
          <w:cols w:equalWidth="0" w:num="4">
            <w:col w:w="180" w:space="220"/>
            <w:col w:w="5040" w:space="720"/>
            <w:col w:w="60" w:space="220"/>
            <w:col w:w="496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Special Committee of Time Warner Cable on its pending separation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Centennial Communications on its pending sale to AT&amp;T</w:t>
      </w:r>
    </w:p>
    <w:p>
      <w:pPr>
        <w:spacing w:after="0" w:line="38" w:lineRule="exact"/>
        <w:rPr>
          <w:sz w:val="20"/>
          <w:szCs w:val="20"/>
          <w:color w:val="auto"/>
        </w:rPr>
      </w:pPr>
    </w:p>
    <w:p>
      <w:pPr>
        <w:sectPr>
          <w:pgSz w:w="11900" w:h="16838" w:orient="portrait"/>
          <w:cols w:equalWidth="0" w:num="4">
            <w:col w:w="180" w:space="220"/>
            <w:col w:w="5060" w:space="700"/>
            <w:col w:w="60" w:space="220"/>
            <w:col w:w="4960"/>
          </w:cols>
          <w:pgMar w:left="240" w:top="459" w:right="2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from Time Warner</w:t>
      </w:r>
    </w:p>
    <w:p>
      <w:pPr>
        <w:sectPr>
          <w:pgSz w:w="11900" w:h="16838" w:orient="portrait"/>
          <w:cols w:equalWidth="0" w:num="1">
            <w:col w:w="11400"/>
          </w:cols>
          <w:pgMar w:left="240" w:top="459" w:right="259" w:bottom="1440" w:gutter="0" w:footer="0" w:header="0"/>
          <w:type w:val="continuous"/>
        </w:sectPr>
      </w:pP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First Data on its leveraged buyout by Kohlberg Kravis &amp; Roberts &amp; Co.</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LyondellBasell on its restructuring</w:t>
      </w:r>
    </w:p>
    <w:p>
      <w:pPr>
        <w:spacing w:after="0" w:line="140" w:lineRule="exact"/>
        <w:rPr>
          <w:sz w:val="20"/>
          <w:szCs w:val="20"/>
          <w:color w:val="auto"/>
        </w:rPr>
      </w:pPr>
    </w:p>
    <w:p>
      <w:pPr>
        <w:sectPr>
          <w:pgSz w:w="11900" w:h="16838" w:orient="portrait"/>
          <w:cols w:equalWidth="0" w:num="4">
            <w:col w:w="180" w:space="220"/>
            <w:col w:w="5060" w:space="700"/>
            <w:col w:w="60" w:space="220"/>
            <w:col w:w="496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General Motors on the Delphi restructuring and various other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Swiss Re on its investment from Berkshire Hathaway</w:t>
      </w:r>
    </w:p>
    <w:p>
      <w:pPr>
        <w:spacing w:after="0" w:line="140" w:lineRule="exact"/>
        <w:rPr>
          <w:sz w:val="20"/>
          <w:szCs w:val="20"/>
          <w:color w:val="auto"/>
        </w:rPr>
      </w:pPr>
    </w:p>
    <w:p>
      <w:pPr>
        <w:sectPr>
          <w:pgSz w:w="11900" w:h="16838" w:orient="portrait"/>
          <w:cols w:equalWidth="0" w:num="4">
            <w:col w:w="180" w:space="220"/>
            <w:col w:w="5040" w:space="720"/>
            <w:col w:w="60" w:space="220"/>
            <w:col w:w="496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Tyco on its split-up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AT&amp;T on its acquisition of BellSouth</w:t>
      </w:r>
    </w:p>
    <w:p>
      <w:pPr>
        <w:spacing w:after="0" w:line="140" w:lineRule="exact"/>
        <w:rPr>
          <w:sz w:val="20"/>
          <w:szCs w:val="20"/>
          <w:color w:val="auto"/>
        </w:rPr>
      </w:pPr>
    </w:p>
    <w:p>
      <w:pPr>
        <w:sectPr>
          <w:pgSz w:w="11900" w:h="16838" w:orient="portrait"/>
          <w:cols w:equalWidth="0" w:num="4">
            <w:col w:w="180" w:space="220"/>
            <w:col w:w="5040" w:space="720"/>
            <w:col w:w="60" w:space="220"/>
            <w:col w:w="496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E*TRADE Financial on its capital raise from Citadel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Cendant on its split-up</w:t>
      </w:r>
    </w:p>
    <w:p>
      <w:pPr>
        <w:spacing w:after="0" w:line="140" w:lineRule="exact"/>
        <w:rPr>
          <w:sz w:val="20"/>
          <w:szCs w:val="20"/>
          <w:color w:val="auto"/>
        </w:rPr>
      </w:pPr>
    </w:p>
    <w:p>
      <w:pPr>
        <w:sectPr>
          <w:pgSz w:w="11900" w:h="16838" w:orient="portrait"/>
          <w:cols w:equalWidth="0" w:num="4">
            <w:col w:w="180" w:space="220"/>
            <w:col w:w="5040" w:space="720"/>
            <w:col w:w="60" w:space="220"/>
            <w:col w:w="496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Smiths Group on its sale of its Aerospace division to General Electric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Credit Suisse on its sale of Winterthur to AXA</w:t>
      </w:r>
    </w:p>
    <w:p>
      <w:pPr>
        <w:spacing w:after="0" w:line="140" w:lineRule="exact"/>
        <w:rPr>
          <w:sz w:val="20"/>
          <w:szCs w:val="20"/>
          <w:color w:val="auto"/>
        </w:rPr>
      </w:pPr>
    </w:p>
    <w:p>
      <w:pPr>
        <w:sectPr>
          <w:pgSz w:w="11900" w:h="16838" w:orient="portrait"/>
          <w:cols w:equalWidth="0" w:num="4">
            <w:col w:w="180" w:space="220"/>
            <w:col w:w="5040" w:space="720"/>
            <w:col w:w="60" w:space="220"/>
            <w:col w:w="496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CVS on its acquisition of Caremark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hanging="42"/>
        <w:spacing w:after="0" w:line="268" w:lineRule="auto"/>
        <w:rPr>
          <w:sz w:val="20"/>
          <w:szCs w:val="20"/>
          <w:color w:val="auto"/>
        </w:rPr>
      </w:pPr>
      <w:r>
        <w:rPr>
          <w:rFonts w:ascii="Arial" w:cs="Arial" w:eastAsia="Arial" w:hAnsi="Arial"/>
          <w:sz w:val="18"/>
          <w:szCs w:val="18"/>
          <w:color w:val="auto"/>
        </w:rPr>
        <w:t>IntercontinentalExchange on its acquisition of the New York Board of Trade</w:t>
      </w:r>
    </w:p>
    <w:p>
      <w:pPr>
        <w:spacing w:after="0" w:line="78" w:lineRule="exact"/>
        <w:rPr>
          <w:sz w:val="20"/>
          <w:szCs w:val="20"/>
          <w:color w:val="auto"/>
        </w:rPr>
      </w:pPr>
    </w:p>
    <w:p>
      <w:pPr>
        <w:sectPr>
          <w:pgSz w:w="11900" w:h="16838" w:orient="portrait"/>
          <w:cols w:equalWidth="0" w:num="4">
            <w:col w:w="180" w:space="220"/>
            <w:col w:w="5040" w:space="720"/>
            <w:col w:w="60" w:space="280"/>
            <w:col w:w="4900"/>
          </w:cols>
          <w:pgMar w:left="240" w:top="459" w:right="2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SBC on its acquisition of AT&amp;T and on Cingular’s acquisition of AT&amp;T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Realogy on its leveraged buyout by Apollo Management</w:t>
      </w:r>
    </w:p>
    <w:p>
      <w:pPr>
        <w:spacing w:after="0" w:line="38" w:lineRule="exact"/>
        <w:rPr>
          <w:sz w:val="20"/>
          <w:szCs w:val="20"/>
          <w:color w:val="auto"/>
        </w:rPr>
      </w:pPr>
    </w:p>
    <w:p>
      <w:pPr>
        <w:sectPr>
          <w:pgSz w:w="11900" w:h="16838" w:orient="portrait"/>
          <w:cols w:equalWidth="0" w:num="4">
            <w:col w:w="180" w:space="220"/>
            <w:col w:w="5080" w:space="680"/>
            <w:col w:w="60" w:space="220"/>
            <w:col w:w="4960"/>
          </w:cols>
          <w:pgMar w:left="240" w:top="459" w:right="25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Wireless</w:t>
      </w:r>
    </w:p>
    <w:p>
      <w:pPr>
        <w:sectPr>
          <w:pgSz w:w="11900" w:h="16838" w:orient="portrait"/>
          <w:cols w:equalWidth="0" w:num="1">
            <w:col w:w="11400"/>
          </w:cols>
          <w:pgMar w:left="240" w:top="459" w:right="259" w:bottom="1440" w:gutter="0" w:footer="0" w:header="0"/>
          <w:type w:val="continuous"/>
        </w:sectPr>
      </w:pP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Cerberus on the financing of its acquisition of Chrysler</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Apax Partners on its acquisition of Thomson Learning</w:t>
      </w:r>
    </w:p>
    <w:p>
      <w:pPr>
        <w:spacing w:after="0" w:line="194" w:lineRule="exact"/>
        <w:rPr>
          <w:sz w:val="20"/>
          <w:szCs w:val="20"/>
          <w:color w:val="auto"/>
        </w:rPr>
      </w:pPr>
    </w:p>
    <w:p>
      <w:pPr>
        <w:sectPr>
          <w:pgSz w:w="11900" w:h="16838" w:orient="portrait"/>
          <w:cols w:equalWidth="0" w:num="4">
            <w:col w:w="180" w:space="220"/>
            <w:col w:w="5040" w:space="720"/>
            <w:col w:w="60" w:space="220"/>
            <w:col w:w="4960"/>
          </w:cols>
          <w:pgMar w:left="240" w:top="459" w:right="259" w:bottom="1440" w:gutter="0" w:footer="0" w:header="0"/>
          <w:type w:val="continuous"/>
        </w:sectPr>
      </w:pPr>
    </w:p>
    <w:p>
      <w:pPr>
        <w:ind w:right="40" w:firstLine="456"/>
        <w:spacing w:after="0" w:line="306" w:lineRule="auto"/>
        <w:rPr>
          <w:sz w:val="20"/>
          <w:szCs w:val="20"/>
          <w:color w:val="auto"/>
        </w:rPr>
      </w:pPr>
      <w:r>
        <w:rPr>
          <w:rFonts w:ascii="Arial" w:cs="Arial" w:eastAsia="Arial" w:hAnsi="Arial"/>
          <w:sz w:val="16"/>
          <w:szCs w:val="16"/>
          <w:color w:val="auto"/>
        </w:rPr>
        <w:t>Our approach is to work as a trusted senior advisor to top corporate officers and boards of directors, helping them devise strategies for enhancing shareholder value. We believe this relationship-based approach to our Advisory business gives us a competitive advantage in serving a distinct need in the market today. Furthermore, we believe our Advisory business is differentiated from that of our competitors in the following respects:</w:t>
      </w:r>
    </w:p>
    <w:p>
      <w:pPr>
        <w:spacing w:after="0" w:line="26" w:lineRule="exact"/>
        <w:rPr>
          <w:sz w:val="20"/>
          <w:szCs w:val="20"/>
          <w:color w:val="auto"/>
        </w:rPr>
      </w:pPr>
    </w:p>
    <w:p>
      <w:pPr>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Objective Advice with a Long-Term Perspective. </w:t>
      </w:r>
      <w:r>
        <w:rPr>
          <w:rFonts w:ascii="Arial" w:cs="Arial" w:eastAsia="Arial" w:hAnsi="Arial"/>
          <w:sz w:val="18"/>
          <w:szCs w:val="18"/>
          <w:color w:val="auto"/>
        </w:rPr>
        <w:t>We seek to recommend shareholder value enhancement strategies or other financial strategies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would pursue ourselves were we acting in management’s capacity. This approach often includes advising our clients against pursuing transactions that we believe do not meet that standard.</w:t>
      </w:r>
    </w:p>
    <w:p>
      <w:pPr>
        <w:spacing w:after="0" w:line="59"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Excellence. </w:t>
      </w:r>
      <w:r>
        <w:rPr>
          <w:rFonts w:ascii="Arial" w:cs="Arial" w:eastAsia="Arial" w:hAnsi="Arial"/>
          <w:sz w:val="18"/>
          <w:szCs w:val="18"/>
          <w:color w:val="auto"/>
        </w:rPr>
        <w:t>Since the beginning of 2003, we have advised on more than $600 billion of announced transactions, including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processes, mergers of equals, special committee advisory assignments, recapitalizations and restructurings. We have provided significant advisory services on multiple transactions for AT&amp;T (including its predecessor company, SBC), CVS, Dow Jones, EDS, E*TRADE Financial, General Mills, General Motors and Swiss Re, among others.</w:t>
      </w:r>
    </w:p>
    <w:p>
      <w:pPr>
        <w:spacing w:after="0" w:line="62" w:lineRule="exact"/>
        <w:rPr>
          <w:rFonts w:ascii="Arial" w:cs="Arial" w:eastAsia="Arial" w:hAnsi="Arial"/>
          <w:sz w:val="18"/>
          <w:szCs w:val="18"/>
          <w:color w:val="auto"/>
        </w:rPr>
      </w:pPr>
    </w:p>
    <w:p>
      <w:pPr>
        <w:jc w:val="both"/>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Senior Level Attention and Experience. </w:t>
      </w:r>
      <w:r>
        <w:rPr>
          <w:rFonts w:ascii="Arial" w:cs="Arial" w:eastAsia="Arial" w:hAnsi="Arial"/>
          <w:sz w:val="18"/>
          <w:szCs w:val="18"/>
          <w:color w:val="auto"/>
        </w:rPr>
        <w:t>The Senior Managing Directors in our Advisory business participate in all facets of client interaction,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initial evaluation phase to the final stage of executing our recommendations. Our Advisory Senior Managing Directors have significant relevant experience.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Independence and Confidentiality. </w:t>
      </w:r>
      <w:r>
        <w:rPr>
          <w:rFonts w:ascii="Arial" w:cs="Arial" w:eastAsia="Arial" w:hAnsi="Arial"/>
          <w:sz w:val="16"/>
          <w:szCs w:val="16"/>
          <w:color w:val="auto"/>
        </w:rPr>
        <w:t>We do not underwrite securities, publish securities research, or act as a lender. This enables us to avoid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 conflicts that may arise from these activities at larger, more diversified competitors. In addition, we believe our commitment to discretion and the smaller size of our firm enhance our ability to provide our clients with strict confidentiality.</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Advisory business generates revenue from fees for providing advice and investment banking services on mergers, acquisitions, restructurings and other strategic transactions. In 2008 our Advisory business generated $181.6 million, or 95%, of our revenues, excluding Other Revenue, net, and earned advisory fees from 149 clients.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advise clients in a number of different situations across many industries and geographies, each of which may require various services:</w:t>
      </w:r>
    </w:p>
    <w:p>
      <w:pPr>
        <w:spacing w:after="0" w:line="107" w:lineRule="exact"/>
        <w:rPr>
          <w:sz w:val="20"/>
          <w:szCs w:val="20"/>
          <w:color w:val="auto"/>
        </w:rPr>
      </w:pPr>
    </w:p>
    <w:p>
      <w:pPr>
        <w:ind w:left="900" w:right="180" w:hanging="325"/>
        <w:spacing w:after="0" w:line="25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Mergers and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advise companies about the potential acquisition of another company or certain assets, our services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w:t>
      </w:r>
    </w:p>
    <w:p>
      <w:pPr>
        <w:spacing w:after="0" w:line="55" w:lineRule="exact"/>
        <w:rPr>
          <w:rFonts w:ascii="Arial" w:cs="Arial" w:eastAsia="Arial" w:hAnsi="Arial"/>
          <w:sz w:val="18"/>
          <w:szCs w:val="18"/>
          <w:color w:val="auto"/>
        </w:rPr>
      </w:pPr>
    </w:p>
    <w:p>
      <w:pPr>
        <w:ind w:left="900" w:right="60" w:hanging="325"/>
        <w:spacing w:after="0" w:line="30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Divestitures and Sale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we advise clients that are contemplating the sale of certain businesses, assets or their entire company,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include evaluating and recommending financial and strategic alternatives with respect to a sale, advising on the appropriate sales process for the situation and valuation issues, assisting in preparing an offering memorandum or other appropriate sales materials and rendering, if appropriate, fairness opinions. We also identify and contact selected qualified acquirers and assist in negotiating and closing the sale.</w:t>
      </w:r>
    </w:p>
    <w:p>
      <w:pPr>
        <w:spacing w:after="0" w:line="22" w:lineRule="exact"/>
        <w:rPr>
          <w:rFonts w:ascii="Arial" w:cs="Arial" w:eastAsia="Arial" w:hAnsi="Arial"/>
          <w:sz w:val="16"/>
          <w:szCs w:val="16"/>
          <w:color w:val="auto"/>
        </w:rPr>
      </w:pPr>
    </w:p>
    <w:p>
      <w:pPr>
        <w:ind w:left="900" w:hanging="325"/>
        <w:spacing w:after="0" w:line="30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Special Committee and Fairness Opinion Assignments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well known for our independence, quality and thoroughness and devoting senior-level attention throughout the project lifecycle. We believe our objectivity, integrity and discretion allow us to provide an unbiased perspective. Our firm does not underwrite securities, publish securities research or act as a lender. We are therefore not burdened by these potential conflicts of interest when advising special committees and boards of directors and rendering fairness opinions.</w:t>
      </w:r>
    </w:p>
    <w:p>
      <w:pPr>
        <w:spacing w:after="0" w:line="22" w:lineRule="exact"/>
        <w:rPr>
          <w:rFonts w:ascii="Arial" w:cs="Arial" w:eastAsia="Arial" w:hAnsi="Arial"/>
          <w:sz w:val="16"/>
          <w:szCs w:val="16"/>
          <w:color w:val="auto"/>
        </w:rPr>
      </w:pPr>
    </w:p>
    <w:p>
      <w:pPr>
        <w:ind w:left="900" w:right="20" w:hanging="325"/>
        <w:spacing w:after="0" w:line="30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Restructuring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financial advice and investment banking services to companies in financial transition, as well as to creditors,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potential acquirors. Our services may include reviewing and analyzing the business, financial condition and prospects of the company or providing advice on strategic transactions, capital raising or restructurings. We also may provide advisory services to companies that have sought or are planning to seek protection under Chapter 11 of the U.S. Bankruptcy Code or other similar processes in non-U.S. jurisdictions.</w:t>
      </w:r>
    </w:p>
    <w:p>
      <w:pPr>
        <w:spacing w:after="0" w:line="22" w:lineRule="exact"/>
        <w:rPr>
          <w:rFonts w:ascii="Arial" w:cs="Arial" w:eastAsia="Arial" w:hAnsi="Arial"/>
          <w:sz w:val="16"/>
          <w:szCs w:val="16"/>
          <w:color w:val="auto"/>
        </w:rPr>
      </w:pPr>
    </w:p>
    <w:p>
      <w:pPr>
        <w:jc w:val="both"/>
        <w:ind w:left="900" w:right="420" w:hanging="325"/>
        <w:spacing w:after="0" w:line="262"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Corporate Finance Advisory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serve as an independent and objective advisor in financing situations. We have developed an expertise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assisting clients with respect to the entire spectrum of capital structure decisions, from underwriter selection and management to negotiation of financing terms and transaction execution.</w:t>
      </w:r>
    </w:p>
    <w:p>
      <w:pPr>
        <w:spacing w:after="0" w:line="13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strive to earn repeat business from our clients. However, we operate in a highly-competitive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new clients each year through our business development initiatives, through recruiting additional senior professionals who bring with them client relationships and through referrals from directors, attorneys and other third parties with whom we have relationships.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Investment Management business encompasses three sectors: (1) Private Equity, composed of five private equity funds with aggregate capital commitments of over $1.4 billion as of December 31, 2008; (2) Institutional Asset Management, in the U.S. through EAM, which provides U.S. equity investing products, and in Mexico through PCB, which manages fixed income products; and (3) Wealth Management, through EWM in the U.S. and Pan in the U.K. Each of these businesses is led by senior investment professionals with extensive experience in their fields. Private Equity is Evercore’s most established Investment Management business, while Institutional Asset Management and Wealth Management include more recently established businesses which are still in the early stages of growth. Our Investment Management business principally manages and invests capital on behalf of third parties, including a broad range of institutional investors such as corporate and public pension funds, endowments, foundations, insurance companies, family offices and high net worth individuals. In 2008, our Investment Management business generated revenue of $11.2 million from our Private Equity sector, $(1.4) million from our Institutional Asset Management sector and $(0.4) million from our Wealth Management sector.</w:t>
      </w:r>
    </w:p>
    <w:p>
      <w:pPr>
        <w:spacing w:after="0" w:line="114"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i w:val="1"/>
          <w:iCs w:val="1"/>
          <w:color w:val="auto"/>
        </w:rPr>
        <w:t>Private Equity</w:t>
      </w:r>
      <w:r>
        <w:rPr>
          <w:rFonts w:ascii="Arial" w:cs="Arial" w:eastAsia="Arial" w:hAnsi="Arial"/>
          <w:sz w:val="16"/>
          <w:szCs w:val="16"/>
          <w:b w:val="1"/>
          <w:bCs w:val="1"/>
          <w:color w:val="auto"/>
        </w:rPr>
        <w:t>—</w:t>
      </w:r>
      <w:r>
        <w:rPr>
          <w:rFonts w:ascii="Arial" w:cs="Arial" w:eastAsia="Arial" w:hAnsi="Arial"/>
          <w:sz w:val="16"/>
          <w:szCs w:val="16"/>
          <w:color w:val="auto"/>
        </w:rPr>
        <w:t>Our Private Equity business sponsors value-oriented, middle-market private equity funds in both the U.S. and Mexico. The U.S. funds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known as Evercore Capital Partners L.P. and its affiliated entities (collectively, “ECP I”), Evercore Capital Partners II L.P. and its affiliated entities (collectively, “ECP II”) and Evercore Venture Partners L.P. and its affiliated entities (collectively, “EVP”). Our first Mexico fund is Discovery Americas I, L.P. (“the Discovery Fund”) and our second fund is known as Evercore Mexico Capital Partners II (“EMCP II”).</w:t>
      </w:r>
    </w:p>
    <w:p>
      <w:pPr>
        <w:spacing w:after="0" w:line="10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of December 31, 2008, ECP I and ECP II have invested over $431.6 million in 11 companies and EVP has invested $20.2 million. The funds typically hold investments for three to seven years and systematically evaluate exit opportunities throughout the holding period. EMCP II has made its first investment of $20.6 million in a pharmaceutical company.</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Private Equity sector primarily generates revenue from (1) fees earned for our management of the funds, (2) portfolio company fees and (3) gains (losses) on investments of our own capital in the funds.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historical Combined Statements of Operations for the period prior to the August 10, 2006 IPO included the results of the general partners of the private equity funds Evercore managed. Following the IPO, the Company does not consolidate the results of the general partners of those private equity funds, as they were not contributed as part of the formation transaction. However, through its equity interest in the general partner of ECP II and the Discovery Fund, Evercore recognizes as revenue 8% to 10% of any carried interest from these funds plus the pro rata share of realized and unrealized gains and losses associated with capital invested.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Evercore currently intends to be entitled to 100% of any management fees and portfolio company fees earned in relation to any private equity fund formed after the IPO that it manages. The Company also currently intends to consolidate the general partners of any private equity fund formed after the IPO that it manages and has a commitment of 10% to EMCP II. Accordingly, it expects to record as revenue 100% of any carried interest and realized or unrealized gains (or losses) on investments earned by these entities. However, the Company expects to allocate to its Senior Managing Directors and other employees, through the direct interests these individuals will hold, a significant percentage of any such carried interest. In addition, these individuals will be entitled to any such gains (or losses) on investment based on the amount of capital they contribute in respect of any such fund. Unlike our pre-IPO private equity funds, the Company currently intends to make significant capital commitments to any future private equity fund it manages.</w:t>
      </w:r>
    </w:p>
    <w:p>
      <w:pPr>
        <w:spacing w:after="0" w:line="112"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i w:val="1"/>
          <w:iCs w:val="1"/>
          <w:color w:val="auto"/>
        </w:rPr>
        <w:t>Institutional Asset Management</w:t>
      </w:r>
      <w:r>
        <w:rPr>
          <w:rFonts w:ascii="Arial" w:cs="Arial" w:eastAsia="Arial" w:hAnsi="Arial"/>
          <w:sz w:val="16"/>
          <w:szCs w:val="16"/>
          <w:b w:val="1"/>
          <w:bCs w:val="1"/>
          <w:color w:val="auto"/>
        </w:rPr>
        <w:t>—</w:t>
      </w:r>
      <w:r>
        <w:rPr>
          <w:rFonts w:ascii="Arial" w:cs="Arial" w:eastAsia="Arial" w:hAnsi="Arial"/>
          <w:sz w:val="16"/>
          <w:szCs w:val="16"/>
          <w:color w:val="auto"/>
        </w:rPr>
        <w:t>We have two businesses that provide institutional asset management services for third party investors, principally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separate account format: EAM, which manages U.S. public equity investment products and PCB, which manages Mexican fixed income products.</w:t>
      </w:r>
    </w:p>
    <w:p>
      <w:pPr>
        <w:spacing w:after="0" w:line="115" w:lineRule="exact"/>
        <w:rPr>
          <w:sz w:val="20"/>
          <w:szCs w:val="20"/>
          <w:color w:val="auto"/>
        </w:rPr>
      </w:pPr>
    </w:p>
    <w:p>
      <w:pPr>
        <w:ind w:left="900" w:right="80" w:hanging="325"/>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EAM: </w:t>
      </w:r>
      <w:r>
        <w:rPr>
          <w:rFonts w:ascii="Arial" w:cs="Arial" w:eastAsia="Arial" w:hAnsi="Arial"/>
          <w:sz w:val="18"/>
          <w:szCs w:val="18"/>
          <w:color w:val="auto"/>
        </w:rPr>
        <w:t>In October 2005, we formed EAM. EAM focuses on long-only investments in small- and mid-capitalization publicly-traded U.S.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The firm comprises a core team of professionals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56" w:lineRule="auto"/>
        <w:rPr>
          <w:sz w:val="20"/>
          <w:szCs w:val="20"/>
          <w:color w:val="auto"/>
        </w:rPr>
      </w:pPr>
      <w:r>
        <w:rPr>
          <w:rFonts w:ascii="Arial" w:cs="Arial" w:eastAsia="Arial" w:hAnsi="Arial"/>
          <w:sz w:val="18"/>
          <w:szCs w:val="18"/>
          <w:color w:val="auto"/>
        </w:rPr>
        <w:t>with long-standing working relationships and a deep commitment to fundamentally-oriented equity investing. EAM’s business development focuses on the institutional pension, endowment and foundation market. As of December 31, 2008, EAM had $165.7 million in assets under management. We do not consolidate the results of EAM, but rather recognize our pro rata share of income or losses based on our 32.7% ownership interest in the joint venture.</w:t>
      </w:r>
    </w:p>
    <w:p>
      <w:pPr>
        <w:spacing w:after="0" w:line="70" w:lineRule="exact"/>
        <w:rPr>
          <w:sz w:val="20"/>
          <w:szCs w:val="20"/>
          <w:color w:val="auto"/>
        </w:rPr>
      </w:pPr>
    </w:p>
    <w:p>
      <w:pPr>
        <w:ind w:left="900" w:hanging="325"/>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PCB: </w:t>
      </w:r>
      <w:r>
        <w:rPr>
          <w:rFonts w:ascii="Arial" w:cs="Arial" w:eastAsia="Arial" w:hAnsi="Arial"/>
          <w:sz w:val="18"/>
          <w:szCs w:val="18"/>
          <w:color w:val="auto"/>
        </w:rPr>
        <w:t>In 2005, Protego formed PCB, an asset management business focused on peso-denominated money market and fixed income securities for</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institutional and high net-worth investors in Mexico. As of December 31, 2008, PCB had 8.8 billion Mexican pesos in assets under management. We own a 70% interest in PCB. Revenue earned from the Institutional Asset Management sector includes PCB’s management fees and performance fees. Interest revenue is derived from investing customer funds in financing transactions with PCB. These transactions are primarily repurchases and resales of Mexican government securities. Revenue and expenses associated with these transactions are recognized over the term of the repurchase or resale transaction.</w:t>
      </w:r>
    </w:p>
    <w:p>
      <w:pPr>
        <w:spacing w:after="0" w:line="145"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Additionally, in September 2008, we made a commitment, subject to certain conditions, to become a strategic partner in the HighView Investment Group (“HighView”), in conjunction with Ralph Schlosstein, the co-founder and former President of BlackRock Inc., and two other institutional investors. HighView’s primary focus is to acquire minority interests in independent alternative asset managers. As of December 31, 2008, HighView had not made any acquisitions and is in the process of raising additional funds and evaluating its primary focus in light of market conditions.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Wealth Management</w:t>
      </w:r>
      <w:r>
        <w:rPr>
          <w:rFonts w:ascii="Arial" w:cs="Arial" w:eastAsia="Arial" w:hAnsi="Arial"/>
          <w:sz w:val="16"/>
          <w:szCs w:val="16"/>
          <w:b w:val="1"/>
          <w:bCs w:val="1"/>
          <w:color w:val="auto"/>
        </w:rPr>
        <w:t>—</w:t>
      </w:r>
      <w:r>
        <w:rPr>
          <w:rFonts w:ascii="Arial" w:cs="Arial" w:eastAsia="Arial" w:hAnsi="Arial"/>
          <w:sz w:val="16"/>
          <w:szCs w:val="16"/>
          <w:color w:val="auto"/>
        </w:rPr>
        <w:t>In 2008, we entered the wealth management business. In July 2008, we acquired a 50% stake in Pan, a U.K. based wealth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firm providing asset allocation advisory services and products to high net-worth individuals, charities and endowments. In November 2008, we formed EWM under the leadership of Jeff Maurer, the former Chairman and CEO of U.S. Trust. EWM serves clients with more than $5 million in investable assets and offers services such as investment policy creation, asset allocation, customized investment management, manager selection, performance reporting and financial planning. As of February 17, 2009, EWM had built a team of 22 experienced professionals, including eight Portfolio Managers. Revenue from the Wealth Management sector is earned through the management of client investment portfolios. Market value based management fees are charged as a percentage of assets under management and recognized on an accrual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and Geographic Location</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See Note 22 to our consolidated/combined financial statements for additional information regarding our segment results and the geographic areas from which we derive our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December 31, 2008, we employed a total of 335 people, including our Senior Managing Directors. We use the title Senior Managing Director to refer to our most senior investment banking, private equity and corporate professionals, which includes our executive officers. We also employ eight individuals involved in asset management, which we refer to as Portfolio Managers. None of our employees are subject to any collective bargaining agreements and we believe we have good relations with our employees.</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As an investment banking boutique, our core asset is our professional staff, their intellectual capital, and their dedication to providing the highest quality services to our clients. Prior to joining Evercore, many of our Senior Managing Directors and Portfolio Managers held senior level positions with other leading corporations, financial services firms, law firms or investment firms.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financial services industry is intensely competitive, and we expect it to remain so. Our competitors are other investment banking, financial advisory and investment management firms. We compete both globally and on a regional, product or niche basis. We compete on the basis of a number of factors, including transaction execution skills, investment performance, our range of products and services, innovation, reputation and price.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believe our primary competitors in securing advisory engagements are Bank of America, Barclays, Credit Suisse, Citigroup, Goldman Sachs, JPMorgan Chase, Lazard, Morgan Stanley, UBS Investment Bank and other large investment banking firms as well as investment banking boutiques such as The Blackstone Group, Centerview Partners, Greenhill and Moelis, among others.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believe that we face a range of competitors in our Investment Management business, with numerous other firms providing competitive services in each of our business sectors. In our Private Equity sector, our competition includes private equity funds of all sizes and we expect to face competition both for our private equity funds and in making acquisitions of portfolio companies. In our Institutional Asset Management sector, each of EAM and PCB face substantial competition from a large number of asset management companies, many of which are larger, more established firms with greater brand name recognition and more extensive client bases. Our Wealth Management sector competes with domestic and global private banks, regional broker-dealers, independent broker-dealers, registered investment advisors, commercial banks, trust companies and other financial services firms offering wealth management services to U.S. clients, many of which have substantially greater resources and offer a broader range of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132"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Many of these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banking, insurance and other financial services revenues in an effort to gain market share, which could result in pricing pressure in our businesses. This trend toward consolidation and convergence has significantly increased the capital base and geographic reach of our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business, as well as the financial services industry generally, is subject to extensive regulation in the United States and elsewhere. As a matter of public policy, regulatory bodies in the United States and the rest of the world are charged with safeguarding the integrity of the securities and other financial markets and with protecting the interests of customers participating in those markets, not with protecting the interests of our shareholders or creditors. In the United States, the SEC is the federal agency responsible for the administration of the federal securities laws. Evercore Group L.L.C. (“EGL”), a wholly-owned subsidiary of ours through which we conduct our financial advisory business, is registered as a broker-dealer with the SEC and the Financial Industry Regulatory Authority (“FINRA”), and is registered as a broker-dealer in all 50 states and the District of Columbia. EGL is subject to regulation and oversight by the SEC. In addition, the FINRA, a self-regulatory organization that is subject to oversight by the SEC, adopts and enforces rules governing the conduct, and examines the activities, of its member firms, including EGL. State securities regulators also have regulatory or oversight authority over EGL.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sales methods, trade practices among broker-dealers, use and safekeeping of customers’ funds and securities, capital structure, record-keeping, the financing of customers’ purchases and the conduct and qualifications of directors, officers and employees. In particular, as a registered broker-dealer and member of a self-regulatory organization, we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Two of our affiliates, EWM and EAM, are registered as investment advisors with the SEC.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as well as general anti-fraud prohibitions.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PCB, our asset management subsidiary in Mexico, is authorized by the Mexican Ministry of Finance to act as a broker-dealer and financial advisor in accordance with the Mexican Securities Market Law. PCB is subject to regulation and oversight by the Mexican Ministry of Finance and the Mexican National Banking and Securities Commission, including the maintenance of minimum capital requirements. In addition, the Mexican Broker Dealer Association, a self-regulatory organization that is subject to oversight by the Mexican National Banking and Securities Commission, adopts and enforces rules governing the conduct, and examines the activities of, its member broker-dealers, including PCB.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Authorization by the Financial Services Authority (“FSA”). </w:t>
      </w:r>
      <w:r>
        <w:rPr>
          <w:rFonts w:ascii="Arial" w:cs="Arial" w:eastAsia="Arial" w:hAnsi="Arial"/>
          <w:sz w:val="16"/>
          <w:szCs w:val="16"/>
          <w:color w:val="auto"/>
        </w:rPr>
        <w:t>The current U.K. regulatory regime is based upon the Financial Services and Markets Act 2000</w:t>
      </w:r>
      <w:r>
        <w:rPr>
          <w:rFonts w:ascii="Arial" w:cs="Arial" w:eastAsia="Arial" w:hAnsi="Arial"/>
          <w:sz w:val="16"/>
          <w:szCs w:val="16"/>
          <w:i w:val="1"/>
          <w:iCs w:val="1"/>
          <w:color w:val="auto"/>
        </w:rPr>
        <w:t xml:space="preserve"> </w:t>
      </w:r>
      <w:r>
        <w:rPr>
          <w:rFonts w:ascii="Arial" w:cs="Arial" w:eastAsia="Arial" w:hAnsi="Arial"/>
          <w:sz w:val="16"/>
          <w:szCs w:val="16"/>
          <w:color w:val="auto"/>
        </w:rPr>
        <w:t>(the “FSMA”), together with secondary legislation and other rules made under the FSMA. Under section 19 of the FSMA, it is an offense for any person to carry on “regulated activities” in the United Kingdom unless it is an authorized person or otherwise exempt from the need to be authorized. The various “regulated activities” are set out in the FSMA (Regulated Activities) Order 2001 (as amended). They include, among other things: advising on investments; arranging deals in investments; dealing in investments as agent; managing investments (</w:t>
      </w:r>
      <w:r>
        <w:rPr>
          <w:rFonts w:ascii="Arial" w:cs="Arial" w:eastAsia="Arial" w:hAnsi="Arial"/>
          <w:sz w:val="16"/>
          <w:szCs w:val="16"/>
          <w:i w:val="1"/>
          <w:iCs w:val="1"/>
          <w:color w:val="auto"/>
        </w:rPr>
        <w:t>i.e.</w:t>
      </w:r>
      <w:r>
        <w:rPr>
          <w:rFonts w:ascii="Arial" w:cs="Arial" w:eastAsia="Arial" w:hAnsi="Arial"/>
          <w:sz w:val="16"/>
          <w:szCs w:val="16"/>
          <w:color w:val="auto"/>
        </w:rPr>
        <w:t>, portfolio management) and the safeguarding and administration of assets (including the arranging of such safeguarding and administration).</w:t>
      </w:r>
    </w:p>
    <w:p>
      <w:pPr>
        <w:spacing w:after="0" w:line="12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 xml:space="preserve">Regulatory capital. </w:t>
      </w:r>
      <w:r>
        <w:rPr>
          <w:rFonts w:ascii="Arial" w:cs="Arial" w:eastAsia="Arial" w:hAnsi="Arial"/>
          <w:sz w:val="16"/>
          <w:szCs w:val="16"/>
          <w:color w:val="auto"/>
        </w:rPr>
        <w:t>Regulatory capital requirements form an integral part of the FSA’s prudential supervision of FSA authorized firms. The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rules oblige firms to hold a certain amount of capital at all times (taking into account the particular risks to which the firm may be exposed given its business activities), thereby helping to ensure that firms can meet their liabilities as they fall due and safeguarding their (and their counterparties’) financial stability. The FSA also expects firms to take a proactive approach to monitoring and managing risks, consistent with its high level requirement for firms to have adequate financial resources. Regulatory capital requirements exist on two levels. The first is a solo requirement aimed at individual authorized entities (with the relevant firm being required to submit periodic reports to demonstrate compliance with the relevant requirement). The second is a consolidated (or group) requirement and relates to a part of or the entire group of which an authorized firm or firms form part. The FSA’s rules in relation to capital requirements were updated in 2007 to implement the recast EU Capital Requirements Directive (“CRD”), which came fully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into force in the United Kingdom in January 2007. The CRD, which amended two capital requirements directives (The Banking Consolidation Directive and the Capital Adequacy Directive), introduced a more risk-sensitive approach to capital adequacy (with a particular emphasis on operational risk).</w:t>
      </w:r>
    </w:p>
    <w:p>
      <w:pPr>
        <w:spacing w:after="0" w:line="8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Money laundering. </w:t>
      </w:r>
      <w:r>
        <w:rPr>
          <w:rFonts w:ascii="Arial" w:cs="Arial" w:eastAsia="Arial" w:hAnsi="Arial"/>
          <w:sz w:val="16"/>
          <w:szCs w:val="16"/>
          <w:color w:val="auto"/>
        </w:rPr>
        <w:t>The U.K. Money Laundering Regulations 2007 came into force on December 15, 2007. The Regulations, which implement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EU Money Laundering Directive, require firms to have procedures in place to prevent money laundering and to take a risk based approach to focus the efforts where they are most needed. This includes client due diligence, monitoring, staff training and awareness. Failure to maintain the necessary procedures is a criminal offense. The Proceeds of Crime Act 2002 also contains a number of offenses in relation to money laundering.</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Regulatory Framework in the European Union. </w:t>
      </w:r>
      <w:r>
        <w:rPr>
          <w:rFonts w:ascii="Arial" w:cs="Arial" w:eastAsia="Arial" w:hAnsi="Arial"/>
          <w:sz w:val="16"/>
          <w:szCs w:val="16"/>
          <w:color w:val="auto"/>
        </w:rPr>
        <w:t>Evercore Europe has obtained the appropriate European investment services passport rights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cross-border services into a number of other members of the European Economic Area, which we refer to as the EEA. This “passport” derives from the pan-European regime established by the EU Markets in Financial Instruments Directive (“MiFID”) which regulates the provision of investment services and activities throughout the EEA. MiFID provides investment firms which are authorized in any one EEA member state the right to provide investment services on a cross-border basis, or through the establishment of a branch to clients located in other EEA member states (known as “host member states”) on the basis of their home member state authorization without the need for separate authorization by the competent authorities in the relevant host member state. This is known as “passporting”. MiFID was required to be implemented across the EEA on November 1, 2007. MiFID made substantial and important changes to the way in which our business is conducted across the EEA. These include, among others, an extension to the scope of the “passport” but also clarification that the conduct of business rules of a host member state are not to apply to a firm providing services within its territory on a cross-border basis (host member state conduct of business rules will apply to branches). Evercore Europe has implemented MiFID and we believe our business is now compliant with the requirements of MiFID.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Certain of our businesses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 Additional legislation, changes in rules promulgated by financial authorities (in the case of Mexican broker-dealers) and self-regulatory organizations or changes in the interpretation or enforcement of existing laws and rules, either in the United States or elsewhere, may directly affect our mode of operation and profitability.</w:t>
      </w:r>
    </w:p>
    <w:p>
      <w:pPr>
        <w:spacing w:after="0" w:line="11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U.S. and non-U.S. government agencies and self-regulatory organizations, as well as state securities commissions in the United States and Mexican Financial Authorities, are empowered to conduct periodic examinations and initiate administrative proceedings that can result in censure, fine, the issuance of cease-and-desist orders or the suspension or expulsion of a regulated entity or its directors, officers or employees.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17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b w:val="1"/>
          <w:bCs w:val="1"/>
          <w:i w:val="1"/>
          <w:iCs w:val="1"/>
          <w:color w:val="auto"/>
        </w:rPr>
        <w:t>Difficult market conditions have affected and may continue to adversely affect our business in many ways, including reducing the volume of the transactions involving our Advisory business and reducing the value or performance of the investments made by our Investment Management businesses, which, in each case, has reduced and may continue to materially reduce our revenue or income.</w:t>
      </w:r>
    </w:p>
    <w:p>
      <w:pPr>
        <w:spacing w:after="0" w:line="2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We have benefited from the past record levels of M&amp;A activity, however since the second half of 2007, overall M&amp;A activity has declined. The market and economic climate may further deteriorate because of many factors beyond our control, including inability to access credit markets, rising interest rates or inflation, terrorism or political uncertainty. Revenue generated by our Advisory business is directly related to the volume and value of the transactions in which we are involved. During this period of unfavorable market and economic conditions, the volume and value of M&amp;A transactions has decreased, thereby reducing the demand for our advisory services and increasing price competition among financial services companies seeking such engagements. Our operating results have been adversely affected by this reduction in the volume or value of mergers and acquisitions transactions and any continuation of this economic downturn could further reduce the demand for our Advisory services and present new challenges. In addition, in the event of a further market or general economic downturn, the private equity funds that our Investment Management business manages also may be impacted by further reduced valuations and opportunities to exit and realize value from their investments, and independent of our existing funds’ performance, difficult market conditions can materially adversely affect our ability to raise any new funds in the future or may prevent us from raising such funds, launching new products, offering new services or raising additional assets in our Institutional Asset or Wealth Management businesses. Our Institutional Asset and Wealth Management businesses would be expected to generate lower revenue during an economic downturn because investment advisory fees we receive typically are in part based on the market value of underlying publicly traded securities. Our profitability may also be adversely affected by our fixed costs and the possibility that we would be unable to scale back other costs within a time frame sufficient to match any decreases in revenue relating to changes in market and economic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Senior Managing Directors, including our executive officers, and the loss of their services could have a material adverse effect on us.</w:t>
      </w:r>
    </w:p>
    <w:p>
      <w:pPr>
        <w:spacing w:after="0" w:line="12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depend on the efforts and reputations of our Senior Managing Directors, including our executive officers. Our senior leadership team’s reputations and relationships with clients and potential clients are critical elements in maintaining and expanding our businesses. For example, Mr. Mestre, Co-Vice Chairman, and Mr. Altman, Co-Chairman and Chief Executive Officer, make significant contributions to our Advisory business and our operations and performance in Mexico and Europe are particularly dependent on the efforts and reputations of Mr. Aspe, Co-Chairman, and Mr. Taylor, Co-Vice Chairman, respectively. In addition, many of our investment businesses, including EWM, Pan, and EAM, are dependent on a small number of senior portfolio managers and executives of those businesses.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future success depends to a substantial degree on our ability to retain and recruit qualified personnel. We anticipate that it will be necessary for us to add financial professionals as we pursue our growth strategy. However, we may not be successful in our efforts to recruit and retain the required personnel as the market for qualified financial professionals is extremely competitive. Our financial professionals possess substantial experience and expertise and have direct contact with our Advisory and Investment Management clients, which can lead to strong client relationships. As a result, the loss of these personnel could jeopardize our relationships with clients and result in the loss of client engagements. For example, if any of our Senior Managing Directors were to join or form a competing firm, some of our current clients could choose to use the services of that competitor rather than our services.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have experienced growth over the past several years, which may be difficult to sustain and which may place significant demands on our administrative, operational and financial resources.</w:t>
      </w:r>
    </w:p>
    <w:p>
      <w:pPr>
        <w:spacing w:after="0" w:line="51"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We expect our growth to continue, which could place additional demands on our resources and increase our expenses. Our future growth will depend, among other things, on our ability to successfully identify practice groups and individuals to join our firm. It may take more than one year for us to determine whether new professionals will be profitable or effective. Typically, we hire new Senior Managing Directors and Portfolio Managers in the middle of a calendar year, but the new hires do not begin to generate significant revenue until the following calendar year. During that time, we may incur significant expenses and expend significant time and resources toward training, integration and business development. If we are unable to hire and retain profitable professionals, we will not be able to implement our growth strategy and our financial results may be materially adversely affected. During 2008 and as of February 5, 2009, Evercore announced the hiring of nine new Senior Managing Directors across the firm. Within its Advisory business, seven new Senior Managing Directors were added, expanding the firm’s capabilities in the Consumer/Retail, Energy, Health Care, Chemicals and Aerospace/Defense sectors and its presence in Europe.</w:t>
      </w:r>
    </w:p>
    <w:p>
      <w:pPr>
        <w:spacing w:after="0" w:line="10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Sustaining growth will also require us to commit additional management, operational and financial resources to this growth and to maintain appropriate operational, legal, regulatory and financial systems to adequately support expansion. There can be no assurance that we will be able to manage our expanding operations effectively or that we will be able to maintain or accelerate our growth and any failure to do so could adversely affect our ability to generate revenue and control our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deal appropriately with conflicts of interest could damage our reputation and materially adversely affect our business.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we have expanded the scope of our business, we increasingly confront potential conflicts of interest relating to our Advisory and Investment Management businesses. It is possible that actual, potential or perceived conflicts could give rise to client dissatisfaction or litigation or regulatory enforcement actions.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would have a material adverse effect on our reputation which would materially adversely affect our business in a number of ways, including an inability to raise additional funds and a reluctance of counterparties to do business with us.</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Certain policies and procedures implemented to mitigate potential conflicts of interest and address certain regulatory requirements may reduce the synergies across our various businesses.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our various lines of asset management and advisory businesses, we will be subject to a number of actual and potential conflicts of interest and subject to greater regulatory oversight than that to which we would otherwise be subject if we had just one line of business. In addressing these conflicts and regulatory requirements across our various businesses, we have implemented certain policies and procedures (for example, information walls) that may reduce the positive synergies that we cultivate across these businesses. For example, we may come into possession of material non-public information with respect to issuers in which we may be considering making an investment or issuers that are our advisory clients. As a consequence, we may be precluded from providing such information or other ideas to our other businesses that might be of benefit to them.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we are unable to consummate or successfully integrate additional acquisitions or joint ventures, we may not be able to implement our growth strategy successfully.</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growth strategy is based, in part, on the selective acquisition, development and investment in advisory businesses, investment management businesses or other business complementary to our business where we think we can add substantial value or generate substantial returns. The success of this strategy will depend on, among other things:</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suitable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competition from other companies that may have greater financial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value acquisition and investment candidates accurately and negotiate acceptable terms for those acquisitions and investments;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enter into mutually beneficial relationships with venture partners;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management resources to oversee the integration and operation of the new businesses.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If we are not successful in implementing our growth strategy, our business and results and the market price for our Class A common stock may be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sponsor start-ups, or to integrate acquired businesses successfully could have adverse consequences to our business.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experienced significant growth through acquisitions and we expect to continue to grow through additional acquisitions and by sponsoring start-up of Portfolio Managers from other institutions. Acquisitions and start-ups, which by definition have a limited operating history, generally result in increased operating and administrative costs. We may not be able to manage or integrate the acquired or start-up companies or businesses successfully. The process of combining acquired businesses or providing a platform for new investment management business may be disruptive to our business and may cause an interruption or reduction of our business as a result of the following factors, among others:</w:t>
      </w:r>
    </w:p>
    <w:p>
      <w:pPr>
        <w:spacing w:after="0" w:line="6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key employees or customers;</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inconsistencies in or conflicts between standards, controls, procedures and policies and the need to implement company-wide financial, accounting, information technology and other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maintain the quality of services that have historically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coordinate geographically diverse organizations; 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management’s attention from our day-to-day business as a result of the need to manage any disruptions and difficulties and the need to add management resources to do so.</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These disruptions and difficulties, if they occur, may cause us to fail to realize the cost savings, revenue enhancements and other benefits that we expect to result from integrating acquired companies or sponsoring start-ups and may cause material adverse short- and long-term effects on our operating results, financial condition and liquidity.</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Even if we are able to integrate the operations of acquired businesses into our operations or successfully launch start-up investment management business, we may not realize the full benefits of the cost savings, revenue enhancements or other benefits that we may have expected at the time of approving the transaction. These analyses necessarily involve assumptions as to future events, including general business and industry conditions, the longevity of specific customer engagements and relationships, operating costs and competitive factors, many of which are beyond our control and may not materialize. While we believe these analyses and their underlying assumptions to be reasonable, they are estimates that are necessarily speculative in nature. In addition, even if we achieve the expected benefits, we may not be able to achieve them within the anticipated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time frame. Also, the cost savings and other synergies from these acquisitions may be offset by costs incurred in integrating the companies, increases in other expenses or problems in the business unrelated to these acquisitions.</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Most of our recent acquisitions have involved the purchase of the equity of existing companies. These acquisitions, as well as acquisitions of substantially all of the assets of a company may expose us to liability for actions taken by an acquired business and its management before the acquisition. The due diligence we conduct in connection with an acquisition and any contractual guarantees or indemnities that we receive from the sellers of acquired companies generally would not be sufficient to protect us from or compensate us for, actual liabilities. A material liability associated with an acquisition, especially where there is no right to indemnification, could adversely affect our operating results, financial condition and liquidity.</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revenue and profits are highly volatile, which may make it difficult for us to achieve steady earnings growth on a quarterly basis and may cause the price of our Class A common stock to decline.</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revenue and profits are highly volatile. We generally derive Advisory revenue from a limited number of advisory engagements that generate significant fees at key transaction milestones, such as closing, the timing of which is outside of our control. As a result, our financial results will likely fluctuate from quarter to quarter based on the timing of when those fees are earned. It may be difficult for us to achieve steady earnings growth on a quarterly basis, which could, in turn, lead to large adverse movements in the price of our Class A common stock or increased volatility in our stock price generally.</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earn a majority of our revenue from advisory engagements, and, in many cases, we are not paid until the successful consummation of the underlying M&amp;A transaction or restructuring. As a result, our advisory revenue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timing and receipt of carried interest generated by our private equity funds is uncertain and will contribute to the volatility of our Investment Management revenue. Carried interest depends on our funds’ investment performance and opportunities for realizing gains, which may be limited. In addition, it takes a substantial period of time to identify attractive private equity or venture capital opportunities, to raise the funds needed to make an investment and then to realize the cash value of an investment through resale, recapitalization or other exit. Even if an investment proves to be profitable, it may be several years or longer before any profits can be realized in cash or other proceeds. Moreover, if legislation were to be introduced in the U.S. Congress or by state governments to tax carried interest as ordinary income rather than as capital gains, adoption of any such legislation could adversely affect our ability to recruit, retain and motivate our current and future Senior Managing Directors and other employees in our Private Equity business. We recognize revenue on investments in our funds based on our allocable share of realized and unrealized gains (or losses) reported by such funds. In addition, the Company also records carried interest, which could further increase the volatility of our quarterly results.</w:t>
      </w:r>
    </w:p>
    <w:p>
      <w:pPr>
        <w:spacing w:after="0" w:line="20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could harm us by impairing our ability to attract and retain clients and subjecting us to significant legal liability and reputational harm.</w:t>
      </w:r>
    </w:p>
    <w:p>
      <w:pPr>
        <w:spacing w:after="0" w:line="5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There have been a number of highly-publicized cases involving fraud or other misconduct by employees in the financial services industry, and there is a risk that our employees could engage in misconduct that adversely affects our business. For example, our Advisory business often requires that we deal with confidential matters of great significance to our clients. If our employees were to improperly use or disclose confidential information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provided by our clients, we could be subject to regulatory sanctions and suffer serious harm to our reputation, financial position, current client relationships and ability to attract future clients.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would be adversely affected.</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financial services industry faces substantial litigation risks, and we may face damage to our professional reputation and legal liability if our services are not regarded as satisfactory or for other reasons.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mergers and acquisitions or restructuring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Our advisory activities may subject us to the risk of significant legal liabilities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 In our Investment Management business, we make investment decisions on behalf of our clients that could result in substantial losses. This also may subject us to the risk of legal liabilities or actions alleging negligent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As a result, we may incur significant legal expenses in defending against litigation. Substantial legal liability could materially adversely affect our business, financial condition, operating results or liquidity or cause significant reputational harm to us, which could seriously harm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failures and changes in regulation could adversely affect us.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Advisory and Investment Management businesses are subject to regulation in the United States, including by the SEC and FINRA. In Mexico, our business is regulated by the Mexican Ministry of Finance and the Mexican National Banking and Securities Commission and our European business is subject to regulation by the FSA in the United Kingdom. Our failure to comply or have complied with applicable laws or regulations could result in fines, suspensions of personnel or other sanctions, including revocation of the registration of us or any of our subsidiaries as an investment adviser or broker-dealer. Even if a sanction imposed against us or our personnel is small in monetary amount, the adverse publicity arising from the imposition of sanctions against us by regulators could harm our reputation and cause us to lose existing clients or fail to gain new Advisory or Investment Management clients. Our broker-dealer operations are subject to periodic examination by the SEC and FINRA. We cannot predict the outcome of any such examinations.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a result of highly-publicized financial scandals, investors have exhibited concerns over the integrity of the U.S. financial markets, and the regulatory environment in which we operate is subject to further regulation in addition to those rules already promulgated. We may be adversely affected as a result of new or revised legislation or regulations imposed by the SEC, other United States or foreign governmental regulatory authorities or self-regulatory organizations that supervise the financial markets. We also may be adversely affected by changes in the interpretation or enforcement of existing laws and rules by these governmental authorities and self-regulatory organizations.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In addition, two of our affiliates are registered as investment advisors with the SEC. Registered investment advisors are subject to the requirements and regulations of the Investment Advisers Act of 1940. Such requirements relate to, among other things, recordkeeping and reporting requirements, disclosure requirements, limitations on agency cross and principal transactions between an advisor and advisory clients, as well as general anti-fraud prohibitions.</w:t>
      </w:r>
    </w:p>
    <w:p>
      <w:pPr>
        <w:spacing w:after="0" w:line="8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Further, financial services firms are subject to numerous conflicts of interest or perceived conflicts. While we have adopted various policies, controls and procedures to address or limit actual or perceived conflicts, these policies and procedures carry attendant costs and may not be adhered to by our employees. Failure to adhere to these policies and procedures may result in regulatory sanctions or client litigation.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are subject to prevailing economic and competitive conditions and to certain financial, business and other factors beyond our control. We cannot provide assurance that we will maintain a level of cash flows from operating activities sufficient to permit us to pay the principal of, and interest on, our indebtedness, including the $120.0 million principal amount of senior unsecured notes issued to Mizuho Corporate Bank, Ltd. (“Mizuho”) due 2020 with a 5.20% coupon (the “Senior Notes”). If our cash flows and capital resources are insufficient to fund our debt service obligations, we may be forced to reduce or delay investments and capital expenditures, or to sell assets, seek additional capital or restructure or refinance our indebtedness, including the Senior Notes.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Advisory Business</w:t>
      </w:r>
    </w:p>
    <w:p>
      <w:pPr>
        <w:spacing w:after="0" w:line="17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A majority of our revenue is derived from advisory fees, which are not long-term contracted sources of revenue and are subject to intense competition, and declines in our advisory engagements could have a material adverse effect on our financial condition and operating results.</w:t>
      </w:r>
    </w:p>
    <w:p>
      <w:pPr>
        <w:spacing w:after="0" w:line="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advisory clients. These fees are typically payable upon the successful completion of a particular transaction or restructuring. Advisory services accounted for 96%, 93% and 88% of the Predecessor Company and Successor Company net revenue in 2008, 2007 and 2006, respectively.</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Unlike diversified investment banks, we do not have multiple sources of revenue, such as underwriting or trading securities. We expect that we will continue to rely on advisory fees for a substantial portion of our revenue for the foreseeable future. A decline in our advisory engagements or the market for advisory services would adversely affect our business.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our Advisory business operates in a highly-competitive environment where typically there are no long-term contracted sources of revenue. Each revenue-generating engagement typically is separately 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 future periods. We also lose clients each year as a result of the sale or merger of a client, a change in a client’s senior management, competition from other financial advisors and financial institutions and other causes. As a result, our advisory fees could decline materially due to such changes in the volume, nature and scope of our engagements.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high percentage of our net revenue is derived from a small number of Advisory clients and the termination of any one Advisory engagement could reduce our revenue and harm our operating results.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year, we advise a limited number of advisory clients. Our top five advisory clients accounted for 21%, 32% and 40% of the Successor Company and Predecessor Company Net Revenues in 2008, 2007 and 2006, respectively. The composition of the group of clients comprising our largest advisory clients can vary each fiscal year. The composition of the group comprising our largest advisory clients varies significantly from year to year and a relatively small number of clients may account for a significant portion of our advisory revenues. As a result, our operating results, financial condition and liquidity may be significantly affected by even one lost mandate or the failure of one advisory assignment to be completed.</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full year ended December 31, 2008, no client accounted for more than 10% of the Company’s consolidated Net Revenues. One client accounted for more than 10% of the Company’s consolidated Net Revenues for the full year ended December 31,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restrictions on our clients may reduce the demand for our services.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New laws or regulations or changes in enforcement of existing laws or regulations applicable to our clients may also adversely affect our business. For example, changes in regulation could restrict the activities of our clients and their need for the types of advisory services that we provide to them and changes in antitrust enforcement could affect the level of mergers and acquisitions activity.</w:t>
      </w:r>
    </w:p>
    <w:p>
      <w:pPr>
        <w:spacing w:after="0" w:line="2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If the number of debt defaults, bankruptcies or other factors affecting demand for our restructuring advisory services declines, or we lose business to new entrants into the restructuring advisory business that are no longer precluded from offering such services due to changes to the U.S. Bankruptcy Code, our restructuring advisory business revenue could suffer.</w:t>
      </w:r>
    </w:p>
    <w:p>
      <w:pPr>
        <w:spacing w:after="0" w:line="59"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We provide various financial restructuring and related advice to companies in financial distress or to their creditors or other stakeholders. A number of factors affect demand for these advisory services, including general economic conditions, the availability and cost of debt and equity financing and changes to laws, rules and regulations, including deregulation or privatization of particular industries and those that protect creditors.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requirement of Section 327 of the U.S. Bankruptcy Code requiring that one be a “disinterested person” to be employed in a restructuring has been modified pursuant to the Bankruptcy Abuse Prevention and Consumer Protection Act of 2005. The “disinterested person” definition of the U.S. Bankruptcy Code has historically disqualified certain of our competitors, but has not often disqualified us from obtaining a role in a restructuring because we have not been an underwriter of securities or lender. However, a recent change to the “disinterested person” definition will allow underwriters of securities to compete for restructuring engagements as well as with respect to the recruitment and retention of professionals. If our competitors succeed in being retained in new restructuring engagements, our restructuring advisory business, and thereby our results of operations, could be adversely affected.</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5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financial advisory industry is intensely competitive, and we expect it to remain so. We compete on the basis of a number of factors, including the quality of our employees, transaction execution, our products and services, innovation and reputation, and price. We have experienced intense competition over obtaining advisory mandates in recent years, and we may experience pricing pressures in our Advisory business in the future as some of our competitors seek to obtain increased market share by reducing fees.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Unlike us, many of these 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revenue in an effort to gain market share, which could result in pricing pressure in our businesses.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Relating to Our Investment Management Business</w:t>
      </w:r>
    </w:p>
    <w:p>
      <w:pPr>
        <w:spacing w:after="0" w:line="17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b w:val="1"/>
          <w:bCs w:val="1"/>
          <w:i w:val="1"/>
          <w:iCs w:val="1"/>
          <w:color w:val="auto"/>
        </w:rPr>
        <w:t>Our asset management business depends in large part on our ability to raise capital from third party investors. If we are unable to raise capital from third party investors, we would be unable to collect management fees or deploy their capital into investments and potentially collect transaction fees or carried interest, which would materially reduce our revenue and cash flow and adversely affect our financial condition.</w:t>
      </w:r>
    </w:p>
    <w:p>
      <w:pPr>
        <w:spacing w:after="0" w:line="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ability to raise capital from third party investors depends on a number of factors, including certain factors that are outside our control. Certain factors, such as the performance of the stock market or the asset allocation rules or regulations to which such third party investors are subject, could inhibit or restrict the ability of third party investors to make investments in our investment funds or the asset classes in which our investment funds invest. For example, during 2008 a large number of third party investors that invest in alternative assets and have historically invested in our investment funds experienced negative pressure across their investment portfolios, which affected our ability to raise capital from them. As a result of the significant economic downturn during 2008, these third-party investors experienced, among other things, a significant decline in the value of their public equity and debt holdings and a lack of realizations from their existing private equity portfolios. Consequently, many of these investors were left with disproportionately outsized remaining commitments to a number of investment funds, and were restricted from making new commitments to third party managed investment funds such as those managed by us. To the extent economic conditions remain negative and these issues persist, we may be unable to raise sufficient amounts of capital to support the investment activities of future funds. If we are unable to successfully raise capital, it could materially reduce our revenue and cash flow and adversely affect our financial condition. In addition, in connection with raising new funds, we have confronted and expect to continue to confront investor requests to decrease fees, which could result in a reduction in the fees, carried interest and incentive fees we earn.</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If the investments we make on behalf of our funds and clients perform poorly, we will suffer a decline in our investment management revenue and earnings, we may be obligated to repay certain carried interest we have previously received to the third party investors in our private equity funds, and our ability to raise capital from clients or for future funds may be adversely affected.</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 from our Investment Management business is derived from fees earned for our management of client assets and funds calculated as a percentage of the capital committed to our funds or invested in separate accounts; performance fees or carried interest, earned when certain financial returns are achieved over the life of a fund; gains or losses on investments of our own capital in the fund and monitoring, director and transaction fees. In the event that our investments perform poorly on both realized and unrealized bases, our Investment Management revenues and earnings will suffer a corresponding decline. Such a decline may make it more difficult for us to raise any new funds in the future, may result in such fundraising taking longer to complete than anticipated or may prevent us from raising such funds, launching new products, offering new services or raising additional assets in our Institutional Asset or Wealth Management businesses. In addition, to the extent that, over the life of the funds, we have received an amount of carried interest that exceeds a specified percentage of distributions made to the third party investors in our funds, we may be obligated to repay the amount of this excess to the third party investors.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A portion of our Investment Management activities involves investments in relatively high-risk, illiquid assets, and we may lose some or all of the principal amount we invest in these activities or fail to realize any profits from these activities for a considerable period of time.</w:t>
      </w:r>
    </w:p>
    <w:p>
      <w:pPr>
        <w:spacing w:after="0" w:line="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made principal investments in ECP II and EMCP II and any new private equity funds we may establish in the future may require us to make some additional principal investments. These funds generally invest in relatively high-risk, illiquid assets. Contributing capital to these funds is risky, and we may lose some or all of the principal amount of our investments.</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our private equity funds have sometimes invested in businesses with capital structures that have significant leverage. The leveraged capital structure of such businesses increases the exposure of the funds’ portfolio companies to adverse economic factors such as rising interest rates, downturns in the economy or deteriorations in the condition of such business or its industry. If these portfolio companies default on their indebtedness, the lender may foreclose and we could lose our entire investment.</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Valuation methodologies for certain assets in our private equity funds can be subject to significant subjectivity and the values of assets established pursuant to such methodologies may never be realized, which could result in significant losses for our funds.</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There are no regularly quoted market prices for a number of investments in our funds. The value of the investments of our funds is determined periodically by us based on applicable accounting principles generally accepted in the United States of America (“U.S. GAAP”) using fair value methodologies described in the funds’ valuation policies. These policies are based on a number of factors, including the nature of the investment, the expected cash flows from the investment, bid or ask prices provided by third parties for the investment and the trading price of recent sales of securities (in the case of publicly traded securities), restrictions on transfer and other recognized valuation methodologies. The methodologies we use in valuing individual investments are based on estimates and assumptions specific to the particular investments, and therefore ultimate realized results related to the investment may vary materially from the values based on such assumptions or estimates. In addition, because some of the illiquid investments held by our funds are or may in the future be in industries or sectors which are unstable, in distress, or undergoing some uncertainty, such investments may be subject to rapid changes in value caused by sudden company-specific or industry-wide developments.</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Because there is significant uncertainty in the valuation of, or in the stability of the value of illiquid investments, the fair values of such investments as reflected in a fund’s value do not necessarily reflect the prices that would actually be obtained by us on behalf of the fund when such investments are sold. Realizations at values significantly lower than the values at which investments have been reflected in fund values would result in losses for the applicable fund and the loss of potential incentive income and principal investments.</w:t>
      </w:r>
    </w:p>
    <w:p>
      <w:pPr>
        <w:spacing w:after="0" w:line="22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The due diligence process that we undertake in connection with investments by our investment funds may not reveal all facts that may be relevant in connection with an investment.</w:t>
      </w:r>
    </w:p>
    <w:p>
      <w:pPr>
        <w:spacing w:after="0" w:line="51"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Before making investments in private equity and other investments,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accountants and investment banks may be involved in the due diligence process in varying degrees depending on the type of investment.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may be necessary or helpful in evaluating such investment opportunity. Moreover, such an investigation will not necessarily result in the investment being successful.</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Difficult market conditions can reduce the value or performance of the assets we manage in our Investment Management business, which, in each case, could materially reduce our revenue or income and adversely affect our financial position.</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Institutional Asset Management and Wealth Management sectors of our Investment Management business have and would be expected to generate lower revenue in a market or general economic downturn. In each of these businesses, investment management fees received are typically based on the market value of assets under management. Accordingly, a further decline in the prices of securities would be expected to cause our revenue and income to further decline by causing the value of our assets under management to decrease. In particular, for our PCB business, a lack of liquidity in Mexican government bonds would have a material adverse effect on the business. Difficult market conditions would result in lower investment management fees, causing negative absolute performance returns for some accounts which have performance-based fees, resulting in a reduction of revenue from such fees, and/or causing some of our clients to withdraw funds from our businesses in favor of investments they perceive as offering greater opportunity or lower risk, which also would result in lower investment management fees.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Investment Management business is intensely competitive.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Investment Management business is intensely competitive, with competition based on a variety of factors, including investment performance, the quality of service provided to clients, brand recognition and business reputation.</w:t>
      </w:r>
    </w:p>
    <w:p>
      <w:pPr>
        <w:spacing w:after="0" w:line="132" w:lineRule="exact"/>
        <w:rPr>
          <w:sz w:val="20"/>
          <w:szCs w:val="20"/>
          <w:color w:val="auto"/>
        </w:rPr>
      </w:pPr>
    </w:p>
    <w:p>
      <w:pPr>
        <w:jc w:val="both"/>
        <w:ind w:right="40" w:firstLine="456"/>
        <w:spacing w:after="0" w:line="357" w:lineRule="auto"/>
        <w:rPr>
          <w:sz w:val="20"/>
          <w:szCs w:val="20"/>
          <w:color w:val="auto"/>
        </w:rPr>
      </w:pPr>
      <w:r>
        <w:rPr>
          <w:rFonts w:ascii="Arial" w:cs="Arial" w:eastAsia="Arial" w:hAnsi="Arial"/>
          <w:sz w:val="15"/>
          <w:szCs w:val="15"/>
          <w:color w:val="auto"/>
        </w:rPr>
        <w:t>Our Investment Management business competes with a wide range of other investment management providers, including private equity and venture capital firms, asset management firms, commercial banks, investment banks and other financial institutions. A number of factors serve to increase our competitive risks:</w:t>
      </w: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number of our competitors have more experience, greater financial and other resources and more personnel than we do;</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investment firms, including a relatively low cost of entering these businesses, and the successful efforts of new entrants into our various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investors may prefer to invest with private partnerships;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industry participants will from time to time seek to recruit our investment professionals and other employees away from us;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of our investment management businesses are newly established, relatively small and currently unprofitable.</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competitive pressure could adversely affect our ability to make successful investments, retain our personnel and increase assets under management, any of which would adversely impact our revenue and earnings.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partners of the private equity funds we manage may terminate their relationship with us at any time.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partnership agreements of the funds we manage provide that the limited partners of each fund may terminate their relationship with us without cause with a simple majority vote of each fund’s limited partners. If the limited partners of the funds we manage terminate their relationship with us, we would lose fees earned for our management of the funds and carried interest from those funds. In addition, such an event would negatively impact our ability to raise capital for future funds.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The time and attention that our Senior Managing Directors and other employees devote to monetizing the investments of ECP I and EVP will not financially benefit us and may reduce the time and attention these individuals devote to our business. The time and attention that these individuals devote to managing ECP I, ECP II and the Discovery Fund may not be as profitable to us as other business activities and opportunities to which they might otherwise have devoted their time and attention.</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the exception of a non-managing equity interest in the general partner of the ECP II and the Discovery Fund, the general partners of our private equity funds at the time of the IPO were not contributed to us in connection with the Reorganization and are owned by our Senior Managing Directors and other third parties. Accordingly, we no longer receive any carried interest from ECP I or EVP or any gains (or losses) arising from investments in those funds. As a result, although ECP I and EVP are in their realization, or harvesting, periods, the time and attention that our Senior Managing Directors and employees devote to monetizing the investments of these funds will not financially benefit us and may reduce the time and attention these individuals devote to our business. In addition, while we will receive 8% to 9% (depending on the particular fund investment) of the carried interest realized from ECP II and 10% from the Discovery Fund, the time and attention that our Senior Managing Directors and employees devote to managing these funds may not be as profitable to us as other business activities and opportunities to which these individuals might otherwise have devoted their time and attention.</w:t>
      </w:r>
    </w:p>
    <w:p>
      <w:pPr>
        <w:spacing w:after="0" w:line="27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substantial portion of our revenues are derived from our international operations, which are subject to certain risks.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2008, we earned 26% of our Total Revenues, excluding Other Revenue, from clients and private equity funds located outside of the U.S. We intend to significantly grow our non-U.S. business and this growth is critical to our overall success. In addition, many of our larger clients for our U.S. advisory business are non-U.S. entities seeking to enter into transactions involving U.S. businesses. Moreover, given the challenges the U.S. economy is facing, we expect a significant number of non-U.S. entities will play a greater role in the U.S. M&amp;A market. Our non-U.S. operations are relatively small and new, even compared to our U.S. business. As a result, our non-U.S. businesses face the same or even greater competitive pressures.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 of operations.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Because our financial statements are denominated in U.S. dollars and, as a result of recent acquisitions we will be receiving portions of our net revenue from continuing operations in other currencies, predominantly in Mexican pesos, euros and British pounds, we are exposed to fluctuations in foreign currencies. In addition, we pay certain of our expenses in such currencies. We have not entered into any transactions to hedge our exposure to these foreign exchange fluctuations through the use of derivative instruments or otherwise. An appreciation or depreciation of any of these currencies relative to the U.S. dollar would result in an adverse or beneficial impact to the Company’s financial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in Mexico, including interest rate volatility, may result in a decrease in Protego’s revenue.</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Protego is a Mexican company, with all of its assets located in Mexico and most of its revenue derived from operations in Mexico. As a financial services firm, Protego’s businesses are materially affected by Mexico’s financial markets and economic conditions. Historically, interest rates in Mexico have been volatile, particularly in times of economic unrest and uncertainty. Mexico has had, and may continue to have, high real and nominal interest rates.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revenue generated by Protego’s advisory business, which accounted for 79% of its net revenue in 2008, is directly related to the volume and value of the transactions in which it is involved, during periods of unfavorable market or economic conditions in Mexico, the volume and value of mergers and acquisitions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types of transactions may decrease, thereby reducing the demand for Protego’s advisory services and increasing price competition among financial services companies seeking such engagements. Protego’s results of operations would be adversely affected by any such reduction in the volume or value of these and similar advisory transactions.</w:t>
      </w:r>
    </w:p>
    <w:p>
      <w:pPr>
        <w:spacing w:after="0" w:line="22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Political events in Mexico, including a change in state and municipal political leadership, may result in disruptions to Protego’s business operations and adversely affect its revenue.</w:t>
      </w:r>
    </w:p>
    <w:p>
      <w:pPr>
        <w:spacing w:after="0" w:line="5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Mexican government exercises significant influence over many aspects of the Mexican economy and Mexico’s financial sector is heavily regulated. Any action by the government, including changes in the regulation of Mexico’s financial sector, could have an adverse effect on the operations of Protego, especially on its asset management business.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Protego derives a significant portion of its revenue from advisory contracts with state and local governments in Mexico. The re-election of individual officeholders is prohibited by Mexican law. State governors have six-year terms of office, and local administrations are limited to three or four years, depending on the law of their state. The term limit system may prevent Protego from maintaining relationships with the same clients in the same political positions beyond these periods. After an election takes place, there is no guarantee that Protego will be able to remain as advisors of the new government, even if the new administration is of the same political party as the previous one. Protego has relationships with the three major political parties.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cost of compliance with international employment, labor, benefits and tax regulations may adversely affect our revenue and hamper our ability to expand internationally.</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we operate our business both in the United States and internationally, we are subject to many distinct employment, labor, benefits and tax laws in each country in which we operate, including regulations affecting our employment practices and our relations with our employees and service providers.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that favor or require local ownership.</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We are required to pay our Senior Managing Directors for most of the benefits relating to any additional tax depreciation or amortization deductions we may claim as a result of the tax basis step-up we received in connection with exchanges of Evercore LP units for shares and related transactions.</w:t>
      </w:r>
    </w:p>
    <w:p>
      <w:pPr>
        <w:spacing w:after="0" w:line="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December 31, 2008, there were 14,888,275 vested and 4,853,165 unvested Evercore LP partnership units held by our Senior Managing Directors that may in the future be exchanged for shares of our Class A common stock. The exchanges may result in increases in the tax basis of the assets of Evercore LP that otherwise would not have been available. These increases in tax basis may reduce the amount of tax that we would otherwise be required to pay in the future, although the IRS may challenge all or part of that tax basis increase, and a court could sustain such a challenge.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entered into a tax receivable agreement with certain of our Senior Managing Directors that provides for the payment by us to these Senior Managing Directors of 85% of the amount of cash savings, if any, in U.S. federal, state and local income tax or franchise tax that we actually realize as a result of these increases in tax basis. While the actual increase in tax basis, as well as the amount and timing of any payments under this agreement, will vary depending upon a number of factors, including the timing of exchanges, the price of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of our Class A common stock at the time of the exchange, the extent to which such exchanges are taxable, and the amount and timing of our income, we expect that, as a result of the size of the increases in the tax basis of the tangible and intangible assets of Evercore LP attributable to our interest in Evercore LP, during the expected term of the tax receivable agreement, the payments that we may make to our Senior Managing Directors could be substantial.</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Although we are not aware of any issue that would cause the IRS to challenge a tax basis increase, our Senior Managing Directors will not reimburse us for any payments that may previously have been made under the tax receivable agreement. As a result, in certain circumstances we could make payments to the Senior Managing Directors under the tax receivable agreement in excess of our cash tax savings. Our ability to achieve benefits from any tax basis increase, and the payments to be made under this agreement, will depend upon a number of factors, as discussed above, including the timing and amount of our future income.</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only material asset is our interest in Evercore LP, and we are accordingly dependent upon distributions from Evercore LP to pay dividends and taxes and other expenses.</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Evercore Partners Inc. is a holding company and has no material assets other than its ownership of partnership units in Evercore LP. Evercore Partners Inc. has no independent means of generating revenue. We intend to cause Evercore LP to make distributions to its partners in an amount sufficient to cover all applicable taxes payable and dividends, if any, declared by us. To the extent that Evercore Partners Inc. needs funds, and Evercore LP is restricted from making such distributions under applicable law or regulation, or is otherwise unable to provide such funds, it could materially adversely affect our operating results, financial condition and liquidity.</w:t>
      </w:r>
    </w:p>
    <w:p>
      <w:pPr>
        <w:spacing w:after="0" w:line="2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Evercore Partners Inc. were deemed an “investment company” under the Investment Company Act of 1940 (the “1940 Act”) as a result of its ownership of Evercore LP, applicable restrictions could make it impractical for us to continue our business as contemplated and could have a material adverse effect on our business.</w:t>
      </w:r>
    </w:p>
    <w:p>
      <w:pPr>
        <w:spacing w:after="0" w:line="5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Evercore Partners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Evercore Partners Inc. will have no material assets other than its equity interest in Evercore LP. A determination that this interest was an investment security could result in Evercore Partners Inc. being an investment company under the 1940 Act and becoming subject to the registration and other requirements of the 1940 Act.</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conduct our operations so that Evercore Partners Inc. will not be deemed to be an investment company under the 1940 Act. However, if anything were to happen which would cause Evercore Partners Inc.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Evercore Partners Inc., Evercore LP or our Senior Managing Directors, or any combination thereof and materially adversely affect our business, financial condition and results of operations.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by our Senior Managing Directors of the voting power in Evercore Partners Inc. may give rise to conflicts of interests.</w:t>
      </w:r>
    </w:p>
    <w:p>
      <w:pPr>
        <w:spacing w:after="0" w:line="90"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Our Senior Managing Directors own shares of our Class A common stock and our Class B common stock. Our certificate of incorporation provides that the holders of the shares of our Class B common stock are entitled to a number of votes that is determined pursuant to a formula that relates to the number of Evercore LP partnership units held by such holders. Each holder of Class B common stock is entitled, without regard to the number of shares of Class B common stock held by such holder, to one vote for each partnership unit in Evercore LP held by such holder. Accordingly, our Senior Managing Directors, and certain trusts benefiting their families, collectively have 70% of the voting power in Evercore Partners Inc. As a result, because our Senior Managing Directors have a majority of the voting power in Evercore Partners Inc. and our certificate of incorporation does not provide for cumulative voting, they have the ability to elect all of the members of our board of directors and thereby to control our management and affairs, including determinations with respect to acquisitions, dispositions, borrowings, issuances of common stock or other securities, and the declaration and payment of dividends. In addition, they are able to determine the outcome of all matters requiring stockholder approval and are able to cause or prevent a change of control of our company or a change in the composition of our board of directors and can preclude any unsolicited acquisition of our company. This concentration of ownership could deprive our Class A stockholders of an opportunity to receive a premium for their common stock as part of a sale of our company and might ultimately affect the market price of our Class A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decline due to the large number of shares eligible for future sale and for exchange.</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market price of our Class A common stock could decline as a result of sales of a large number of shares of Class A common stock in the market or the perception that such sales could occur. These sales, or the possibility that these sales may occur, also might make it more difficult for us to sell equity securities in the future at a time and at a price that we deem appropriate.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August 21, 2008, we entered into a Purchase Agreement with Mizuho pursuant to which Mizuho purchased from us Senior Notes along with warrants to purchase 5,454,545 shares of Evercore Class A Common Stock at $22.00 per share (the “Warrants”) expiring in 2020.</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December 31, 2008, we had a total of 12,053,282 shares of our Class A common stock outstanding, of which 2,514,054 shares were restricted and become available for sale beginning in 2011. In addition, our Senior Managing Directors own an aggregate of 19,741,440 partnership units in Evercore LP, of which 14,888,275 partnership units were fully vested and 4,853,165 partnership units were unvested. Our amended and restated certificate of incorporation allows the exchange of partnership units in Evercore LP (other than those held by us) for shares of our Class A common stock on a one-for-one basis, subject to customary conversion rate adjustments for stock splits, stock dividends and reclassifications. The shares of Class A common stock issuable upon exchange of the partnership units that are held by our Senior Managing Directors are eligible for resale from time to time, subject to certain contractual and Securities Act restrictions. Also, as of December 31, 2008, 5,711,087 restricted stock units (“RSUs”) and 223,625 shares of restricted stock issued pursuant to the Evercore Partners Inc. 2006 Stock Incentive Plan were outstanding. Of these RSUs and shares of restricted stock, 1,475,975 were fully vested and 4,458,737 were unvested.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first quarter of 2009, as part of the 2008 bonus awards, we granted to certain employees 733,678 unvested RSUs pursuant to the 2006 Plan.</w:t>
      </w:r>
    </w:p>
    <w:p>
      <w:pPr>
        <w:spacing w:after="0" w:line="19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Senior Managing Directors are parties to a registration rights agreement with us. Under that agreement, these persons have the ability to cause us to register the shares of our Class A common stock they could acquire upon exchange of their partnership units in Evercore LP.</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common stock may be volatile, which could cause the value of our Class A common stock to decline.</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delay or prevent a change in control.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certificate of incorporation and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2008 relating to our periodic or current reports under the Exchange Act.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principal executive offices are located in leased office space at 55 East 52nd Street, New York, New York. We also lease the space for our offices at 3 Embarcadero Center, San Francisco, California; at One Post Office Square, Boston, Massachusetts; at Av. Lázaro Cárdenas 2400 Torre D-33, Col. San Agustin in Monterrey, Mexico; at Blvd. Manuel A. Camacho 36-22, Col. Lomas de Chapultepec in Mexico City, Mexico; and at 10 Hill Street in London, U.K. We do not own any real property. We consider these arrangements to be adequate for our present needs.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normal course of business, from time to time the Company and its affiliates may be involved in judicial, regulatory and arbitration proceedings concerning matters arising in connection with the conduct of its businesses, and, in the past, the Company and its affiliates have been named as a defendant in civil litigation matters involving present or former clients or competitors. In addition, Mexican, United Kingdom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or its directors, officers or employees.</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contests liability and/or the amount of damages as appropriate. In view of the inherent difficulty of predicting the outcome of such matters, particularly in cases where claimants seek substantial or indeterminate damages or where investigations and proceedings are in the early stages, the Company cannot predict with certainty the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the outcome of the pending matters will not have a material adverse effect on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consolidated financial condition of the Company, although the outcome of such matters could be material to the Company’s operating results and cash flows for a particular future period, depending on, among other things, the level of the Company’s revenues or income for such period. Legal reserves are established in accordance with Statement of Financial Accounting Standards (“SFAS”)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Once established, reserves are adjusted when there is more information available or when an event occurs requiring a change.</w:t>
      </w:r>
    </w:p>
    <w:p>
      <w:pPr>
        <w:spacing w:after="0" w:line="14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i w:val="1"/>
          <w:iCs w:val="1"/>
          <w:color w:val="auto"/>
        </w:rPr>
        <w:t>In re High Voltage Engineering Corp. (“High Voltage”) in the U.S. Bankruptcy Court for the District of Massachusetts and Stephen S. Gray, Trustee (“Trustee”) of The High Voltage Engineering Liquidating Trust. v. Evercore Restructuring L.P. Evercore Restructuring L.L.C (collectively, “Evercore Restructuring”) et al., in the United States District Court of Massachusetts.</w:t>
      </w:r>
    </w:p>
    <w:p>
      <w:pPr>
        <w:spacing w:after="0" w:line="140"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In 2003, High Voltage engaged Evercore Restructuring to assist in its restructuring efforts. During the engagement, Evercore Restructuring assisted High Voltage in negotiating a restructuring plan and related financing. During the period of engagement, which ended in August 2004, High Voltage filed for Chapter</w:t>
      </w:r>
    </w:p>
    <w:p>
      <w:pPr>
        <w:spacing w:after="0" w:line="286" w:lineRule="auto"/>
        <w:rPr>
          <w:sz w:val="20"/>
          <w:szCs w:val="20"/>
          <w:color w:val="auto"/>
        </w:rPr>
      </w:pPr>
      <w:r>
        <w:rPr>
          <w:rFonts w:ascii="Arial" w:cs="Arial" w:eastAsia="Arial" w:hAnsi="Arial"/>
          <w:sz w:val="16"/>
          <w:szCs w:val="16"/>
          <w:color w:val="auto"/>
        </w:rPr>
        <w:t>11 bankruptcy protection and later emerged from bankruptcy with new financing. However, in February 2005, High Voltage again filed for Chapter 11 bankruptcy protection. In July 2006, as part of the second bankruptcy proceeding, High Voltage’s businesses were sold and its creditors were repaid in full out of the proceeds of the sale. On August 15, 2006, Stephen S. Gray, as trustee of the High Voltage Engineering Liquidating Trust (the “Plaintiff”), filed a motion in the bankruptcy court seeking to undo an order entered in November 2004 approving $2.34 million in fees and expenses for Evercore Restructuring’s services, alleging, among other matters, that Evercore Restructuring should have known that the projections prepared by High Voltage in connection with the first bankruptcy proceedings were inaccurate. The bankruptcy court denied the Plaintiff’s motion. Both the United States District Court and the Court of Appeals for the First Circuit affirmed the decision. In addition, on August 15, 2006, the same Plaintiff filed a complaint against Evercore Restructuring and Jefferies &amp; Company, Inc. in the United States District Court of Massachusetts. The Plaintiff’s complaint asserts claims against Evercore Restructuring for gross negligence and breach of fiduciary duty in connection with the High Voltage engagement. In September 2007, the District Court granted Evercore Restructuring judgment on the pleadings. On October 6, 2008, the First Circuit affirmed the judgment. Plaintiff’s time to seek further review of these has expired and the judgments in favor of Evercore Restructuring are now final in both cases.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security holders during the fourth quarter of the year ended December 31,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2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Evercore Class A Common Stock</w:t>
      </w:r>
    </w:p>
    <w:p>
      <w:pPr>
        <w:spacing w:after="0" w:line="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Class A common stock is listed on the NYSE and is traded under the symbol “EVR.” At the close of business on March 9, 2009, there were 13 Class A common stockholders of record.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reported sale prices per share for the Class A common stock since August 11, 2006, the date that our Class A common stock began trading on the NYSE, as reported on the NYSE: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500" w:type="dxa"/>
            <w:vAlign w:val="bottom"/>
            <w:tcBorders>
              <w:bottom w:val="single" w:sz="8" w:color="auto"/>
            </w:tcBorders>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2"/>
              </w:rPr>
              <w:t>Low</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$21.81</w:t>
            </w: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15.76</w:t>
            </w:r>
          </w:p>
        </w:tc>
        <w:tc>
          <w:tcPr>
            <w:tcW w:w="9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$38.30</w:t>
            </w:r>
          </w:p>
        </w:tc>
        <w:tc>
          <w:tcPr>
            <w:tcW w:w="1060" w:type="dxa"/>
            <w:vAlign w:val="bottom"/>
            <w:gridSpan w:val="2"/>
            <w:shd w:val="clear" w:color="auto" w:fill="CCEEFF"/>
          </w:tcPr>
          <w:p>
            <w:pPr>
              <w:jc w:val="center"/>
              <w:ind w:left="476"/>
              <w:spacing w:after="0"/>
              <w:rPr>
                <w:sz w:val="20"/>
                <w:szCs w:val="20"/>
                <w:color w:val="auto"/>
              </w:rPr>
            </w:pPr>
            <w:r>
              <w:rPr>
                <w:rFonts w:ascii="Arial" w:cs="Arial" w:eastAsia="Arial" w:hAnsi="Arial"/>
                <w:sz w:val="18"/>
                <w:szCs w:val="18"/>
                <w:color w:val="auto"/>
                <w:w w:val="90"/>
              </w:rPr>
              <w:t>$29.80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$19.34</w:t>
            </w:r>
          </w:p>
        </w:tc>
        <w:tc>
          <w:tcPr>
            <w:tcW w:w="5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9.46</w:t>
            </w:r>
          </w:p>
        </w:tc>
        <w:tc>
          <w:tcPr>
            <w:tcW w:w="94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$33.72</w:t>
            </w:r>
          </w:p>
        </w:tc>
        <w:tc>
          <w:tcPr>
            <w:tcW w:w="1060" w:type="dxa"/>
            <w:vAlign w:val="bottom"/>
            <w:gridSpan w:val="2"/>
          </w:tcPr>
          <w:p>
            <w:pPr>
              <w:jc w:val="center"/>
              <w:ind w:left="476"/>
              <w:spacing w:after="0"/>
              <w:rPr>
                <w:sz w:val="20"/>
                <w:szCs w:val="20"/>
                <w:color w:val="auto"/>
              </w:rPr>
            </w:pPr>
            <w:r>
              <w:rPr>
                <w:rFonts w:ascii="Arial" w:cs="Arial" w:eastAsia="Arial" w:hAnsi="Arial"/>
                <w:sz w:val="18"/>
                <w:szCs w:val="18"/>
                <w:color w:val="auto"/>
                <w:w w:val="90"/>
              </w:rPr>
              <w:t>$27.61</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$18.65</w:t>
            </w: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7.46</w:t>
            </w:r>
          </w:p>
        </w:tc>
        <w:tc>
          <w:tcPr>
            <w:tcW w:w="94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$30.76</w:t>
            </w:r>
          </w:p>
        </w:tc>
        <w:tc>
          <w:tcPr>
            <w:tcW w:w="1060" w:type="dxa"/>
            <w:vAlign w:val="bottom"/>
            <w:gridSpan w:val="2"/>
            <w:shd w:val="clear" w:color="auto" w:fill="CCEEFF"/>
          </w:tcPr>
          <w:p>
            <w:pPr>
              <w:jc w:val="center"/>
              <w:ind w:left="476"/>
              <w:spacing w:after="0"/>
              <w:rPr>
                <w:sz w:val="20"/>
                <w:szCs w:val="20"/>
                <w:color w:val="auto"/>
              </w:rPr>
            </w:pPr>
            <w:r>
              <w:rPr>
                <w:rFonts w:ascii="Arial" w:cs="Arial" w:eastAsia="Arial" w:hAnsi="Arial"/>
                <w:sz w:val="18"/>
                <w:szCs w:val="18"/>
                <w:color w:val="auto"/>
                <w:w w:val="90"/>
              </w:rPr>
              <w:t>$18.65</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$18.17</w:t>
            </w:r>
          </w:p>
        </w:tc>
        <w:tc>
          <w:tcPr>
            <w:tcW w:w="56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6.30</w:t>
            </w:r>
          </w:p>
        </w:tc>
        <w:tc>
          <w:tcPr>
            <w:tcW w:w="94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$27.89</w:t>
            </w:r>
          </w:p>
        </w:tc>
        <w:tc>
          <w:tcPr>
            <w:tcW w:w="1060" w:type="dxa"/>
            <w:vAlign w:val="bottom"/>
            <w:gridSpan w:val="2"/>
          </w:tcPr>
          <w:p>
            <w:pPr>
              <w:jc w:val="center"/>
              <w:ind w:left="476"/>
              <w:spacing w:after="0"/>
              <w:rPr>
                <w:sz w:val="20"/>
                <w:szCs w:val="20"/>
                <w:color w:val="auto"/>
              </w:rPr>
            </w:pPr>
            <w:r>
              <w:rPr>
                <w:rFonts w:ascii="Arial" w:cs="Arial" w:eastAsia="Arial" w:hAnsi="Arial"/>
                <w:sz w:val="18"/>
                <w:szCs w:val="18"/>
                <w:color w:val="auto"/>
                <w:w w:val="90"/>
              </w:rPr>
              <w:t>$18.51</w:t>
            </w:r>
          </w:p>
        </w:tc>
      </w:tr>
    </w:tbl>
    <w:p>
      <w:pPr>
        <w:spacing w:after="0" w:line="14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is no trading market for the Evercore Partners Inc. Class B common stock. As of March 9, 2009, there were 51 holders of record of the Class B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580" w:firstLine="456"/>
        <w:spacing w:after="0" w:line="305" w:lineRule="auto"/>
        <w:rPr>
          <w:sz w:val="20"/>
          <w:szCs w:val="20"/>
          <w:color w:val="auto"/>
        </w:rPr>
      </w:pPr>
      <w:r>
        <w:rPr>
          <w:rFonts w:ascii="Arial" w:cs="Arial" w:eastAsia="Arial" w:hAnsi="Arial"/>
          <w:sz w:val="15"/>
          <w:szCs w:val="15"/>
          <w:color w:val="auto"/>
        </w:rPr>
        <w:t>The Company paid quarterly cash dividends of $0.12 per share of Class A common stock for the quarters ended December 31, 2008, September 30, 2008, June 30, 2008 and March 31, 2008 and $0.12, $0.12, $0.10 and $0.07 per share of Class A common stock for the quarters ended December 31,</w:t>
      </w:r>
    </w:p>
    <w:p>
      <w:pPr>
        <w:jc w:val="both"/>
        <w:ind w:right="100"/>
        <w:spacing w:after="0" w:line="320" w:lineRule="auto"/>
        <w:rPr>
          <w:sz w:val="20"/>
          <w:szCs w:val="20"/>
          <w:color w:val="auto"/>
        </w:rPr>
      </w:pPr>
      <w:r>
        <w:rPr>
          <w:rFonts w:ascii="Arial" w:cs="Arial" w:eastAsia="Arial" w:hAnsi="Arial"/>
          <w:sz w:val="15"/>
          <w:szCs w:val="15"/>
          <w:color w:val="auto"/>
        </w:rPr>
        <w:t>2007, September 30, 2007, June 30, 2007 and March 31, 2007, respectively. 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w:t>
      </w:r>
    </w:p>
    <w:p>
      <w:pPr>
        <w:spacing w:after="0" w:line="10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are a holding company and have no material assets other than our ownership of partnership units in Evercore LP. We intend to cause Evercore LP to make distributions to us in an amount sufficient to cover dividends, if any, declared by us. If Evercore LP makes such distributions, our Senior Managing Directors will be entitled to receive equivalent distributions from Evercore LP on their vested partnership units.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for the period October 1, 2008 through December 31,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20" w:type="dxa"/>
            <w:vAlign w:val="bottom"/>
          </w:tcPr>
          <w:p>
            <w:pPr>
              <w:spacing w:after="0"/>
              <w:rPr>
                <w:sz w:val="12"/>
                <w:szCs w:val="12"/>
                <w:color w:val="auto"/>
              </w:rPr>
            </w:pP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Units)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0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Price Paid</w:t>
            </w:r>
          </w:p>
        </w:tc>
        <w:tc>
          <w:tcPr>
            <w:tcW w:w="8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820" w:type="dxa"/>
            <w:vAlign w:val="bottom"/>
          </w:tcPr>
          <w:p>
            <w:pPr>
              <w:spacing w:after="0"/>
              <w:rPr>
                <w:sz w:val="12"/>
                <w:szCs w:val="12"/>
                <w:color w:val="auto"/>
              </w:rPr>
            </w:pP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2008</w:t>
            </w:r>
          </w:p>
        </w:tc>
        <w:tc>
          <w:tcPr>
            <w:tcW w:w="8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8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Per Share</w:t>
            </w:r>
          </w:p>
        </w:tc>
        <w:tc>
          <w:tcPr>
            <w:tcW w:w="8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82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the Plan or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to October 31</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November 1 to November 30(2)</w:t>
            </w:r>
          </w:p>
        </w:tc>
        <w:tc>
          <w:tcPr>
            <w:tcW w:w="1000" w:type="dxa"/>
            <w:vAlign w:val="bottom"/>
          </w:tcPr>
          <w:p>
            <w:pPr>
              <w:jc w:val="right"/>
              <w:spacing w:after="0"/>
              <w:rPr>
                <w:sz w:val="20"/>
                <w:szCs w:val="20"/>
                <w:color w:val="auto"/>
              </w:rPr>
            </w:pPr>
            <w:r>
              <w:rPr>
                <w:rFonts w:ascii="Arial" w:cs="Arial" w:eastAsia="Arial" w:hAnsi="Arial"/>
                <w:sz w:val="18"/>
                <w:szCs w:val="18"/>
                <w:color w:val="auto"/>
              </w:rPr>
              <w:t>85,558</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8.16</w:t>
            </w:r>
          </w:p>
        </w:tc>
        <w:tc>
          <w:tcPr>
            <w:tcW w:w="80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to December 31(2)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17.69</w:t>
            </w:r>
          </w:p>
        </w:tc>
        <w:tc>
          <w:tcPr>
            <w:tcW w:w="8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rPr>
              <w:t>91,597</w:t>
            </w:r>
          </w:p>
        </w:tc>
        <w:tc>
          <w:tcPr>
            <w:tcW w:w="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8.79</w:t>
            </w:r>
          </w:p>
        </w:tc>
        <w:tc>
          <w:tcPr>
            <w:tcW w:w="80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May 7, 2008, Evercore’s Board authorized the repurchase of up to $25.0 million of Evercore class A common stock and/or Evercore LP partnership units. Under this share repurchase program, shares may be repurchased from time to time in open market transactions, in privately negotiated transactions or otherwise. The timing and the actual number of shares repurchased will depend on a variety of factors, including legal requirements, price and economic and market conditions. This program may be suspended or discontinued at any time and does not have a specified expiration date.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purchased from employees in order to fund minimum payroll tax requirements related to the vesting of stock-based compensation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the historical selected financial data for the Company for all periods presented. For more information on our historical financial information, see Item 7 “Management’s Discussion and Analysis of Financial Condition and Results of Operations” and Item 8 “Financial Statements and Supplementary Data.” During 2008, certain balances for prior periods have been reclassified to conform to their current presentation in order to improve consistency with Management’s understanding of the business. See Note 2 to our consolidated/combined financial statements for additional information regarding these reclassifications.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i w:val="1"/>
                <w:iCs w:val="1"/>
                <w:color w:val="auto"/>
                <w:w w:val="85"/>
              </w:rPr>
              <w:t>Consolidated</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i w:val="1"/>
                <w:iCs w:val="1"/>
                <w:color w:val="auto"/>
                <w:w w:val="90"/>
              </w:rPr>
              <w:t>Combined</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0"/>
              </w:rPr>
              <w:t>For the Period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For the Period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August 10, 2006</w:t>
            </w: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 2006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through</w:t>
            </w: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through</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August 9, 2006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38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SUCCESSOR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2"/>
              </w:rPr>
              <w:t>SUCCESSOR</w:t>
            </w:r>
          </w:p>
        </w:tc>
        <w:tc>
          <w:tcPr>
            <w:tcW w:w="74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PREDECESSOR</w:t>
            </w:r>
          </w:p>
        </w:tc>
        <w:tc>
          <w:tcPr>
            <w:tcW w:w="3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5"/>
          </w:tcPr>
          <w:p>
            <w:pPr>
              <w:ind w:left="200"/>
              <w:spacing w:after="0" w:line="142" w:lineRule="exact"/>
              <w:rPr>
                <w:sz w:val="20"/>
                <w:szCs w:val="20"/>
                <w:color w:val="auto"/>
              </w:rPr>
            </w:pPr>
            <w:r>
              <w:rPr>
                <w:rFonts w:ascii="Arial" w:cs="Arial" w:eastAsia="Arial" w:hAnsi="Arial"/>
                <w:sz w:val="14"/>
                <w:szCs w:val="14"/>
                <w:b w:val="1"/>
                <w:bCs w:val="1"/>
                <w:color w:val="auto"/>
                <w:w w:val="91"/>
              </w:rPr>
              <w:t>(dollars in thousands, except per share data)</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STATEMENT OF</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OPERATIONS DATA</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Advisory Revenue</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181,608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295,751</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87,659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96,122</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110,842</w:t>
            </w: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9,440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20,158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6,591</w:t>
            </w: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16,860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14,584</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16,967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Revenue</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33,885</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24,141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8,622</w:t>
            </w:r>
          </w:p>
        </w:tc>
        <w:tc>
          <w:tcPr>
            <w:tcW w:w="7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3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tcPr>
          <w:p>
            <w:pPr>
              <w:ind w:left="420"/>
              <w:spacing w:after="0" w:line="155" w:lineRule="exact"/>
              <w:rPr>
                <w:sz w:val="20"/>
                <w:szCs w:val="20"/>
                <w:color w:val="auto"/>
              </w:rPr>
            </w:pPr>
            <w:r>
              <w:rPr>
                <w:rFonts w:ascii="Arial" w:cs="Arial" w:eastAsia="Arial" w:hAnsi="Arial"/>
                <w:sz w:val="14"/>
                <w:szCs w:val="14"/>
                <w:color w:val="auto"/>
              </w:rPr>
              <w:t>TOTAL REVENUES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224,933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340,050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2"/>
          </w:tcPr>
          <w:p>
            <w:pPr>
              <w:jc w:val="right"/>
              <w:ind w:right="740"/>
              <w:spacing w:after="0" w:line="155" w:lineRule="exact"/>
              <w:rPr>
                <w:sz w:val="20"/>
                <w:szCs w:val="20"/>
                <w:color w:val="auto"/>
              </w:rPr>
            </w:pPr>
            <w:r>
              <w:rPr>
                <w:rFonts w:ascii="Arial" w:cs="Arial" w:eastAsia="Arial" w:hAnsi="Arial"/>
                <w:sz w:val="14"/>
                <w:szCs w:val="14"/>
                <w:color w:val="auto"/>
              </w:rPr>
              <w:t>102,872</w:t>
            </w:r>
          </w:p>
        </w:tc>
        <w:tc>
          <w:tcPr>
            <w:tcW w:w="80" w:type="dxa"/>
            <w:vAlign w:val="bottom"/>
          </w:tcPr>
          <w:p>
            <w:pPr>
              <w:spacing w:after="0"/>
              <w:rPr>
                <w:sz w:val="13"/>
                <w:szCs w:val="13"/>
                <w:color w:val="auto"/>
              </w:rPr>
            </w:pPr>
          </w:p>
        </w:tc>
        <w:tc>
          <w:tcPr>
            <w:tcW w:w="11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113,625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125,635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86,317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30,278</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18,451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6,794</w:t>
            </w:r>
          </w:p>
        </w:tc>
        <w:tc>
          <w:tcPr>
            <w:tcW w:w="7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center"/>
              <w:ind w:left="452"/>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40" w:type="dxa"/>
            <w:vAlign w:val="bottom"/>
            <w:gridSpan w:val="2"/>
          </w:tcPr>
          <w:p>
            <w:pPr>
              <w:spacing w:after="0" w:line="155" w:lineRule="exact"/>
              <w:rPr>
                <w:sz w:val="20"/>
                <w:szCs w:val="20"/>
                <w:color w:val="auto"/>
              </w:rPr>
            </w:pPr>
            <w:r>
              <w:rPr>
                <w:rFonts w:ascii="Arial" w:cs="Arial" w:eastAsia="Arial" w:hAnsi="Arial"/>
                <w:sz w:val="14"/>
                <w:szCs w:val="14"/>
                <w:color w:val="auto"/>
              </w:rPr>
              <w:t>NET REVENUES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194,655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321,599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right"/>
              <w:ind w:right="740"/>
              <w:spacing w:after="0" w:line="155" w:lineRule="exact"/>
              <w:rPr>
                <w:sz w:val="20"/>
                <w:szCs w:val="20"/>
                <w:color w:val="auto"/>
              </w:rPr>
            </w:pPr>
            <w:r>
              <w:rPr>
                <w:rFonts w:ascii="Arial" w:cs="Arial" w:eastAsia="Arial" w:hAnsi="Arial"/>
                <w:sz w:val="14"/>
                <w:szCs w:val="14"/>
                <w:color w:val="auto"/>
              </w:rPr>
              <w:t>96,078</w:t>
            </w:r>
          </w:p>
        </w:tc>
        <w:tc>
          <w:tcPr>
            <w:tcW w:w="80" w:type="dxa"/>
            <w:vAlign w:val="bottom"/>
          </w:tcPr>
          <w:p>
            <w:pPr>
              <w:spacing w:after="0"/>
              <w:rPr>
                <w:sz w:val="14"/>
                <w:szCs w:val="14"/>
                <w:color w:val="auto"/>
              </w:rPr>
            </w:pPr>
          </w:p>
        </w:tc>
        <w:tc>
          <w:tcPr>
            <w:tcW w:w="11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111,919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125,635</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86,317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Operating Expenses(a)</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188,975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235,502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63,268</w:t>
            </w: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43,594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59,103</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34,473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15,064</w:t>
            </w:r>
          </w:p>
        </w:tc>
        <w:tc>
          <w:tcPr>
            <w:tcW w:w="3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141,032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7,003</w:t>
            </w:r>
          </w:p>
        </w:tc>
        <w:tc>
          <w:tcPr>
            <w:tcW w:w="7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center"/>
              <w:ind w:left="59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center"/>
              <w:ind w:left="452"/>
              <w:spacing w:after="0" w:line="149"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220" w:type="dxa"/>
            <w:vAlign w:val="bottom"/>
          </w:tcPr>
          <w:p>
            <w:pPr>
              <w:ind w:left="420"/>
              <w:spacing w:after="0" w:line="155" w:lineRule="exact"/>
              <w:rPr>
                <w:sz w:val="20"/>
                <w:szCs w:val="20"/>
                <w:color w:val="auto"/>
              </w:rPr>
            </w:pPr>
            <w:r>
              <w:rPr>
                <w:rFonts w:ascii="Arial" w:cs="Arial" w:eastAsia="Arial" w:hAnsi="Arial"/>
                <w:sz w:val="14"/>
                <w:szCs w:val="14"/>
                <w:color w:val="auto"/>
              </w:rPr>
              <w:t>TOTAL EXPENSES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204,039</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376,534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70,271</w:t>
            </w: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43,594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59,103</w:t>
            </w: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left="412"/>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512"/>
              <w:spacing w:after="0" w:line="149" w:lineRule="exact"/>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INCOME (LOSS) BEFORE INCOME TAXES AND</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4"/>
                <w:szCs w:val="14"/>
                <w:b w:val="1"/>
                <w:bCs w:val="1"/>
                <w:color w:val="auto"/>
              </w:rPr>
              <w:t>MINORITY INTEREST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(9,384)</w:t>
            </w:r>
          </w:p>
        </w:tc>
        <w:tc>
          <w:tcPr>
            <w:tcW w:w="1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(54,935)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4"/>
                <w:szCs w:val="14"/>
                <w:color w:val="auto"/>
              </w:rPr>
              <w:t>25,807</w:t>
            </w:r>
          </w:p>
        </w:tc>
        <w:tc>
          <w:tcPr>
            <w:tcW w:w="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68,325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66,532</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51,920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Taxes(b)</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12,401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6,030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3,372</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(4,850)</w:t>
            </w: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(32,841)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15,991</w:t>
            </w: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(4,713)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(34,495)</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3,786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65,951</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63,152</w:t>
            </w: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Dividends Declared per Share</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0.48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0.41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ind w:left="8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tcPr>
          <w:p>
            <w:pPr>
              <w:jc w:val="center"/>
              <w:ind w:left="432"/>
              <w:spacing w:after="0" w:line="143"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left="552"/>
              <w:spacing w:after="0" w:line="143" w:lineRule="exact"/>
              <w:rPr>
                <w:sz w:val="20"/>
                <w:szCs w:val="20"/>
                <w:color w:val="auto"/>
              </w:rPr>
            </w:pPr>
            <w:r>
              <w:rPr>
                <w:rFonts w:ascii="Arial" w:cs="Arial" w:eastAsia="Arial" w:hAnsi="Arial"/>
                <w:sz w:val="14"/>
                <w:szCs w:val="14"/>
                <w:color w:val="auto"/>
                <w:w w:val="94"/>
              </w:rPr>
              <w:t>N/A</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left="452"/>
              <w:spacing w:after="0" w:line="14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Income (Loss) per Share</w:t>
            </w:r>
          </w:p>
        </w:tc>
        <w:tc>
          <w:tcPr>
            <w:tcW w:w="38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(0.36)</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(3.38)</w:t>
            </w:r>
          </w:p>
        </w:tc>
        <w:tc>
          <w:tcPr>
            <w:tcW w:w="22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CCEEFF"/>
          </w:tcPr>
          <w:p>
            <w:pPr>
              <w:jc w:val="right"/>
              <w:ind w:right="740"/>
              <w:spacing w:after="0" w:line="143" w:lineRule="exact"/>
              <w:rPr>
                <w:sz w:val="20"/>
                <w:szCs w:val="20"/>
                <w:color w:val="auto"/>
              </w:rPr>
            </w:pPr>
            <w:r>
              <w:rPr>
                <w:rFonts w:ascii="Arial" w:cs="Arial" w:eastAsia="Arial" w:hAnsi="Arial"/>
                <w:sz w:val="14"/>
                <w:szCs w:val="14"/>
                <w:color w:val="auto"/>
              </w:rPr>
              <w:t>0.76</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left="432"/>
              <w:spacing w:after="0" w:line="143" w:lineRule="exact"/>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552"/>
              <w:spacing w:after="0" w:line="143" w:lineRule="exact"/>
              <w:rPr>
                <w:sz w:val="20"/>
                <w:szCs w:val="20"/>
                <w:color w:val="auto"/>
              </w:rPr>
            </w:pPr>
            <w:r>
              <w:rPr>
                <w:rFonts w:ascii="Arial" w:cs="Arial" w:eastAsia="Arial" w:hAnsi="Arial"/>
                <w:sz w:val="14"/>
                <w:szCs w:val="14"/>
                <w:color w:val="auto"/>
                <w:w w:val="94"/>
              </w:rPr>
              <w:t>N/A</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left="472"/>
              <w:spacing w:after="0" w:line="143"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4"/>
                <w:szCs w:val="14"/>
                <w:b w:val="1"/>
                <w:bCs w:val="1"/>
                <w:color w:val="auto"/>
              </w:rPr>
              <w:t>FINANCIAL CONDITION DATA</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738,940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689,096</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301,503</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left="432"/>
              <w:spacing w:after="0" w:line="149" w:lineRule="exact"/>
              <w:rPr>
                <w:sz w:val="20"/>
                <w:szCs w:val="20"/>
                <w:color w:val="auto"/>
              </w:rPr>
            </w:pPr>
            <w:r>
              <w:rPr>
                <w:rFonts w:ascii="Arial" w:cs="Arial" w:eastAsia="Arial" w:hAnsi="Arial"/>
                <w:sz w:val="14"/>
                <w:szCs w:val="14"/>
                <w:color w:val="auto"/>
              </w:rPr>
              <w:t>N/A</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81,456</w:t>
            </w: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Total Liabilities</w:t>
            </w:r>
          </w:p>
        </w:tc>
        <w:tc>
          <w:tcPr>
            <w:tcW w:w="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507,355</w:t>
            </w:r>
          </w:p>
        </w:tc>
        <w:tc>
          <w:tcPr>
            <w:tcW w:w="38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469,781</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152,108</w:t>
            </w:r>
          </w:p>
        </w:tc>
        <w:tc>
          <w:tcPr>
            <w:tcW w:w="80" w:type="dxa"/>
            <w:vAlign w:val="bottom"/>
          </w:tcPr>
          <w:p>
            <w:pPr>
              <w:spacing w:after="0"/>
              <w:rPr>
                <w:sz w:val="12"/>
                <w:szCs w:val="12"/>
                <w:color w:val="auto"/>
              </w:rPr>
            </w:pPr>
          </w:p>
        </w:tc>
        <w:tc>
          <w:tcPr>
            <w:tcW w:w="1100" w:type="dxa"/>
            <w:vAlign w:val="bottom"/>
            <w:gridSpan w:val="2"/>
          </w:tcPr>
          <w:p>
            <w:pPr>
              <w:jc w:val="center"/>
              <w:ind w:left="432"/>
              <w:spacing w:after="0" w:line="149" w:lineRule="exact"/>
              <w:rPr>
                <w:sz w:val="20"/>
                <w:szCs w:val="20"/>
                <w:color w:val="auto"/>
              </w:rPr>
            </w:pPr>
            <w:r>
              <w:rPr>
                <w:rFonts w:ascii="Arial" w:cs="Arial" w:eastAsia="Arial" w:hAnsi="Arial"/>
                <w:sz w:val="14"/>
                <w:szCs w:val="14"/>
                <w:color w:val="auto"/>
              </w:rPr>
              <w:t>N/A</w:t>
            </w: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29,677</w:t>
            </w: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25,808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46,339</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36,918</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left="432"/>
              <w:spacing w:after="0" w:line="149" w:lineRule="exact"/>
              <w:rPr>
                <w:sz w:val="20"/>
                <w:szCs w:val="20"/>
                <w:color w:val="auto"/>
              </w:rPr>
            </w:pPr>
            <w:r>
              <w:rPr>
                <w:rFonts w:ascii="Arial" w:cs="Arial" w:eastAsia="Arial" w:hAnsi="Arial"/>
                <w:sz w:val="14"/>
                <w:szCs w:val="14"/>
                <w:color w:val="auto"/>
              </w:rPr>
              <w:t>N/A</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Stockholders’ and Members’ Equity</w:t>
            </w: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205,777</w:t>
            </w:r>
          </w:p>
        </w:tc>
        <w:tc>
          <w:tcPr>
            <w:tcW w:w="3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172,976</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740"/>
              <w:spacing w:after="0"/>
              <w:rPr>
                <w:sz w:val="20"/>
                <w:szCs w:val="20"/>
                <w:color w:val="auto"/>
              </w:rPr>
            </w:pPr>
            <w:r>
              <w:rPr>
                <w:rFonts w:ascii="Arial" w:cs="Arial" w:eastAsia="Arial" w:hAnsi="Arial"/>
                <w:sz w:val="14"/>
                <w:szCs w:val="14"/>
                <w:color w:val="auto"/>
              </w:rPr>
              <w:t>112,477</w:t>
            </w:r>
          </w:p>
        </w:tc>
        <w:tc>
          <w:tcPr>
            <w:tcW w:w="80" w:type="dxa"/>
            <w:vAlign w:val="bottom"/>
          </w:tcPr>
          <w:p>
            <w:pPr>
              <w:spacing w:after="0"/>
              <w:rPr>
                <w:sz w:val="14"/>
                <w:szCs w:val="14"/>
                <w:color w:val="auto"/>
              </w:rPr>
            </w:pPr>
          </w:p>
        </w:tc>
        <w:tc>
          <w:tcPr>
            <w:tcW w:w="1100" w:type="dxa"/>
            <w:vAlign w:val="bottom"/>
            <w:gridSpan w:val="2"/>
          </w:tcPr>
          <w:p>
            <w:pPr>
              <w:jc w:val="center"/>
              <w:ind w:left="432"/>
              <w:spacing w:after="0"/>
              <w:rPr>
                <w:sz w:val="20"/>
                <w:szCs w:val="20"/>
                <w:color w:val="auto"/>
              </w:rPr>
            </w:pPr>
            <w:r>
              <w:rPr>
                <w:rFonts w:ascii="Arial" w:cs="Arial" w:eastAsia="Arial" w:hAnsi="Arial"/>
                <w:sz w:val="14"/>
                <w:szCs w:val="14"/>
                <w:color w:val="auto"/>
              </w:rPr>
              <w:t>N/A</w:t>
            </w: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51,505</w:t>
            </w:r>
          </w:p>
        </w:tc>
        <w:tc>
          <w:tcPr>
            <w:tcW w:w="5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51,279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right="520" w:hanging="332"/>
        <w:spacing w:after="0" w:line="318" w:lineRule="auto"/>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Prior to our August 2006 IPO, payments for services rendered by our Senior Managing Directors were accounted for as distributions of members’ capital rather than as compensation expense. See “Management’s Discussion and Analysis of Financial Condition and Results of Operations – Key Financial Measures – Operating Expenses – Employee Compensation and Benefits Expense”.</w:t>
      </w:r>
    </w:p>
    <w:p>
      <w:pPr>
        <w:spacing w:after="0" w:line="12"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Prior to our August 2006 IPO, our income was not subject to U.S. federal and state income taxes. See “Management’s Discussion and Analysis of Financial Condition and Results of Operations – Key Financial Measures–Provision for Income Taxes”.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The following discussion should be read in conjunction with Evercore Partners Inc.’s consolidated/combined financial Statements and the related notes included elsewhere in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Transaction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the IPO, our business, or Predecessor Company, had historically been owned by our Senior Managing Directors. On August 10, 2006, and pursuant to a contribution and sale agreement dated as of May 12, 2006, our Senior Managing Directors contributed to Evercore LP each of the various entities included in our historical combined financial statements that were under common control of the members of Evercore LP (“Members”), with the exception of the general partners of ECP I, ECP II and EVP and certain other entities through which Messrs. Altman and Beutner funded their capital commitments to ECP I, forming the Successor Company. The Successor Company has continued to conduct the same business as the Predecessor Company.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 specifically, our Senior Managing Directors contributed to Evercore LP all of the equity interests in:</w:t>
      </w:r>
    </w:p>
    <w:p>
      <w:pPr>
        <w:spacing w:after="0" w:line="90" w:lineRule="exact"/>
        <w:rPr>
          <w:sz w:val="20"/>
          <w:szCs w:val="20"/>
          <w:color w:val="auto"/>
        </w:rPr>
      </w:pPr>
    </w:p>
    <w:p>
      <w:pPr>
        <w:ind w:left="900" w:right="8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Evercore Group Holdings L.P., a Delaware limited partnership (“EGH”) and its general partner, Evercore Group Holdings L.L.C. EGH wholly owns Evercore Partners Services East L.L.C. (“East”), the operating company that in turn wholly owns the advisors to the ECP II and EVP funds and certain other entities. As part of the Formation Transaction, Evercore Advisors L.L.C., the advisor to ECP I; EGL, Evercore’s registered broker-dealer and Evercore Properties L.L.C., Evercore’s leaseholding entity were sold to East.</w:t>
      </w:r>
    </w:p>
    <w:p>
      <w:pPr>
        <w:spacing w:after="0" w:line="6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Evercore GP Holdings L.L.C., a Delaware limited liability company which became a non-managing member of the general partner of ECP II and is entitled to 8% to 9% (depending on the particular fund investment) of any carried interest realized from that fund following the reorganization, which represented 10% of the carried interest then allocable to our Senior Managing Directors.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exchange for these contributions to Evercore LP, our Senior Managing Directors and certain trusts benefiting certain of their families received 11,787,610 vested and 9,237,670 unvested Evercore LP partnership units. The vesting arrangements applicable to these Evercore LP partnership units are described under “Other Expenses.” In addition, we distributed cash to the Members so as to distribute to them all earnings for the period from January 1, 2006 to the date of the closing of the contribution and sale agreement.</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accounted for this transaction, which we refer to as the “Formation Transaction,” substantially by using the Members’ historical cost of the assets acquired and liabilities assumed and recorded minority interest to reflect the Members’ ongoing ownership in Evercore LP. We account for the remaining unvested Evercore LP partnership units issued in the Formation Transaction as future compensation expense. See “Follow-On Offering of Evercore Partners Inc. Class A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Combination with Protego</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Protego’s business historically was owned by its directors and other stockholders and conducted by Protego and its subsidiaries and Protego SI S.C. (“Protego SI”). Concurrently with the Formation Transaction, we and Protego undertook the following steps pursuant to the contribution and sale agreement, which we refer to collectively as the “Protego Combination”:</w:t>
      </w:r>
    </w:p>
    <w:p>
      <w:pPr>
        <w:spacing w:after="0" w:line="59" w:lineRule="exact"/>
        <w:rPr>
          <w:sz w:val="20"/>
          <w:szCs w:val="20"/>
          <w:color w:val="auto"/>
        </w:rPr>
      </w:pPr>
    </w:p>
    <w:p>
      <w:pPr>
        <w:ind w:left="900" w:right="22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Evercore LP acquired Protego and its subsidiaries (including a 70% interest in PCB, Protego’s asset management subsidiary and a 0.5% interest in the Discovery Fund), and Protego SI in exchange for $7.0 million aggregate principal amount of non-interest bearing notes;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Aspe and the other Protego directors became Senior Managing Directors of Evercore Partners Inc. and subscribed, collectively with certain companies they control, certain trusts benefiting their families and a trust benefiting certain directors and employees of Protego, for 1,760,187 vested and 351,362 unvested Evercore LP partnership units.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Of the $7.0 million in notes issued in consideration for the Protego Combination, $6.05 million was payable in cash and $0.95 million was payable in shares of our Class A common stock valued at the IPO price of $21.00 per share. We issued 45,238 shares of Class A common stock upon repayment of such notes. In addition, Protego distributed to its directors cash, and to the extent cash was not available, interest in certain accounts receivable, so as to distribute to its directors all earnings for the period from January 1, 2005, to the date of the closing of the contribution and sale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16, 2006, Evercore Partners Inc. completed the IPO of its Class A common stock by issuing 4,542,500 shares of its Class A common stock, including shares issued to the underwriters pursuant to their election to exercise in full their overallotment option, for cash consideration of $19.53 per share (net of underwriting discounts) to a syndicate of underwriters. Evercore Partners Inc. contributed all of the net proceeds from the IPO to Evercore LP, and Evercore LP issued to Evercore Partners Inc. a number of Evercore LP partnership units equal to the number of shares of Class A common stock that Evercore Partners Inc. issued in connection with the Protego Combination and in the IPO. Evercore Partners Inc. also became the sole general partner of Evercore LP.</w:t>
      </w:r>
    </w:p>
    <w:p>
      <w:pPr>
        <w:spacing w:after="0" w:line="1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a result of the Formation Transaction, the Protego Combination and the other transactions described above, which we collectively refer to as the “Reorganization,” immediately following the IPO:</w:t>
      </w:r>
    </w:p>
    <w:p>
      <w:pPr>
        <w:spacing w:after="0" w:line="51" w:lineRule="exact"/>
        <w:rPr>
          <w:sz w:val="20"/>
          <w:szCs w:val="20"/>
          <w:color w:val="auto"/>
        </w:rPr>
      </w:pPr>
    </w:p>
    <w:p>
      <w:pPr>
        <w:ind w:left="900" w:right="7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Evercore Partners Inc. became the sole general partner of Evercore LP and, through Evercore LP and its subsidiaries, operates our business, including the business of Protego;</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Senior Managing Directors, including the former directors of Protego, and certain companies they control, certain trusts benefiting certain of their families and a trust benefiting certain directors and employees of Protego held 51 shares of our Class B common stock and 23,136,829 Evercore LP partnership units; and</w:t>
      </w:r>
    </w:p>
    <w:p>
      <w:pPr>
        <w:spacing w:after="0" w:line="59"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public stockholders (including certain former stockholders of Protego who received $0.95 million payable in shares of our Class A common stock as described above) collectively owned 4,587,738 shares of Class A common stock.</w:t>
      </w:r>
    </w:p>
    <w:p>
      <w:pPr>
        <w:spacing w:after="0" w:line="13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Class B common stock provides its holder with no economic rights but entitles the holder to a number of votes that is equal to the number of Evercore LP partnership units held by such holder. Subject to the vesting and transfer restriction provisions of the Evercore LP partnership agreement, the limited partners of Evercore LP are entitled to exchange their Evercore LP partnership units for shares of Class A common stock on a one-for-one basis, subject to customary rate adjustment for stock splits, stock amendments and reclassifications.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Braveheart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December 19, 2006, we completed the acquisition of Braveheart. Braveheart was organized to provide corporate finance and private equity advisory services, subject to its receipt of applicable regulatory approvals. In exchange for 100% of the outstanding share capital of Braveheart, we paid initial consideration, deferred consideration and earn-out consideration. The initial consideration was comprised of 1,771,820 shares of Evercore Partners Inc. Class A common stock. The deferred consideration was comprised of 590,607 additional shares of Class A common stock. Of this deferred consideration, 159,000 shares were issued to Braveheart shareholders on April 4, 2007 and an additional 431,607 shares were issued to Braveheart shareholders on March 11, 2008. As part of the overall consideration, the Company issued $3.0 million of interest-bearing notes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to the former shareholders of Braveheart, due 2010, which bear interest at LIBOR plus 100 basis points and which are redeemable by the holder at any time after October 31, 2007. These notes were paid in full on April 3, 2008. Additionally, we paid $0.4 million in cash as part of the acquisition.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Offering of Evercore Partners Inc. Class A Common Stock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May 23, 2007, we completed a follow-on offering of 1,581,778 shares of Class A common stock for cash consideration of $27.95 per share (net of underwriting discounts). Net proceeds in conjunction with this issuance, after deducting underwriting discounts and commissions and offering expenses, were $42.1 million. We contributed all of the net proceeds from this follow-on offering to Evercore LP, and Evercore LP issued to us 1,581,778 Evercore LP partnership units. We used and intend to use these proceeds to expand and diversify our Advisory and Investment Management businesses and for general corporate purposes in our operating subsidiary, Evercore LP. In conjunction with the follow-on offering, Members exchanged 2,942,932 Evercore LP partnership units for shares of our Class A common stock on a one-for-one basis.</w:t>
      </w:r>
    </w:p>
    <w:p>
      <w:pPr>
        <w:spacing w:after="0" w:line="12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The follow-on offering related transactions resulted in Messrs. Altman, Beutner and Aspe, and trusts benefiting their families and permitted transferees, collectively, ceasing to beneficially own at least 90% of the aggregate Evercore LP partnership units owned by them on the date of the Reorganization, which in turn resulted in the vesting of 4,735,867, or approximately 50%, of the unvested Evercore LP partnership units, 1,007,064 unvested RSUs and 90,606 unvested shares of restricted stock. The vesting of Evercore LP partnership units resulted in a non-cash charge to compensation expense and an offsetting increase in Minority Interest of $99.5 million on our Consolidated Statement of Financial Condition as of December 31, 2007, and the vesting of RSUs and restricted stock resulted in a non-cash charge to compensation expense of $23.8 million and an offsetting increase in Stockholders’ Equity of $23.8 million on our Consolidated Statement of Financial Condition as of December 31, 2007. We refer to the above transactions collectively as the “Follow-On Offering.” Prior to the Follow-On Offering, each holder of Class B common stock had effectively ceded their voting rights with respect to their ownership of Class B common stock and Evercore LP partnership units to Messrs. Altman, Beutner and Aspe. Subsequent to the Follow-On Offering, each holder of Class B common stock is entitled to one vote for each Evercore LP partnership unit held by such holder.</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the completion of the Follow-On Offering, 976,904, or 50%, of the non-forfeited, unvested RSUs issued in conjunction with the IPO vested. As with the unvested Evercore LP partnership units, the RSUs that vested were charged to expense at the completion of the Follow-On Offering based on the grant date fair value of the Class A common stock deliverable pursuant to such RSUs, which is the IPO price of the Class A common stock of $21.00 per share. Accordingly, at the completion of the Follow-On Offering we recorded a non-cash equity-based compensation charge associated with the vesting of these previously unvested RSUs of $20.5 million. Following the completion of the Follow-On Offering, if all of the remaining unvested and unforfeited RSUs as of December 31, 2008 were to vest at some point in the future, based on the grant date fair value of the Class A common stock deliverable pursuant to such RSUs of $21.00 per share, the total amount of compensation expense that we will record in connection with the vesting of these unvested RSUs would be approximately $14.9 million. To the extent unvested RSUs vest, they are included in weighted average shares outstanding for purposes of calculating basic and diluted net income per share, which has a dilutive effect on these measures.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first six months of 2007 and prior to the Follow-On Offering, and in connection with new hiring activity, we granted (1) 90,479 RSUs with a grant date fair value of $33.27 per unit, 30,160 of which were fully vested and 60,319 of which were unvested and vest upon the same conditions as the unvested Evercore LP partnership units issued in connection with the Reorganization and (2) 90,606 shares of restricted stock with a grant date fair value of $33.64 per share, all of which were unvested and vest upon the earlier of one year following the date of grant or when Messrs. Altman, Beutner and Aspe, and trusts benefiting their families and permitted transferees, collectively, cease to beneficially own at least 90% of the aggregate Evercore LP partnership units owned by them on the date the Reorganization was effected. At the completion of the Follow-On Offering, 30,160 of these RSUs and all of these 90,606 shares of restricted stock vested and we accordingly recorded a non-cash equity-based compensation charge of $3.3 million in connection therewith.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the Follow-On Offering, Members exchanged 2,942,932 Evercore LP partnership units that they held on a one-for-one basis for shares of our Class A common stock. In addition, Evercore LP partnership units held by Members may be exchanged in the future for shares of our Class A common stock on a one-for-one basis, subject to customary conversion rate adjustments for stock splits, stock dividends and reclassifications. This exchange and any such future exchanges are expected to result in an increase in the tax basis of the tangible and intangible assets of Evercore LP. These increases in tax basis increase (for tax purposes) amortization and, therefore, reduce the amount of tax that we would otherwise be required to pay.</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a tax receivable agreement with Members that provides for the payment by us to an exchanging Member of 85% of the amount of cash savings, if any, in U.S. federal, state and local income tax that we actually realize as a result of these increases in tax basis. We expect to benefit from the remaining 15% of cash savings, if any, in income tax that we realize.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Members could be substantial.</w:t>
      </w:r>
    </w:p>
    <w:p>
      <w:pPr>
        <w:spacing w:after="0" w:line="12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Assuming no material changes in the relevant tax law, and that we earn sufficient taxable income to realize the full tax benefit of the increased amortization, we expect that future payments to our Members in respect of the exchange of Evercore LP partnership units that occurred prior to the Follow-On Offering to aggregate approximately $40.2 million, resulting in payments of approximately, on average, $1.9 million per year, based on a value of the Class A common stock of $29.50 per share. Future payments to our Members in respect of subsequent exchanges pursuant to the tax receivable agreement would be in addition to these amounts and are expected to be substantial.</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effects of the tax receivable agreement on our Consolidated Statement of Financial Condition as a result of the exchange of 2,942,932 Evercore LP partnership units by Members prior to the Follow-On Offering were as follows:</w:t>
      </w:r>
    </w:p>
    <w:p>
      <w:pPr>
        <w:spacing w:after="0" w:line="51" w:lineRule="exact"/>
        <w:rPr>
          <w:sz w:val="20"/>
          <w:szCs w:val="20"/>
          <w:color w:val="auto"/>
        </w:rPr>
      </w:pPr>
    </w:p>
    <w:p>
      <w:pPr>
        <w:ind w:left="90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recorded an increase of $45.6 million in deferred tax assets for the estimated income tax effects of the increase in the tax basis of the assets owned by Evercore LP, based on enacted federal and state tax rates at the date of the transaction. To the extent we estimate that we will not realize the full benefit represented by the deferred tax asset, based on an analysis of expected future earnings, we will reduce the deferred tax asset with a valuation allowance; and</w:t>
      </w:r>
    </w:p>
    <w:p>
      <w:pPr>
        <w:spacing w:after="0" w:line="62" w:lineRule="exact"/>
        <w:rPr>
          <w:rFonts w:ascii="Arial" w:cs="Arial" w:eastAsia="Arial" w:hAnsi="Arial"/>
          <w:sz w:val="18"/>
          <w:szCs w:val="18"/>
          <w:color w:val="auto"/>
        </w:rPr>
      </w:pPr>
    </w:p>
    <w:p>
      <w:pPr>
        <w:ind w:left="900" w:right="400" w:hanging="325"/>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recorded 85% of the estimated realizable tax benefit (which is the recorded deferred tax asset less any recorded valuation allowance) as an increase of $38.8 million between Amounts Due Pursuant to Tax Receivable Agreements and Payable to Employees and Related Parties and the remaining 15% of the estimated realizable tax benefit, or $6.8 million, as an increase to Additional Paid-In-Capital.</w:t>
      </w:r>
    </w:p>
    <w:p>
      <w:pPr>
        <w:spacing w:after="0" w:line="10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Therefore, as of the date of the exchange of the Evercore LP partnership units, on a cumulative basis the net effect of accounting for income taxes and the tax receivable agreement on our consolidated/combined financial statements was a net increase in stockholders’ equity of 15% of the estimated realizable tax benefit. The amounts that were recorded for both the deferred tax asset and the liability for our obligations under the tax receivable agreement have been estimated. Any additional payments under the tax receivable agreement that will further increase the tax benefits and the estimated payments under the tax receivable agreement have not been included in this estimate. All of the effects of changes in any of our estimates after the date of the exchange will be included in net income. Similarly, the effect of subsequent changes in the enacted tax rates will be included in net income. Future exchanges of Evercore LP partnership units for our shares of Class A common stock will be accounted for in a similar manner.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Results for Various Periods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Successor Company results represent the consolidated results of Evercore Partners Inc. and its subsidiaries subsequent to our IPO on August 10, 2006. The Predecessor Company results represent the results of the combined entities known as Evercore Holdings prior to the Reorganization. Both the Predecessor and Successor Company results have been prepared in accordance with U.S. GAAP.</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discussed above, during 2006 we entered into several material transactions that make it more difficult to compare the results of 2008 and 2007 with 2006. In particular:</w:t>
      </w:r>
    </w:p>
    <w:p>
      <w:pPr>
        <w:spacing w:after="0" w:line="51" w:lineRule="exact"/>
        <w:rPr>
          <w:sz w:val="20"/>
          <w:szCs w:val="20"/>
          <w:color w:val="auto"/>
        </w:rPr>
      </w:pPr>
    </w:p>
    <w:p>
      <w:pPr>
        <w:ind w:left="900" w:right="14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Formation Transaction, which includes the elimination of the financial results of the general partners of the ECP I, ECP II and EVP funds and certain other entities through which Messrs. Altman and Beutner had invested capital in the ECP I fund, which was not contributed to Evercore LP; and</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Protego and Braveheart acquisitions which resulted in the inclusion of each of the acquired entity’s financial results, as well as certain purchase accounting adjustments, such as the recording of intangible assets and their periodic amortization.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to the inclusion and exclusion of the results of certain entities, the transactions mentioned above had additional effects on our results that also limit the ability to compare 2008 and 2007 with 2006 principally:</w:t>
      </w:r>
    </w:p>
    <w:p>
      <w:pPr>
        <w:spacing w:after="0" w:line="51" w:lineRule="exact"/>
        <w:rPr>
          <w:sz w:val="20"/>
          <w:szCs w:val="20"/>
          <w:color w:val="auto"/>
        </w:rPr>
      </w:pPr>
    </w:p>
    <w:p>
      <w:pPr>
        <w:ind w:left="900" w:right="32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the IPO, Evercore was not subject to federal income taxes, but was subject to New York City Unincorporated Business Tax (“UBT”) and New York City general corporation taxes. As a result of the IPO, the operating business entities of Evercore were restructured and a portion of Evercore’s income is subject to U.S. federal income taxes, as well as foreign, state and local taxes; and</w:t>
      </w:r>
    </w:p>
    <w:p>
      <w:pPr>
        <w:spacing w:after="0" w:line="25"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payments for services rendered by Evercore’s Senior Managing Directors were historically accounted for as distributions of members’ capital rather than as compensation expense. Following the IPO, management has included all payments for services rendered by the Senior Managing Directors in Employee Compensation and Benefits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Total revenues reflect revenues from our Advisory and Investment Management business segments that includes transaction-related client reimbursements plus other revenue. Net revenues reflect total revenues less interest expense related to repurchase agreements, Senior Notes and other borrowings.</w:t>
      </w:r>
    </w:p>
    <w:p>
      <w:pPr>
        <w:spacing w:after="0" w:line="62"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i w:val="1"/>
          <w:iCs w:val="1"/>
          <w:color w:val="auto"/>
        </w:rPr>
        <w:t xml:space="preserve">Advisory. </w:t>
      </w:r>
      <w:r>
        <w:rPr>
          <w:rFonts w:ascii="Arial" w:cs="Arial" w:eastAsia="Arial" w:hAnsi="Arial"/>
          <w:sz w:val="15"/>
          <w:szCs w:val="15"/>
          <w:color w:val="auto"/>
        </w:rPr>
        <w:t>Our Advisory business earns fees from our clients for providing advice on mergers, acquisitions, restructurings, leveraged buy-outs,</w:t>
      </w:r>
      <w:r>
        <w:rPr>
          <w:rFonts w:ascii="Arial" w:cs="Arial" w:eastAsia="Arial" w:hAnsi="Arial"/>
          <w:sz w:val="15"/>
          <w:szCs w:val="15"/>
          <w:i w:val="1"/>
          <w:iCs w:val="1"/>
          <w:color w:val="auto"/>
        </w:rPr>
        <w:t xml:space="preserve"> </w:t>
      </w:r>
      <w:r>
        <w:rPr>
          <w:rFonts w:ascii="Arial" w:cs="Arial" w:eastAsia="Arial" w:hAnsi="Arial"/>
          <w:sz w:val="15"/>
          <w:szCs w:val="15"/>
          <w:color w:val="auto"/>
        </w:rPr>
        <w:t>recapitalizations and other corporate transactions. The amount and timing of the fees paid vary by the type of engagement. In general, fees are paid at the time we sign an engagement letter, during the course of the engagement or when an engagement is completed. The majority of our advisory revenue comes from fees that are dependent on the successful completion of a transaction. A transaction can fail to be completed for many reasons, including failure to agree upon final terms with the counterparty, to secure necessary board or shareholder approvals, to secure necessary financing or to achieve necessary regulatory approvals.</w:t>
      </w:r>
    </w:p>
    <w:p>
      <w:pPr>
        <w:spacing w:after="0" w:line="10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Revenue trends in our Advisory business generally are correlated to the volume of M&amp;A activity and restructurings. However, deviations from this trend can occur in any given year for a number of reasons. For example, changes in our market share or the ability of our clients to close certain large transactions can cause our revenue results to diverge from the level of overall M&amp;A or restructuring activity.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operate in a highly-competitive environment where there are no long-term contracted sources of revenue and each revenue-generating engagement is separately awarded and negotiated. Our list of clients, including our list of clients with whom there is a currently active revenue-generating engagement, changes continually. We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gain new clients through our business development initiatives, through recruiting additional senior investment banking professionals who bring with them client relationships and through referrals from executives, directors, attorneys and other parties with whom we have relationships. We may also lose clients as a result of the sale or merger of a client, a change in a client’s senior management, competition from other investment banks and other causes.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Investment Management. </w:t>
      </w:r>
      <w:r>
        <w:rPr>
          <w:rFonts w:ascii="Arial" w:cs="Arial" w:eastAsia="Arial" w:hAnsi="Arial"/>
          <w:sz w:val="18"/>
          <w:szCs w:val="18"/>
          <w:color w:val="auto"/>
        </w:rPr>
        <w:t>Our Investment Management business includes operations related to the management of the private equity funds, Institutional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Asset Management, Wealth Management and other business activities. Revenue sources primarily include management fees, performance fees (including carried interest), fees earned from portfolio company fees and gains (or losses) on our investments.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 fees are generally a percentage of committed capital or invested capital at rates agreed with the investment funds we manage or with the individual client. Performance fees are earned when specified benchmarks are exceeded. In certain circumstances, such fees are subject to “claw-back” provisions. Portfolio Company fees include monitoring, director and transaction fees associated with services provided to the portfolio companies of the private equity funds we manage. Gains and losses include both realized and unrealized gains and losses on principal investments, including those arising from our equity interest in investment partnerships.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Transaction-Related Client Reimbursements</w:t>
      </w:r>
      <w:r>
        <w:rPr>
          <w:rFonts w:ascii="Arial" w:cs="Arial" w:eastAsia="Arial" w:hAnsi="Arial"/>
          <w:sz w:val="16"/>
          <w:szCs w:val="16"/>
          <w:color w:val="auto"/>
        </w:rPr>
        <w:t>. In both our Advisory and Investment Management segments we make various transaction-related</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such as travel and professional fees, on behalf of our clients. Pursuant to the engagement letters with our clients or the contracts with the limited partners in the private equity funds we manage, these expenditures may be reimbursable. We define these expenses as transaction-related expenses and record such expenditures as incurred and record revenue when it is determined that clients have an obligation to reimburse us for such transaction-related expenses. Client expense reimbursements are recorded as revenue on the Consolidated/Combined Statements of Operations on the later of the date an engagement letter is executed or the date we pay or accrue the expense.</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Net Interest Revenue. </w:t>
      </w:r>
      <w:r>
        <w:rPr>
          <w:rFonts w:ascii="Arial" w:cs="Arial" w:eastAsia="Arial" w:hAnsi="Arial"/>
          <w:sz w:val="18"/>
          <w:szCs w:val="18"/>
          <w:color w:val="auto"/>
        </w:rPr>
        <w:t>Net interest revenue is derived primarily from investing customer funds in financing transactions by PCB. These transactions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repurchases and resales of Mexican government securities. Revenue and expenses associated with these transactions are recognized over the term of the repurchase or resale transaction. Net interest revenue also includes interest expense associated with the Senior Notes, as well as income earned on marketable securities and cash deposited with financial institutions.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Employee Compensation and Benefits Expense. </w:t>
      </w:r>
      <w:r>
        <w:rPr>
          <w:rFonts w:ascii="Arial" w:cs="Arial" w:eastAsia="Arial" w:hAnsi="Arial"/>
          <w:sz w:val="16"/>
          <w:szCs w:val="16"/>
          <w:color w:val="auto"/>
        </w:rPr>
        <w:t>Prior to the IPO, our employee compensation and benefits expense reflected compensation solely to non-Senior Managing Directors. Historically, payments for services rendered by our Senior Managing Directors, including all salaries and bonuses, had been accounted for as distributions from members’ capital rather than as employee compensation and benefits expense. As a result, our employee compensation and benefits expense and net income had not reflected payments for services rendered by our Senior Managing Directors. Following the IPO, we include all payments for services rendered by our Senior Managing Directors in employee compensation and benefits expense.</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maintains compensation programs, including base salary, cash and equity bonus awards and benefits programs and manages compensation to estimates of competitive levels based on market conditions. Our level of compensation for the current period reflects our plan to maintain competitive compensation levels to retain key personnel during market down cycles, as well as the impact of new Senior Managing Directors, hired in 2008 and 2007, on 2008 compensation expense, including grants of equity awards valued at 2008 and 2007 stock prices.</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Increasing the number of high-caliber Senior Managing Directors is critical to our growth efforts. Typically newly hired Senior Managing Directors don’t start until the middle of a calendar year, and the new hires do not begin to generate significant revenue in the year they are hired.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changed our annual compensation program during the second quarter of 2007 to include stock-based compensation awards as a component of the annual bonus awards for certain Senior Managing Directors. These equity awards are subject to annual vesting requirements over a four-year period beginning at the date of grant, which generally occurs in the first quarter of each year; accordingly, the expense is being amortized over the vesting period.</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Non-Compensation Expenses. </w:t>
      </w:r>
      <w:r>
        <w:rPr>
          <w:rFonts w:ascii="Arial" w:cs="Arial" w:eastAsia="Arial" w:hAnsi="Arial"/>
          <w:sz w:val="18"/>
          <w:szCs w:val="18"/>
          <w:color w:val="auto"/>
        </w:rPr>
        <w:t>The balance of our operating expenses includes costs for occupancy and equipment rental, professional fees,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communications and information services, depreciation and amortization and other operating expenses. We refer to all of these expenses as non-compensation expenses. We incurred significant additional non-compensation expenses in 2007 and 2006 associated with compliance with Section 404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Other Expenses include stock-based compensation costs associated with the IPO and the May 2007 Follow-On Offering, a 2007 stock-based compensation charge related to a severance agreement, a charge associated with deferred consideration pursuant to the Braveheart Sale and Purchase Agreement in 2008, amortization of intangibles associated with the acquisitions of Protego and Braveheart, Special Charges in connection with the 2008 write-off of certain capitalized costs associated with Evercore Capital Partners (“ECP”) capital raising and employee severance, accelerated share-based vesting and other costs related to the closing of the Los Angeles office and Acquisition and Transition Costs incurred in connection with acquisitions currently in process.</w:t>
      </w:r>
    </w:p>
    <w:p>
      <w:pPr>
        <w:spacing w:after="0" w:line="116"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Approximately two-thirds of the Evercore LP partnership units received by our Senior Managing Directors, other than Mr. Altman and Mr. Beutner, in the Formation Transaction and two-thirds of the Evercore LP partnership units received by the directors of Protego (who became our Senior Managing Directors), other than Mr. Aspe, and certain companies they control and a trust benefiting directors and employees of Protego in the Protego Combination are, with specified exceptions, subject to forfeiture and re-allocation to other Senior Managing Directors (or, in the event that there are no eligible Senior Managing Directors, forfeiture and cancellation) if the Senior Managing Director ceases to be employed by us prior to the occurrence of specified vesting events. 4,735,867, or approximately 50%, of these unvested Evercore LP partnership units vested in conjunction with the Follow-On Offering. In addition, the Company entered into a severance agreement with an employee which modified the award terms that resulted in the Company expensing the value of the employee’s unvested Evercore LP partnership units. The remaining unvested Evercore LP partnership units issued will vest upon the earliest to occur of the following events:</w:t>
      </w:r>
    </w:p>
    <w:p>
      <w:pPr>
        <w:spacing w:after="0" w:line="27" w:lineRule="exact"/>
        <w:rPr>
          <w:sz w:val="20"/>
          <w:szCs w:val="20"/>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when Messrs. Altman, Beutner and Aspe, and trusts benefiting their families and permitted transferees, collectively, cease to beneficially own at least 50% of the aggregate Evercore LP partnership units owned by them at the time of the Reorganization;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of control of Evercore; or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two of Messrs. Altman, Beutner and Aspe are not employed by, or do not serve as a director of, Evercore Partners Inc. or one of its affiliates within a 10-year period following the IPO.</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100% of the remaining unvested Evercore LP partnership units held by a Senior Managing Director will vest if such Senior Managing Director dies or becomes disabled while in our employ. Our Equity Committee, which is comprised of Messrs. Altman and Aspe, may also accelerate vesting of unvested Evercore LP partnership units at any time.</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Post Reorganization, on August 10, 2006, we account for the unvested Evercore LP partnership units as compensation paid to employees in accordance with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(“SFAS 123(R)”), which we adopted effective January 1, 2006. The unvested Evercore LP partnership units vest based on the achievement of one of the performance and service vesting conditions as described above. In accordance with SFAS 123(R), accruals of compensation costs for awards with a performance or service condition are based 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probable outcome of that service or performance condition. Compensation cost is accrued if it is probable that the performance condition will be achieved and is not accrued if it is not probable that the performance condition will be achieved.</w:t>
      </w:r>
    </w:p>
    <w:p>
      <w:pPr>
        <w:spacing w:after="0" w:line="132" w:lineRule="exact"/>
        <w:rPr>
          <w:sz w:val="20"/>
          <w:szCs w:val="20"/>
          <w:color w:val="auto"/>
        </w:rPr>
      </w:pPr>
    </w:p>
    <w:p>
      <w:pPr>
        <w:jc w:val="both"/>
        <w:ind w:right="280" w:firstLine="456"/>
        <w:spacing w:after="0" w:line="303" w:lineRule="auto"/>
        <w:rPr>
          <w:sz w:val="20"/>
          <w:szCs w:val="20"/>
          <w:color w:val="auto"/>
        </w:rPr>
      </w:pPr>
      <w:r>
        <w:rPr>
          <w:rFonts w:ascii="Arial" w:cs="Arial" w:eastAsia="Arial" w:hAnsi="Arial"/>
          <w:sz w:val="15"/>
          <w:szCs w:val="15"/>
          <w:color w:val="auto"/>
        </w:rPr>
        <w:t>We had heretofore concluded that it was not probable that the conditions relating to a decline in the collective beneficial ownership of Messrs. Altman, Beutner and Aspe (and trusts benefiting their families and permitted transferees), a change of control of Evercore or a lack of continued association of Messrs. Altman, Beutner and Aspe with Evercore would be achieved, or that the death or disability condition during the employment period would be satisfied.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Accordingly, prior to the Follow-On Offering, we had not been accruing compensation expense relating to any unvested Evercore LP partnership units. We recorded compensation expense in conjunction with the vesting that occurred due to the Follow-On Offering as described above, and we continue to believe that it is not probable that the remaining conditions relating to vesting of Evercore LP partnership units will be achieved, or that the death or disability condition during the employment period will be satisfied. Accordingly, we do not intend to accrue compensation expense in the future relating to the remaining unvested Evercore LP partnership units unless such conditions become probable.</w:t>
      </w:r>
    </w:p>
    <w:p>
      <w:pPr>
        <w:spacing w:after="0" w:line="14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Mr. Beutner announced his retirement from the Company on May 1, 2008. Management has assessed the impact of Mr. Beutner’s retirement on the Evercore LP partnership unit vesting events discussed above and has concluded that no such condition has become probable at this time. Management has concluded that, at the current time, the disassociation of Mr. Altman or Mr. Aspe with the Company within ten years subsequent to the IPO date is not probable. There have not been any stated changes in the intentions of either Mr. Altman or Mr. Aspe to terminate their employment or current roles and functions with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Prior to August 10, 2006, we had not been subject to U.S. federal income tax, but had been subject to the New York City UBT and New York City general corporate tax on our U.S. earnings, including certain non-income tax fees in other jurisdictions where we had registered offices and conduct business. Our operations were historically organized as a series of partnerships, limited liability companies and Subchapter S corporations. Taxes related to income earned by these entities represent obligations of the individual members, partners or shareholders and have not historically been reflected in the accompanying consolidated/combined financial statements. Commencing August 10, 2006, Evercore Partners Inc. became subject to U.S. corporate federal income tax on its allocable share of income. We account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the recognition of tax benefits or expenses on temporary differences between the financial reporting and tax bases of its assets and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a historical basis, our minority interest consisted of unaffiliated third party interests in the general partner of EVP. Following the IPO, we no longer consolidate the general partner of that fund and, accordingly, minority interest related to EVP is no longer reflected in our financial results. We do, however, record significant minority interest relating to the ownership interest of our Senior Managing Directors and their estate planning vehicles in Evercore LP, as well as the portions of PCB and EWM not owned by Evercore. As described in Note 1 to our consolidated/combined financial statements herein, Evercore Partners Inc. is the sole general partner of Evercore LP. Accordingly, although Evercore Partners Inc. has a minority economic interest in Evercore LP, it has a majority voting interest and controls the management of Evercore LP. As a result, Evercore Partners Inc. consolidates Evercore LP and records a minority interest for the economic interest in Evercore LP held by the limited partners.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2007, the vesting of additional Evercore LP partnership units described above under “ – Other Expenses” resulted in an increase in the minority interest relating to the ownership interest of our Senior Managing Directors and their estate planning vehicles in Evercore LP. This was partially offset by the exchange of our Class A common stock for Evercore LP partnership units and the purchase of additional Evercore LP partnership units by us in conjunction with the Follow-On Offering.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Following is a discussion of our results of operations for the years ended December 31, 2008, 2007 and 2006. For a more detailed discussion of the factors that affected the revenue and operating expenses of our Advisory and Investment Management business segments in these periods, see the discussion in “Business Segments” below.</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Historical results for periods prior to the IPO and subsequent thereto are not comparable. For example, in results of operations for periods prior to our IPO on August 10, 2006, payments for services rendered by our Senior Managing Directors were reflected as distributions to members, while such payments are reflected as compensation expense in subsequent periods.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Operating Expenses include: a) employee compensation and benefits expenses that are incurred directly in support of the segments and b) non-compensation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 Other Expenses include stock-based compensation costs associated with the IPO and the May 2007 Follow-On Offering, a 2007 stock-based compensation charge related to a severance agreement, a charge associated with deferred consideration pursuant to the Braveheart Sale and Purchase Agreement in 2008, amortization of intangibles associated with the acquisitions of Protego and Braveheart, Special Charges in connection with the 2008 write-off of certain capitalized costs associated with ECP capital raising and employee severance, accelerated share-based vesting and other costs related to the closing of the Los Angeles office and Acquisition and Transition Costs incurred in connection with acquisitions currently in process.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global financial markets have experienced unprecedented disruption and volatility during 2008 and therefore difficult market conditions persisted throughout most of the year. Contraction in worldwide credit markets due in part to sub-prime lending issues, volatile currency and commodity markets, major write-downs within the financial sector and volatile oil prices have raised significant uncertainty about the state of the U.S. and global economies. These economic and market conditions have negatively affected our financial performance in both our Advisory and Investment Management businesses, particularly in the second half of 2008, and may continue to adversely affect our financial performance in 2009.</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us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i w:val="1"/>
                <w:iCs w:val="1"/>
                <w:color w:val="auto"/>
                <w:w w:val="87"/>
              </w:rPr>
              <w:t>Consolidated</w:t>
            </w:r>
          </w:p>
        </w:tc>
        <w:tc>
          <w:tcPr>
            <w:tcW w:w="6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i w:val="1"/>
                <w:iCs w:val="1"/>
                <w:color w:val="auto"/>
                <w:w w:val="83"/>
              </w:rPr>
              <w:t>Consolidated</w:t>
            </w:r>
          </w:p>
        </w:tc>
        <w:tc>
          <w:tcPr>
            <w:tcW w:w="4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i w:val="1"/>
                <w:iCs w:val="1"/>
                <w:color w:val="auto"/>
                <w:w w:val="84"/>
              </w:rPr>
              <w:t>Combined</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For the Twelve Months</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Ended</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For</w:t>
            </w:r>
          </w:p>
        </w:tc>
        <w:tc>
          <w:tcPr>
            <w:tcW w:w="1420" w:type="dxa"/>
            <w:vAlign w:val="bottom"/>
            <w:tcBorders>
              <w:bottom w:val="single" w:sz="8" w:color="auto"/>
            </w:tcBorders>
            <w:gridSpan w:val="3"/>
          </w:tcPr>
          <w:p>
            <w:pPr>
              <w:jc w:val="right"/>
              <w:ind w:right="772"/>
              <w:spacing w:after="0" w:line="142" w:lineRule="exact"/>
              <w:rPr>
                <w:sz w:val="20"/>
                <w:szCs w:val="20"/>
                <w:color w:val="auto"/>
              </w:rPr>
            </w:pPr>
            <w:r>
              <w:rPr>
                <w:rFonts w:ascii="Arial" w:cs="Arial" w:eastAsia="Arial" w:hAnsi="Arial"/>
                <w:sz w:val="14"/>
                <w:szCs w:val="14"/>
                <w:b w:val="1"/>
                <w:bCs w:val="1"/>
                <w:color w:val="auto"/>
                <w:w w:val="81"/>
              </w:rPr>
              <w:t>the Period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452"/>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440" w:type="dxa"/>
            <w:vAlign w:val="bottom"/>
            <w:gridSpan w:val="2"/>
          </w:tcPr>
          <w:p>
            <w:pPr>
              <w:jc w:val="center"/>
              <w:ind w:right="432"/>
              <w:spacing w:after="0" w:line="149" w:lineRule="exact"/>
              <w:rPr>
                <w:sz w:val="20"/>
                <w:szCs w:val="20"/>
                <w:color w:val="auto"/>
              </w:rPr>
            </w:pPr>
            <w:r>
              <w:rPr>
                <w:rFonts w:ascii="Arial" w:cs="Arial" w:eastAsia="Arial" w:hAnsi="Arial"/>
                <w:sz w:val="14"/>
                <w:szCs w:val="14"/>
                <w:b w:val="1"/>
                <w:bCs w:val="1"/>
                <w:color w:val="auto"/>
                <w:w w:val="86"/>
              </w:rPr>
              <w:t>through</w:t>
            </w:r>
          </w:p>
        </w:tc>
        <w:tc>
          <w:tcPr>
            <w:tcW w:w="6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through</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6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August 9, 2006</w:t>
            </w:r>
          </w:p>
        </w:tc>
        <w:tc>
          <w:tcPr>
            <w:tcW w:w="7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Variance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SUCCESSOR</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2"/>
              </w:rPr>
              <w:t>SUCCESSOR</w:t>
            </w:r>
          </w:p>
        </w:tc>
        <w:tc>
          <w:tcPr>
            <w:tcW w:w="4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42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2008 v. 2007</w:t>
            </w:r>
          </w:p>
        </w:tc>
        <w:tc>
          <w:tcPr>
            <w:tcW w:w="5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 v. 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(dollars in</w:t>
            </w:r>
          </w:p>
        </w:tc>
        <w:tc>
          <w:tcPr>
            <w:tcW w:w="294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thousands, except per share data)</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Advisory Revenue</w:t>
            </w:r>
          </w:p>
        </w:tc>
        <w:tc>
          <w:tcPr>
            <w:tcW w:w="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181,608</w:t>
            </w:r>
          </w:p>
        </w:tc>
        <w:tc>
          <w:tcPr>
            <w:tcW w:w="240" w:type="dxa"/>
            <w:vAlign w:val="bottom"/>
          </w:tcPr>
          <w:p>
            <w:pPr>
              <w:spacing w:after="0"/>
              <w:rPr>
                <w:sz w:val="12"/>
                <w:szCs w:val="12"/>
                <w:color w:val="auto"/>
              </w:rPr>
            </w:pPr>
          </w:p>
        </w:tc>
        <w:tc>
          <w:tcPr>
            <w:tcW w:w="4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295,751</w:t>
            </w:r>
          </w:p>
        </w:tc>
        <w:tc>
          <w:tcPr>
            <w:tcW w:w="4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183,781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87,659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96,122</w:t>
            </w:r>
          </w:p>
        </w:tc>
        <w:tc>
          <w:tcPr>
            <w:tcW w:w="128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(39)%</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20,158</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23,451</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6,591</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16,860</w:t>
            </w:r>
          </w:p>
        </w:tc>
        <w:tc>
          <w:tcPr>
            <w:tcW w:w="128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(53)%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Other Revenue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33,885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24,141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9,265</w:t>
            </w:r>
          </w:p>
        </w:tc>
        <w:tc>
          <w:tcPr>
            <w:tcW w:w="80" w:type="dxa"/>
            <w:vAlign w:val="bottom"/>
          </w:tcPr>
          <w:p>
            <w:pPr>
              <w:spacing w:after="0"/>
              <w:rPr>
                <w:sz w:val="12"/>
                <w:szCs w:val="12"/>
                <w:color w:val="auto"/>
              </w:rPr>
            </w:pPr>
          </w:p>
        </w:tc>
        <w:tc>
          <w:tcPr>
            <w:tcW w:w="14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8,622</w:t>
            </w:r>
          </w:p>
        </w:tc>
        <w:tc>
          <w:tcPr>
            <w:tcW w:w="60" w:type="dxa"/>
            <w:vAlign w:val="bottom"/>
          </w:tcPr>
          <w:p>
            <w:pPr>
              <w:spacing w:after="0"/>
              <w:rPr>
                <w:sz w:val="12"/>
                <w:szCs w:val="12"/>
                <w:color w:val="auto"/>
              </w:rPr>
            </w:pP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643</w:t>
            </w:r>
          </w:p>
        </w:tc>
        <w:tc>
          <w:tcPr>
            <w:tcW w:w="128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40%</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224,933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340,050</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216,497</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102,872</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113,625</w:t>
            </w:r>
          </w:p>
        </w:tc>
        <w:tc>
          <w:tcPr>
            <w:tcW w:w="128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(34)%</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30,278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18,451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8,500</w:t>
            </w:r>
          </w:p>
        </w:tc>
        <w:tc>
          <w:tcPr>
            <w:tcW w:w="80" w:type="dxa"/>
            <w:vAlign w:val="bottom"/>
          </w:tcPr>
          <w:p>
            <w:pPr>
              <w:spacing w:after="0"/>
              <w:rPr>
                <w:sz w:val="12"/>
                <w:szCs w:val="12"/>
                <w:color w:val="auto"/>
              </w:rPr>
            </w:pPr>
          </w:p>
        </w:tc>
        <w:tc>
          <w:tcPr>
            <w:tcW w:w="14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6,794</w:t>
            </w:r>
          </w:p>
        </w:tc>
        <w:tc>
          <w:tcPr>
            <w:tcW w:w="60" w:type="dxa"/>
            <w:vAlign w:val="bottom"/>
          </w:tcPr>
          <w:p>
            <w:pPr>
              <w:spacing w:after="0"/>
              <w:rPr>
                <w:sz w:val="12"/>
                <w:szCs w:val="12"/>
                <w:color w:val="auto"/>
              </w:rPr>
            </w:pP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1,706</w:t>
            </w:r>
          </w:p>
        </w:tc>
        <w:tc>
          <w:tcPr>
            <w:tcW w:w="128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64%</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194,655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321,599</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207,997</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96,078</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111,919</w:t>
            </w:r>
          </w:p>
        </w:tc>
        <w:tc>
          <w:tcPr>
            <w:tcW w:w="128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(39)%</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188,975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235,502</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106,862</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63,268</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43,594</w:t>
            </w:r>
          </w:p>
        </w:tc>
        <w:tc>
          <w:tcPr>
            <w:tcW w:w="128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(20)%</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15,064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141,032</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7,003</w:t>
            </w:r>
          </w:p>
        </w:tc>
        <w:tc>
          <w:tcPr>
            <w:tcW w:w="80" w:type="dxa"/>
            <w:vAlign w:val="bottom"/>
          </w:tcPr>
          <w:p>
            <w:pPr>
              <w:spacing w:after="0"/>
              <w:rPr>
                <w:sz w:val="12"/>
                <w:szCs w:val="12"/>
                <w:color w:val="auto"/>
              </w:rPr>
            </w:pPr>
          </w:p>
        </w:tc>
        <w:tc>
          <w:tcPr>
            <w:tcW w:w="14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7,003</w:t>
            </w:r>
          </w:p>
        </w:tc>
        <w:tc>
          <w:tcPr>
            <w:tcW w:w="60" w:type="dxa"/>
            <w:vAlign w:val="bottom"/>
          </w:tcPr>
          <w:p>
            <w:pPr>
              <w:spacing w:after="0"/>
              <w:rPr>
                <w:sz w:val="12"/>
                <w:szCs w:val="12"/>
                <w:color w:val="auto"/>
              </w:rPr>
            </w:pPr>
          </w:p>
        </w:tc>
        <w:tc>
          <w:tcPr>
            <w:tcW w:w="136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w w:val="85"/>
              </w:rPr>
              <w:t>—</w:t>
            </w:r>
          </w:p>
        </w:tc>
        <w:tc>
          <w:tcPr>
            <w:tcW w:w="128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(89)%</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204,039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376,534</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113,865</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70,271</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43,594</w:t>
            </w:r>
          </w:p>
        </w:tc>
        <w:tc>
          <w:tcPr>
            <w:tcW w:w="128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(46)%</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43"/>
        </w:trPr>
        <w:tc>
          <w:tcPr>
            <w:tcW w:w="230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BEFORE INCOME TAXES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80" w:type="dxa"/>
            <w:vAlign w:val="bottom"/>
          </w:tcPr>
          <w:p>
            <w:pPr>
              <w:ind w:left="200"/>
              <w:spacing w:after="0"/>
              <w:rPr>
                <w:sz w:val="20"/>
                <w:szCs w:val="20"/>
                <w:color w:val="auto"/>
              </w:rPr>
            </w:pPr>
            <w:r>
              <w:rPr>
                <w:rFonts w:ascii="Arial" w:cs="Arial" w:eastAsia="Arial" w:hAnsi="Arial"/>
                <w:sz w:val="14"/>
                <w:szCs w:val="14"/>
                <w:b w:val="1"/>
                <w:bCs w:val="1"/>
                <w:color w:val="auto"/>
              </w:rPr>
              <w:t>AND MINORITY INTEREST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(9,384)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352"/>
              <w:spacing w:after="0"/>
              <w:rPr>
                <w:sz w:val="20"/>
                <w:szCs w:val="20"/>
                <w:color w:val="auto"/>
              </w:rPr>
            </w:pPr>
            <w:r>
              <w:rPr>
                <w:rFonts w:ascii="Arial" w:cs="Arial" w:eastAsia="Arial" w:hAnsi="Arial"/>
                <w:sz w:val="14"/>
                <w:szCs w:val="14"/>
                <w:color w:val="auto"/>
              </w:rPr>
              <w:t>(54,935)</w:t>
            </w:r>
          </w:p>
        </w:tc>
        <w:tc>
          <w:tcPr>
            <w:tcW w:w="1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94,132</w:t>
            </w:r>
          </w:p>
        </w:tc>
        <w:tc>
          <w:tcPr>
            <w:tcW w:w="80" w:type="dxa"/>
            <w:vAlign w:val="bottom"/>
          </w:tcPr>
          <w:p>
            <w:pPr>
              <w:spacing w:after="0"/>
              <w:rPr>
                <w:sz w:val="14"/>
                <w:szCs w:val="14"/>
                <w:color w:val="auto"/>
              </w:rPr>
            </w:pPr>
          </w:p>
        </w:tc>
        <w:tc>
          <w:tcPr>
            <w:tcW w:w="1440" w:type="dxa"/>
            <w:vAlign w:val="bottom"/>
            <w:gridSpan w:val="2"/>
          </w:tcPr>
          <w:p>
            <w:pPr>
              <w:jc w:val="right"/>
              <w:ind w:right="352"/>
              <w:spacing w:after="0"/>
              <w:rPr>
                <w:sz w:val="20"/>
                <w:szCs w:val="20"/>
                <w:color w:val="auto"/>
              </w:rPr>
            </w:pPr>
            <w:r>
              <w:rPr>
                <w:rFonts w:ascii="Arial" w:cs="Arial" w:eastAsia="Arial" w:hAnsi="Arial"/>
                <w:sz w:val="14"/>
                <w:szCs w:val="14"/>
                <w:color w:val="auto"/>
              </w:rPr>
              <w:t>25,807</w:t>
            </w:r>
          </w:p>
        </w:tc>
        <w:tc>
          <w:tcPr>
            <w:tcW w:w="6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color w:val="auto"/>
              </w:rPr>
              <w:t>68,325</w:t>
            </w:r>
          </w:p>
        </w:tc>
        <w:tc>
          <w:tcPr>
            <w:tcW w:w="1280" w:type="dxa"/>
            <w:vAlign w:val="bottom"/>
            <w:gridSpan w:val="2"/>
          </w:tcPr>
          <w:p>
            <w:pPr>
              <w:jc w:val="right"/>
              <w:ind w:right="412"/>
              <w:spacing w:after="0"/>
              <w:rPr>
                <w:sz w:val="20"/>
                <w:szCs w:val="20"/>
                <w:color w:val="auto"/>
              </w:rPr>
            </w:pPr>
            <w:r>
              <w:rPr>
                <w:rFonts w:ascii="Arial" w:cs="Arial" w:eastAsia="Arial" w:hAnsi="Arial"/>
                <w:sz w:val="14"/>
                <w:szCs w:val="14"/>
                <w:color w:val="auto"/>
              </w:rPr>
              <w:t>83%</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12,401</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8,398</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6,030</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2,368</w:t>
            </w:r>
          </w:p>
        </w:tc>
        <w:tc>
          <w:tcPr>
            <w:tcW w:w="128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(99)%</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(32,841)</w:t>
            </w:r>
          </w:p>
        </w:tc>
        <w:tc>
          <w:tcPr>
            <w:tcW w:w="16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15,997</w:t>
            </w:r>
          </w:p>
        </w:tc>
        <w:tc>
          <w:tcPr>
            <w:tcW w:w="80" w:type="dxa"/>
            <w:vAlign w:val="bottom"/>
          </w:tcPr>
          <w:p>
            <w:pPr>
              <w:spacing w:after="0"/>
              <w:rPr>
                <w:sz w:val="12"/>
                <w:szCs w:val="12"/>
                <w:color w:val="auto"/>
              </w:rPr>
            </w:pPr>
          </w:p>
        </w:tc>
        <w:tc>
          <w:tcPr>
            <w:tcW w:w="144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15,991</w:t>
            </w:r>
          </w:p>
        </w:tc>
        <w:tc>
          <w:tcPr>
            <w:tcW w:w="60" w:type="dxa"/>
            <w:vAlign w:val="bottom"/>
          </w:tcPr>
          <w:p>
            <w:pPr>
              <w:spacing w:after="0"/>
              <w:rPr>
                <w:sz w:val="12"/>
                <w:szCs w:val="12"/>
                <w:color w:val="auto"/>
              </w:rPr>
            </w:pPr>
          </w:p>
        </w:tc>
        <w:tc>
          <w:tcPr>
            <w:tcW w:w="13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w:t>
            </w:r>
          </w:p>
        </w:tc>
        <w:tc>
          <w:tcPr>
            <w:tcW w:w="128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85%</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(4,713)</w:t>
            </w: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(34,495)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69,737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3,786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65,951</w:t>
            </w:r>
          </w:p>
        </w:tc>
        <w:tc>
          <w:tcPr>
            <w:tcW w:w="128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86%</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NET</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80" w:type="dxa"/>
            <w:vAlign w:val="bottom"/>
          </w:tcPr>
          <w:p>
            <w:pPr>
              <w:ind w:left="200"/>
              <w:spacing w:after="0"/>
              <w:rPr>
                <w:sz w:val="20"/>
                <w:szCs w:val="20"/>
                <w:color w:val="auto"/>
              </w:rPr>
            </w:pPr>
            <w:r>
              <w:rPr>
                <w:rFonts w:ascii="Arial" w:cs="Arial" w:eastAsia="Arial" w:hAnsi="Arial"/>
                <w:sz w:val="14"/>
                <w:szCs w:val="14"/>
                <w:b w:val="1"/>
                <w:bCs w:val="1"/>
                <w:color w:val="auto"/>
              </w:rPr>
              <w:t>INCOME (LOSS) PER SHARE</w:t>
            </w:r>
          </w:p>
        </w:tc>
        <w:tc>
          <w:tcPr>
            <w:tcW w:w="4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(0.36)</w:t>
            </w:r>
          </w:p>
        </w:tc>
        <w:tc>
          <w:tcPr>
            <w:tcW w:w="4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52"/>
              <w:spacing w:after="0"/>
              <w:rPr>
                <w:sz w:val="20"/>
                <w:szCs w:val="20"/>
                <w:color w:val="auto"/>
              </w:rPr>
            </w:pPr>
            <w:r>
              <w:rPr>
                <w:rFonts w:ascii="Arial" w:cs="Arial" w:eastAsia="Arial" w:hAnsi="Arial"/>
                <w:sz w:val="14"/>
                <w:szCs w:val="14"/>
                <w:color w:val="auto"/>
              </w:rPr>
              <w:t>(3.38)</w:t>
            </w:r>
          </w:p>
        </w:tc>
        <w:tc>
          <w:tcPr>
            <w:tcW w:w="16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352"/>
              <w:spacing w:after="0"/>
              <w:rPr>
                <w:sz w:val="20"/>
                <w:szCs w:val="20"/>
                <w:color w:val="auto"/>
              </w:rPr>
            </w:pPr>
            <w:r>
              <w:rPr>
                <w:rFonts w:ascii="Arial" w:cs="Arial" w:eastAsia="Arial" w:hAnsi="Arial"/>
                <w:sz w:val="14"/>
                <w:szCs w:val="14"/>
                <w:color w:val="auto"/>
              </w:rPr>
              <w:t>0.76</w:t>
            </w:r>
          </w:p>
        </w:tc>
        <w:tc>
          <w:tcPr>
            <w:tcW w:w="60" w:type="dxa"/>
            <w:vAlign w:val="bottom"/>
          </w:tcPr>
          <w:p>
            <w:pPr>
              <w:spacing w:after="0"/>
              <w:rPr>
                <w:sz w:val="15"/>
                <w:szCs w:val="15"/>
                <w:color w:val="auto"/>
              </w:rPr>
            </w:pPr>
          </w:p>
        </w:tc>
        <w:tc>
          <w:tcPr>
            <w:tcW w:w="1360" w:type="dxa"/>
            <w:vAlign w:val="bottom"/>
            <w:gridSpan w:val="2"/>
          </w:tcPr>
          <w:p>
            <w:pPr>
              <w:jc w:val="center"/>
              <w:ind w:left="212"/>
              <w:spacing w:after="0"/>
              <w:rPr>
                <w:sz w:val="20"/>
                <w:szCs w:val="20"/>
                <w:color w:val="auto"/>
              </w:rPr>
            </w:pPr>
            <w:r>
              <w:rPr>
                <w:rFonts w:ascii="Arial" w:cs="Arial" w:eastAsia="Arial" w:hAnsi="Arial"/>
                <w:sz w:val="14"/>
                <w:szCs w:val="14"/>
                <w:color w:val="auto"/>
              </w:rPr>
              <w:t>N/A</w:t>
            </w:r>
          </w:p>
        </w:tc>
        <w:tc>
          <w:tcPr>
            <w:tcW w:w="1280" w:type="dxa"/>
            <w:vAlign w:val="bottom"/>
            <w:gridSpan w:val="2"/>
          </w:tcPr>
          <w:p>
            <w:pPr>
              <w:jc w:val="right"/>
              <w:ind w:right="412"/>
              <w:spacing w:after="0"/>
              <w:rPr>
                <w:sz w:val="20"/>
                <w:szCs w:val="20"/>
                <w:color w:val="auto"/>
              </w:rPr>
            </w:pPr>
            <w:r>
              <w:rPr>
                <w:rFonts w:ascii="Arial" w:cs="Arial" w:eastAsia="Arial" w:hAnsi="Arial"/>
                <w:sz w:val="14"/>
                <w:szCs w:val="14"/>
                <w:color w:val="auto"/>
              </w:rPr>
              <w:t>89%</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120" w:hanging="112"/>
        <w:spacing w:after="0" w:line="239" w:lineRule="auto"/>
        <w:tabs>
          <w:tab w:leader="none" w:pos="1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aggregate successor and predecessor results for the period presented. The aggregated results are non-U.S. GAAP financial measures and should not be used in isolation or substitution of predecessor and successor results. The aggregated results help to provide a full-year presentation of our results for comparability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2008, Evercore’s total headcount was 335 employees compared with 290 as of December 31, 2007. Evercore’s increase in headcount is illustrated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Evercore</w:t>
            </w:r>
          </w:p>
        </w:tc>
        <w:tc>
          <w:tcPr>
            <w:tcW w:w="220" w:type="dxa"/>
            <w:vAlign w:val="bottom"/>
          </w:tcPr>
          <w:p>
            <w:pPr>
              <w:spacing w:after="0"/>
              <w:rPr>
                <w:sz w:val="11"/>
                <w:szCs w:val="11"/>
                <w:color w:val="auto"/>
              </w:rPr>
            </w:pP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0"/>
              </w:rPr>
              <w:t>Evercore</w:t>
            </w:r>
          </w:p>
        </w:tc>
        <w:tc>
          <w:tcPr>
            <w:tcW w:w="8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Evercore</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600" w:type="dxa"/>
            <w:vAlign w:val="bottom"/>
          </w:tcPr>
          <w:p>
            <w:pPr>
              <w:jc w:val="right"/>
              <w:ind w:right="97"/>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Mexico</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Europe</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Senior Managing Directors:</w:t>
            </w: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Advisory</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Management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Portfolio Managers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Professionals and Support Staff</w:t>
            </w: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250</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290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versus 2007</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During 2008, our business operations have been materially affected by adverse financial and economic conditions in the U.S. and abroad. As a result, we have experienced significant decreases in our Net Revenues compared to 2007. Net revenue was $194.7 million in 2008; a decrease of $126.9 million, or 39%, versus net revenue of $321.6 million in 2007. In 2008, Net revenues reflect interest on our Senior Notes.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Total Operating Expenses were $189.0 million in 2008 as compared to $235.5 million in 2007, a 20% decrease. Employee Compensation and Benefits Expense, as a component of Operating Expenses, was $139.2 million in 2008, a decrease of $34.1 million, or 20%, versus expense of $173.3 million in the same period in 2007. The decrease is primarily due to lower amounts of discretionary compensation reflecting lower revenues in 2008. Non-compensation expenses as a component of Operating Expenses were $49.8 million in 2008, a decrease of $12.4 million, or 20% over non-compensation operating expenses of $62.2 million in 2007. Non-compensation operating expenses decreased in 2008 as compared to 2007 primarily as a result of decreases in Professional Fees pursuant to cost reduction measures implemented in 2008. The decrease was partially offset by an increase in Travel and Related Expenses and Communications and Information Services as a result of increased travel associated with higher headcount and increased research costs. The decrease in Professional Fees is primarily related to the completion of projects associated with Sarbanes-Oxley compliance as well as renegotiated contracts with vendors.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Total Other Expenses of $15.1 million in 2008 relate to Acquisition and Transition Costs of $1.6 million incurred in connection with acquisitions currently in process, Special Charges of $4.1 million in connection with the write-off of certain capitalized costs associated with ECP capital raising and employee severance, accelerated share-based vesting and other costs related to the closing of the Los Angeles office, $7.5 million of deferred consideration pursuant to the Braveheart Sale and Purchase Agreement and amortization of intangibles associated with the acquisitions of Protego and Braveheart of $1.9 million. Total Other Expenses of $141.0 million in 2007 relate to the costs incurred for the vesting of Evercore LP partnership units and stock-based awards associated with the completion of the Follow-On Offering in May 2007 of $123.6 million, a stock-based compensation component of a severance agreement of $2.3 million and the amortization of intangible assets associated with the acquisitions of Protego and Braveheart of $15.0 million.</w:t>
      </w:r>
    </w:p>
    <w:p>
      <w:pPr>
        <w:spacing w:after="0" w:line="118"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The provision for income taxes in 2008 was $0.2 million, which reflected an effective tax rate of (1.9)%. This provision was impacted by certain discrete adjustments and non-deductable equity-based share grants resulting from a decline in our share price from the date of grant to the date of vesting, which were permanent in nature, as well as a valuation allowance on deferred tax assets associated with one of our entities in Mexico. The provision for income taxes for</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2007 was $12.4 million, which reflected an effective tax rate of (22.6%), largely resulting from the non-deductable equity-based compensation expense associated with the May 2007 Follow-on Offering.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Minority interest was $(4.9) million in 2008 compared to $(32.8) million in 2007, reflecting lower net loss before minority interest for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versus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revenue was $321.6 million in 2007, an increase of $113.6 million, or 55%, versus net revenue of $208.0 million in 2006.</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Total Operating Expenses were $235.5 million in 2007 as compared to $106.9 million in the same period in 2006, a 120% increase. Employee Compensation and Benefits Expense, as a component of Operating Expenses, was $173.3 million in 2007, an increase of $104.8 million, or 153%, versus expense of $68.6 million in the same period in 2006. The 153% increase includes $23.3 million of compensation awarded to new Senior Managing Directors in 2007. Employee Compensation and Benefits Expense for 2006 is not comparable to 2007 because Employee Compensation and Benefits Expense prior to the IPO excluded payments to Senior Managing Directors for services rendered, as these payments were reflected as distributions to Members and not reflected as an expense. During 2007, we revised our annual compensation program to include stock-based compensation awards as a component of the annual bonus awards for certain Senior Managing Directors. Non-compensation expenses as a component of Operating Expenses were $62.2 million in 2007, an increase of $23.9 million, or 62% over non-compensation operating expenses of $38.3 million in 2006. Non-compensation operating expenses increased in 2007 as compared to the same period in 2006 as a result of additional facility expenses associated with the Company’s expanded space in New York and transition costs related to the move into that space, incremental costs associated with Sarbanes-Oxley compliance, costs incurred relating to new business initiatives, regulatory reporting and other costs incurred as a public company and recruitment fees associated with the hiring of additional Senior Managing Directors. Additionally, the inclusion of non-compensation expenses for Protego and Evercore Europe further increased non-compensation expenses for 2007 as compared to the same period in 2006.</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Other Expenses of $141.0 million in 2007 relate to the costs incurred for the vesting of Evercore LP partnership units and stock-based awards associated with the completion of the Follow-On Offering in May 2007 of $123.6 million, a stock-based compensation component of a severance agreement of $2.3 million and the amortization of intangible assets associated with the acquisitions of Protego and Braveheart of $15.0 million. Costs incurred for the vesting of stock-based awards associated with the IPO were $4.3 million in 2006. Amortization of intangible assets in the same period was $2.7 million.</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2007 provision for income taxes was $12.4 million, an increase of $4.0 million versus $8.4 million in 2006. The increased tax expense was due to the fact that a portion of our taxable net income was taxed as a C corporation and subject to federal, state and local income taxes for all of 2007, which resulted in an increased tax expense, and the impact associated with the one-time event from the Follow-On Offering which resulted in a book loss for U.S. GAAP reporting, but taxable income from an income tax perspective. Additionally, the results were also affected by the addition of Protego and Braveheart, after their respective acquisitions, which were taxed at their respective applicable foreign country tax rates. Prior to the IPO, we operated in the U.S. as a series of partnerships, limited liability companies and Subchapter S corporations and therefore were not subject to federal and state income taxes.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Minority interest was ($32.8) million in 2007 compared to $16.0 million in 2006 due to the impact of the Follow-On Offering.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data presents revenue, expenses and contributions by business segment. Each segment’s Operating Expenses include: (1) compensation and benefits expense incurred directly in support of the businesses of the segment, (2) non-compensation expenses, which include directly incurred expenses for premises and occupancy, professional fees, travel and entertainment, communications and information services and equipment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and (3) an allocation of indirect support costs (including compensation and other operating expenses related thereto) for administrative services. These administrative services include certain finance, tax, legal, compliance, facilities management and senior management activities. Such support costs are allocated to the relevant segments based on various statistics such as headcount, square footage, transactional volume and revenue. Corporate level Operating Expenses for prior periods have been allocated to their appropriate business segments to conform to the current presentation. Other Expenses include stock-based compensation costs associated with the IPO and the May 2007 Follow-On Offering, a 2007 stock-based compensation charge related to a severance agreement, a charge associated with deferred consideration pursuant to the Braveheart Sale and Purchase Agreement in 2008, amortization of intangibles associated with the acquisitions of Protego and Braveheart, Special Charges in connection with the 2008 write-off of certain capitalized costs associated with ECP capital raising and employee severance, accelerated share-based vesting and other costs related to the closing of the Los Angeles office and Acquisition and Transition Costs incurred in connection with acquisitions currently in process.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Advisory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i w:val="1"/>
                <w:iCs w:val="1"/>
                <w:color w:val="auto"/>
                <w:w w:val="85"/>
              </w:rPr>
              <w:t>Consolidated</w:t>
            </w:r>
          </w:p>
        </w:tc>
        <w:tc>
          <w:tcPr>
            <w:tcW w:w="6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i w:val="1"/>
                <w:iCs w:val="1"/>
                <w:color w:val="auto"/>
                <w:w w:val="81"/>
              </w:rPr>
              <w:t>Consolidated</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i w:val="1"/>
                <w:iCs w:val="1"/>
                <w:color w:val="auto"/>
                <w:w w:val="81"/>
              </w:rPr>
              <w:t>Combined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For the Twelve Months</w:t>
            </w:r>
          </w:p>
        </w:tc>
        <w:tc>
          <w:tcPr>
            <w:tcW w:w="60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Ended</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740"/>
              <w:spacing w:after="0" w:line="142" w:lineRule="exact"/>
              <w:rPr>
                <w:sz w:val="20"/>
                <w:szCs w:val="20"/>
                <w:color w:val="auto"/>
              </w:rPr>
            </w:pPr>
            <w:r>
              <w:rPr>
                <w:rFonts w:ascii="Arial" w:cs="Arial" w:eastAsia="Arial" w:hAnsi="Arial"/>
                <w:sz w:val="14"/>
                <w:szCs w:val="14"/>
                <w:b w:val="1"/>
                <w:bCs w:val="1"/>
                <w:color w:val="auto"/>
              </w:rPr>
              <w:t>For</w:t>
            </w:r>
          </w:p>
        </w:tc>
        <w:tc>
          <w:tcPr>
            <w:tcW w:w="1400" w:type="dxa"/>
            <w:vAlign w:val="bottom"/>
            <w:tcBorders>
              <w:bottom w:val="single" w:sz="8" w:color="auto"/>
            </w:tcBorders>
            <w:gridSpan w:val="3"/>
          </w:tcPr>
          <w:p>
            <w:pPr>
              <w:jc w:val="right"/>
              <w:ind w:right="752"/>
              <w:spacing w:after="0" w:line="142" w:lineRule="exact"/>
              <w:rPr>
                <w:sz w:val="20"/>
                <w:szCs w:val="20"/>
                <w:color w:val="auto"/>
              </w:rPr>
            </w:pPr>
            <w:r>
              <w:rPr>
                <w:rFonts w:ascii="Arial" w:cs="Arial" w:eastAsia="Arial" w:hAnsi="Arial"/>
                <w:sz w:val="14"/>
                <w:szCs w:val="14"/>
                <w:b w:val="1"/>
                <w:bCs w:val="1"/>
                <w:color w:val="auto"/>
                <w:w w:val="81"/>
              </w:rPr>
              <w:t>the Period</w:t>
            </w: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412"/>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6"/>
              </w:rPr>
              <w:t>through</w:t>
            </w:r>
          </w:p>
        </w:tc>
        <w:tc>
          <w:tcPr>
            <w:tcW w:w="8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through</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212"/>
              <w:spacing w:after="0"/>
              <w:rPr>
                <w:sz w:val="20"/>
                <w:szCs w:val="20"/>
                <w:color w:val="auto"/>
              </w:rPr>
            </w:pPr>
            <w:r>
              <w:rPr>
                <w:rFonts w:ascii="Arial" w:cs="Arial" w:eastAsia="Arial" w:hAnsi="Arial"/>
                <w:sz w:val="14"/>
                <w:szCs w:val="14"/>
                <w:b w:val="1"/>
                <w:bCs w:val="1"/>
                <w:color w:val="auto"/>
                <w:w w:val="96"/>
              </w:rPr>
              <w:t>2007</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ind w:right="332"/>
              <w:spacing w:after="0"/>
              <w:rPr>
                <w:sz w:val="20"/>
                <w:szCs w:val="20"/>
                <w:color w:val="auto"/>
              </w:rPr>
            </w:pPr>
            <w:r>
              <w:rPr>
                <w:rFonts w:ascii="Arial" w:cs="Arial" w:eastAsia="Arial" w:hAnsi="Arial"/>
                <w:sz w:val="14"/>
                <w:szCs w:val="14"/>
                <w:b w:val="1"/>
                <w:bCs w:val="1"/>
                <w:color w:val="auto"/>
                <w:w w:val="85"/>
              </w:rPr>
              <w:t>December 31, 2006</w:t>
            </w:r>
          </w:p>
        </w:tc>
        <w:tc>
          <w:tcPr>
            <w:tcW w:w="8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August 9, 2006</w:t>
            </w:r>
          </w:p>
        </w:tc>
        <w:tc>
          <w:tcPr>
            <w:tcW w:w="7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Variance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4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0"/>
              </w:rPr>
              <w:t>SUCCESSOR</w:t>
            </w:r>
          </w:p>
        </w:tc>
        <w:tc>
          <w:tcPr>
            <w:tcW w:w="400" w:type="dxa"/>
            <w:vAlign w:val="bottom"/>
          </w:tcPr>
          <w:p>
            <w:pPr>
              <w:spacing w:after="0"/>
              <w:rPr>
                <w:sz w:val="12"/>
                <w:szCs w:val="12"/>
                <w:color w:val="auto"/>
              </w:rPr>
            </w:pPr>
          </w:p>
        </w:tc>
        <w:tc>
          <w:tcPr>
            <w:tcW w:w="10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44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512"/>
              <w:spacing w:after="0" w:line="142" w:lineRule="exact"/>
              <w:rPr>
                <w:sz w:val="20"/>
                <w:szCs w:val="20"/>
                <w:color w:val="auto"/>
              </w:rPr>
            </w:pPr>
            <w:r>
              <w:rPr>
                <w:rFonts w:ascii="Arial" w:cs="Arial" w:eastAsia="Arial" w:hAnsi="Arial"/>
                <w:sz w:val="14"/>
                <w:szCs w:val="14"/>
                <w:b w:val="1"/>
                <w:bCs w:val="1"/>
                <w:color w:val="auto"/>
                <w:w w:val="83"/>
              </w:rPr>
              <w:t>2008 v. 2007</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 v. 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3"/>
              </w:rPr>
              <w:t>(dollars in thousands)</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ADVISORY REVENUES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Advisory Revenue</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181,608</w:t>
            </w:r>
          </w:p>
        </w:tc>
        <w:tc>
          <w:tcPr>
            <w:tcW w:w="6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295,751</w:t>
            </w:r>
          </w:p>
        </w:tc>
        <w:tc>
          <w:tcPr>
            <w:tcW w:w="4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183,781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87,659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96,122</w:t>
            </w:r>
          </w:p>
        </w:tc>
        <w:tc>
          <w:tcPr>
            <w:tcW w:w="128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(39)%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Revenue, net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5,020</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1,036</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(820)</w:t>
            </w:r>
          </w:p>
        </w:tc>
        <w:tc>
          <w:tcPr>
            <w:tcW w:w="128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27%</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4"/>
                <w:szCs w:val="14"/>
                <w:color w:val="auto"/>
              </w:rPr>
              <w:t>NET ADVISORY REVENUES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2"/>
            <w:vMerge w:val="restart"/>
          </w:tcPr>
          <w:p>
            <w:pPr>
              <w:jc w:val="right"/>
              <w:ind w:right="352"/>
              <w:spacing w:after="0"/>
              <w:rPr>
                <w:sz w:val="20"/>
                <w:szCs w:val="20"/>
                <w:color w:val="auto"/>
              </w:rPr>
            </w:pPr>
            <w:r>
              <w:rPr>
                <w:rFonts w:ascii="Arial" w:cs="Arial" w:eastAsia="Arial" w:hAnsi="Arial"/>
                <w:sz w:val="14"/>
                <w:szCs w:val="14"/>
                <w:color w:val="auto"/>
              </w:rPr>
              <w:t>(38)%</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line="20" w:lineRule="exact"/>
              <w:rPr>
                <w:sz w:val="1"/>
                <w:szCs w:val="1"/>
                <w:color w:val="auto"/>
              </w:rPr>
            </w:pPr>
          </w:p>
        </w:tc>
      </w:tr>
      <w:tr>
        <w:trPr>
          <w:trHeight w:val="163"/>
        </w:trPr>
        <w:tc>
          <w:tcPr>
            <w:tcW w:w="2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186,628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299,710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183,997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312"/>
              <w:spacing w:after="0" w:line="155" w:lineRule="exact"/>
              <w:rPr>
                <w:sz w:val="20"/>
                <w:szCs w:val="20"/>
                <w:color w:val="auto"/>
              </w:rPr>
            </w:pPr>
            <w:r>
              <w:rPr>
                <w:rFonts w:ascii="Arial" w:cs="Arial" w:eastAsia="Arial" w:hAnsi="Arial"/>
                <w:sz w:val="14"/>
                <w:szCs w:val="14"/>
                <w:color w:val="auto"/>
              </w:rPr>
              <w:t>88,695</w:t>
            </w:r>
          </w:p>
        </w:tc>
        <w:tc>
          <w:tcPr>
            <w:tcW w:w="80" w:type="dxa"/>
            <w:vAlign w:val="bottom"/>
          </w:tcPr>
          <w:p>
            <w:pPr>
              <w:spacing w:after="0"/>
              <w:rPr>
                <w:sz w:val="14"/>
                <w:szCs w:val="14"/>
                <w:color w:val="auto"/>
              </w:rPr>
            </w:pPr>
          </w:p>
        </w:tc>
        <w:tc>
          <w:tcPr>
            <w:tcW w:w="136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95,302</w:t>
            </w:r>
          </w:p>
        </w:tc>
        <w:tc>
          <w:tcPr>
            <w:tcW w:w="12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ADVISORY EXPENSES</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157,097</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193,204</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86,442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54,401</w:t>
            </w:r>
          </w:p>
        </w:tc>
        <w:tc>
          <w:tcPr>
            <w:tcW w:w="8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32,041</w:t>
            </w:r>
          </w:p>
        </w:tc>
        <w:tc>
          <w:tcPr>
            <w:tcW w:w="128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(19)%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9,336</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114,000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6,262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6,262</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(92)%</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4"/>
                <w:szCs w:val="14"/>
                <w:color w:val="auto"/>
              </w:rPr>
              <w:t>TOTAL ADVISORY EXPENSES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2"/>
            <w:vMerge w:val="restart"/>
          </w:tcPr>
          <w:p>
            <w:pPr>
              <w:jc w:val="right"/>
              <w:ind w:right="352"/>
              <w:spacing w:after="0"/>
              <w:rPr>
                <w:sz w:val="20"/>
                <w:szCs w:val="20"/>
                <w:color w:val="auto"/>
              </w:rPr>
            </w:pPr>
            <w:r>
              <w:rPr>
                <w:rFonts w:ascii="Arial" w:cs="Arial" w:eastAsia="Arial" w:hAnsi="Arial"/>
                <w:sz w:val="14"/>
                <w:szCs w:val="14"/>
                <w:color w:val="auto"/>
              </w:rPr>
              <w:t>(46)%</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line="20" w:lineRule="exact"/>
              <w:rPr>
                <w:sz w:val="1"/>
                <w:szCs w:val="1"/>
                <w:color w:val="auto"/>
              </w:rPr>
            </w:pPr>
          </w:p>
        </w:tc>
      </w:tr>
      <w:tr>
        <w:trPr>
          <w:trHeight w:val="156"/>
        </w:trPr>
        <w:tc>
          <w:tcPr>
            <w:tcW w:w="27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166,433</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307,204</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92,704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312"/>
              <w:spacing w:after="0" w:line="155" w:lineRule="exact"/>
              <w:rPr>
                <w:sz w:val="20"/>
                <w:szCs w:val="20"/>
                <w:color w:val="auto"/>
              </w:rPr>
            </w:pPr>
            <w:r>
              <w:rPr>
                <w:rFonts w:ascii="Arial" w:cs="Arial" w:eastAsia="Arial" w:hAnsi="Arial"/>
                <w:sz w:val="14"/>
                <w:szCs w:val="14"/>
                <w:color w:val="auto"/>
              </w:rPr>
              <w:t>60,663</w:t>
            </w:r>
          </w:p>
        </w:tc>
        <w:tc>
          <w:tcPr>
            <w:tcW w:w="80" w:type="dxa"/>
            <w:vAlign w:val="bottom"/>
          </w:tcPr>
          <w:p>
            <w:pPr>
              <w:spacing w:after="0"/>
              <w:rPr>
                <w:sz w:val="13"/>
                <w:szCs w:val="13"/>
                <w:color w:val="auto"/>
              </w:rPr>
            </w:pPr>
          </w:p>
        </w:tc>
        <w:tc>
          <w:tcPr>
            <w:tcW w:w="136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32,041</w:t>
            </w:r>
          </w:p>
        </w:tc>
        <w:tc>
          <w:tcPr>
            <w:tcW w:w="128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ADVISORY CONTRIBUTION (LOSS)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20,195</w:t>
            </w:r>
          </w:p>
        </w:tc>
        <w:tc>
          <w:tcPr>
            <w:tcW w:w="6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(7,494)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91,293</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28,032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63,261</w:t>
            </w:r>
          </w:p>
        </w:tc>
        <w:tc>
          <w:tcPr>
            <w:tcW w:w="1280" w:type="dxa"/>
            <w:vAlign w:val="bottom"/>
            <w:gridSpan w:val="2"/>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NM</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right="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aggregate successor and predecessor results for the period presented. The aggregated results are non-U.S. GAAP financial measures and should not be used in isolation or substitution of predecessor and successor results. The aggregated results help to provide a full-year presentation of our results for comparability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twelve months ended December 31, 2008, the level of M&amp;A activity was lower than for the twelve months ended December 31, 2007, as evidenced by the following industry statistics regarding the volume of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80" w:type="dxa"/>
            <w:vAlign w:val="bottom"/>
            <w:gridSpan w:val="7"/>
          </w:tcPr>
          <w:p>
            <w:pPr>
              <w:jc w:val="center"/>
              <w:spacing w:after="0"/>
              <w:rPr>
                <w:sz w:val="20"/>
                <w:szCs w:val="20"/>
                <w:color w:val="auto"/>
              </w:rPr>
            </w:pPr>
            <w:r>
              <w:rPr>
                <w:rFonts w:ascii="Arial" w:cs="Arial" w:eastAsia="Arial" w:hAnsi="Arial"/>
                <w:sz w:val="14"/>
                <w:szCs w:val="14"/>
                <w:b w:val="1"/>
                <w:bCs w:val="1"/>
                <w:color w:val="auto"/>
                <w:w w:val="88"/>
              </w:rPr>
              <w:t>Twelve Months Ended</w:t>
            </w:r>
          </w:p>
        </w:tc>
      </w:tr>
      <w:tr>
        <w:trPr>
          <w:trHeight w:val="161"/>
        </w:trPr>
        <w:tc>
          <w:tcPr>
            <w:tcW w:w="6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5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740" w:type="dxa"/>
            <w:vAlign w:val="bottom"/>
            <w:gridSpan w:val="2"/>
          </w:tcPr>
          <w:p>
            <w:pPr>
              <w:jc w:val="center"/>
              <w:ind w:left="157"/>
              <w:spacing w:after="0" w:line="142" w:lineRule="exact"/>
              <w:rPr>
                <w:sz w:val="20"/>
                <w:szCs w:val="20"/>
                <w:color w:val="auto"/>
              </w:rPr>
            </w:pPr>
            <w:r>
              <w:rPr>
                <w:rFonts w:ascii="Arial" w:cs="Arial" w:eastAsia="Arial" w:hAnsi="Arial"/>
                <w:sz w:val="14"/>
                <w:szCs w:val="14"/>
                <w:b w:val="1"/>
                <w:bCs w:val="1"/>
                <w:color w:val="auto"/>
                <w:w w:val="83"/>
              </w:rPr>
              <w:t>2007</w:t>
            </w:r>
          </w:p>
        </w:tc>
        <w:tc>
          <w:tcPr>
            <w:tcW w:w="240" w:type="dxa"/>
            <w:vAlign w:val="bottom"/>
          </w:tcPr>
          <w:p>
            <w:pPr>
              <w:spacing w:after="0"/>
              <w:rPr>
                <w:sz w:val="12"/>
                <w:szCs w:val="12"/>
                <w:color w:val="auto"/>
              </w:rPr>
            </w:pPr>
          </w:p>
        </w:tc>
        <w:tc>
          <w:tcPr>
            <w:tcW w:w="6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Industry Statistics ($ in billions)</w:t>
            </w:r>
            <w:r>
              <w:rPr>
                <w:rFonts w:ascii="Arial" w:cs="Arial" w:eastAsia="Arial" w:hAnsi="Arial"/>
                <w:sz w:val="18"/>
                <w:szCs w:val="18"/>
                <w:color w:val="auto"/>
              </w:rPr>
              <w:t>*</w:t>
            </w:r>
          </w:p>
        </w:tc>
        <w:tc>
          <w:tcPr>
            <w:tcW w:w="28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Value of North American M&amp;A Deals Announced</w:t>
            </w:r>
          </w:p>
        </w:tc>
        <w:tc>
          <w:tcPr>
            <w:tcW w:w="3440" w:type="dxa"/>
            <w:vAlign w:val="bottom"/>
            <w:gridSpan w:val="3"/>
          </w:tcPr>
          <w:p>
            <w:pPr>
              <w:jc w:val="right"/>
              <w:ind w:right="100"/>
              <w:spacing w:after="0"/>
              <w:rPr>
                <w:sz w:val="20"/>
                <w:szCs w:val="20"/>
                <w:color w:val="auto"/>
              </w:rPr>
            </w:pPr>
            <w:r>
              <w:rPr>
                <w:rFonts w:ascii="Arial" w:cs="Arial" w:eastAsia="Arial" w:hAnsi="Arial"/>
                <w:sz w:val="18"/>
                <w:szCs w:val="18"/>
                <w:color w:val="auto"/>
              </w:rPr>
              <w:t>$1,077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$1,746</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$1,648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Value of North American M&amp;A Deals Completed</w:t>
            </w:r>
          </w:p>
        </w:tc>
        <w:tc>
          <w:tcPr>
            <w:tcW w:w="3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Value of Global M&amp;A Deals Announced</w:t>
            </w:r>
          </w:p>
        </w:tc>
        <w:tc>
          <w:tcPr>
            <w:tcW w:w="3440" w:type="dxa"/>
            <w:vAlign w:val="bottom"/>
            <w:gridSpan w:val="3"/>
          </w:tcPr>
          <w:p>
            <w:pPr>
              <w:jc w:val="right"/>
              <w:ind w:right="100"/>
              <w:spacing w:after="0"/>
              <w:rPr>
                <w:sz w:val="20"/>
                <w:szCs w:val="20"/>
                <w:color w:val="auto"/>
              </w:rPr>
            </w:pPr>
            <w:r>
              <w:rPr>
                <w:rFonts w:ascii="Arial" w:cs="Arial" w:eastAsia="Arial" w:hAnsi="Arial"/>
                <w:sz w:val="18"/>
                <w:szCs w:val="18"/>
                <w:color w:val="auto"/>
              </w:rPr>
              <w:t>$2,869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$4,079</w:t>
            </w: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$3,527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Value of Global M&amp;A Deals Completed</w:t>
            </w:r>
          </w:p>
        </w:tc>
        <w:tc>
          <w:tcPr>
            <w:tcW w:w="3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w:t>
            </w:r>
          </w:p>
        </w:tc>
      </w:tr>
      <w:tr>
        <w:trPr>
          <w:trHeight w:val="322"/>
        </w:trPr>
        <w:tc>
          <w:tcPr>
            <w:tcW w:w="6400" w:type="dxa"/>
            <w:vAlign w:val="bottom"/>
          </w:tcPr>
          <w:p>
            <w:pPr>
              <w:spacing w:after="0"/>
              <w:rPr>
                <w:sz w:val="20"/>
                <w:szCs w:val="20"/>
                <w:color w:val="auto"/>
              </w:rPr>
            </w:pPr>
            <w:r>
              <w:rPr>
                <w:rFonts w:ascii="Arial" w:cs="Arial" w:eastAsia="Arial" w:hAnsi="Arial"/>
                <w:sz w:val="18"/>
                <w:szCs w:val="18"/>
                <w:i w:val="1"/>
                <w:iCs w:val="1"/>
                <w:color w:val="auto"/>
              </w:rPr>
              <w:t>Evercore Statistics</w:t>
            </w:r>
            <w:r>
              <w:rPr>
                <w:rFonts w:ascii="Arial" w:cs="Arial" w:eastAsia="Arial" w:hAnsi="Arial"/>
                <w:sz w:val="18"/>
                <w:szCs w:val="18"/>
                <w:color w:val="auto"/>
              </w:rPr>
              <w:t>**</w:t>
            </w:r>
          </w:p>
        </w:tc>
        <w:tc>
          <w:tcPr>
            <w:tcW w:w="2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Advisory Clients</w:t>
            </w:r>
          </w:p>
        </w:tc>
        <w:tc>
          <w:tcPr>
            <w:tcW w:w="3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Advisory Clients With Fees of at Least $1 million</w:t>
            </w:r>
          </w:p>
        </w:tc>
        <w:tc>
          <w:tcPr>
            <w:tcW w:w="344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680" w:firstLine="8"/>
        <w:spacing w:after="0" w:line="420" w:lineRule="auto"/>
        <w:tabs>
          <w:tab w:leader="none" w:pos="446" w:val="left"/>
        </w:tabs>
        <w:numPr>
          <w:ilvl w:val="0"/>
          <w:numId w:val="24"/>
        </w:numPr>
        <w:rPr>
          <w:rFonts w:ascii="Arial" w:cs="Arial" w:eastAsia="Arial" w:hAnsi="Arial"/>
          <w:sz w:val="16"/>
          <w:szCs w:val="16"/>
          <w:color w:val="auto"/>
        </w:rPr>
      </w:pPr>
      <w:r>
        <w:rPr>
          <w:rFonts w:ascii="Arial" w:cs="Arial" w:eastAsia="Arial" w:hAnsi="Arial"/>
          <w:sz w:val="16"/>
          <w:szCs w:val="16"/>
          <w:color w:val="auto"/>
        </w:rPr>
        <w:t>Source: Thomson Financial February 23, 2009 ** Includes revenue generating clients only</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Evercore’s total headcount in its Advisory segment was 211 employees, compared with 173 as of December 31,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Evercore’s Advisory headcount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74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Evercore</w:t>
            </w:r>
          </w:p>
        </w:tc>
        <w:tc>
          <w:tcPr>
            <w:tcW w:w="220" w:type="dxa"/>
            <w:vAlign w:val="bottom"/>
          </w:tcPr>
          <w:p>
            <w:pPr>
              <w:spacing w:after="0"/>
              <w:rPr>
                <w:sz w:val="11"/>
                <w:szCs w:val="11"/>
                <w:color w:val="auto"/>
              </w:rPr>
            </w:pPr>
          </w:p>
        </w:tc>
        <w:tc>
          <w:tcPr>
            <w:tcW w:w="7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Evercore</w:t>
            </w: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Evercore</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40" w:type="dxa"/>
            <w:vAlign w:val="bottom"/>
          </w:tcPr>
          <w:p>
            <w:pPr>
              <w:spacing w:after="0"/>
              <w:rPr>
                <w:sz w:val="14"/>
                <w:szCs w:val="14"/>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Mexico</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Europe</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Senior Managing Directors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Other Advisory Professionals</w:t>
            </w: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33</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127</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107</w:t>
            </w:r>
          </w:p>
        </w:tc>
        <w:tc>
          <w:tcPr>
            <w:tcW w:w="3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Direct Support Staff</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211</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133</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versus 2007</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Advisory Revenue, including Other Revenue, net, allocated to this segment, was $186.6 million in 2008 compared to $299.7 million in 2007, which represents a decrease of 38%. Our U.S. and European Advisory businesses earned Advisory Revenue from 86 different clients during 2008, compared to 76 different clients during 2007. Our Mexican Advisory business earned Advisory Revenue from 63 different clients during 2008, compared to 69 different clients during 2007. There has been a decrease in the number of large transactions, which has resulted in fewer large transaction fees earned by us in 2008. The dollar value of North American and Global M&amp;A completed transactions decreased 46% and 31%, respectively, compared to 2007, which is consistent with the decrease in Advisory Revenue for 2008.</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2008, Operating Expenses were $157.1 million as compared to $193.2 million in 2007, a decrease of $36.1 million, or 19%. Employee Compensation and Benefits Expense, as a component of Operating Expenses, was $116.4 million as compared to $147.1 million in 2007. The decrease is primarily due to lower incentive compensation due to lower revenues in 2008, offset in part by increased headcount. Advisory non-compensation expenses, as a component of Operating Expenses, for 2008, were $40.7 million as compared to $46.1 million for 2007. Non-compensation operating expenses decreased in 2008 as compared to 2007 primarily as a result of decreases in Professional Fees. The decrease was partially offset by an increase in Travel and Related Expenses and Communications and Information Services as a result of increased travel and research costs. The decrease in Professional Fees is primarily related to the completion of projects associated with Sarbanes-Oxley compliance as well as renegotiated contracts with vendors.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Expenses of $9.3 million in 2008 relate to a charge associated with deferred consideration pursuant to the Braveheart Sale and Purchase Agreement of $7.5 million, as well as amortization of intangibles associated with the acquisitions of Protego and Braveheart of $1.9 million. Other Expenses of $114.0 million in 2007 relate to the costs incurred for the vesting of Evercore LP partnership units and stock-based awards associated with the completion of the Follow-On Offering in May 2007 of $97.7 million, a stock-based component of a severance agreement of $1.1 million and the amortization of intangible assets associated with the acquisitions of Protego and Braveheart of $15.0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versus 2006</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Advisory Revenue, including Other Revenue, net, allocated to this segment, was $299.7 million in 2007 compared to $184.0 million in 2006, which represents an increase of 63%. This increase reflects a higher number of transactions closed in 2007 than in 2006, notwithstanding a challenging M&amp;A market in the second half of 2007. Our U.S. and European Advisory businesses earned Advisory Revenue from 76 different clients during 2007, compared to 64 different clients in 2006. Our Mexican Advisory business earned Advisory Revenue from 69 different clients during 2007, compared to 62 different clients in 2006.</w:t>
      </w:r>
    </w:p>
    <w:p>
      <w:pPr>
        <w:spacing w:after="0" w:line="9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2007, Operating Expenses were $193.2 million as compared to $86.4 million in the same period for 2006, an increase of $106.8 million, or 124%. Employee Compensation and Benefits Expense, as a component of Operating Expenses, was $147.1 million as compared to $58.9 million in the same period for 2006. Employee Compensation and Benefits Expense for 2006 is not comparable to 2007 because Employee Compensation and Benefits Expense prior to the IPO excluded payments to Senior Managing Directors for services rendered, as these payments were reflected as distributions to Members and not reflected as an expense. The 2007 increase was partially due to the costs of new Senior Managing Director hires. Advisory non-compensation expenses, as a component of Operating Expenses, were $46.1 million in 2007, an increase of $18.6 million versus non-compensation operating expenses of $27.5 million in 2006. Non-compensation expenses increased due to the impact of incremental costs associated with Sarbanes-Oxley compliance and expanded headcount and increased deal activity in the Advisory business, resulting in higher occupancy, travel and technology related expenses, the increase in deal- and transaction-related expenses potentially billable to clients and the expansion of space in New York. Additional increases in non-compensation expenses are associated with the Advisory businesses of the entities acquired in the second half of 2006 that are not included for the entire year ended December 31, 2006.</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Other Expenses of $114.0 million in 2007 relate to the costs incurred for the vesting of Evercore LP partnership units and stock-based awards associated with the completion of the Follow-On Offering in May 2007 of $97.7 million, a stock-based component of a severance agreement of $1.1 million and the amortization of intangible assets associated with the acquisitions of Protego and Braveheart of $15.0 million. Costs incurred for the vesting of stock-based awards associated with the IPO were $3.6 million in 2006. Amortization of intangible assets in the same period in 2006 was $2.7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Investment Management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i w:val="1"/>
                <w:iCs w:val="1"/>
                <w:color w:val="auto"/>
                <w:w w:val="87"/>
              </w:rPr>
              <w:t>Consolidated</w:t>
            </w:r>
          </w:p>
        </w:tc>
        <w:tc>
          <w:tcPr>
            <w:tcW w:w="6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1"/>
              </w:rPr>
              <w:t>Consolidated</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4"/>
              </w:rPr>
              <w:t>Combined</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For the Twelve Months</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Ended</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For</w:t>
            </w:r>
          </w:p>
        </w:tc>
        <w:tc>
          <w:tcPr>
            <w:tcW w:w="1440" w:type="dxa"/>
            <w:vAlign w:val="bottom"/>
            <w:tcBorders>
              <w:bottom w:val="single" w:sz="8" w:color="auto"/>
            </w:tcBorders>
            <w:gridSpan w:val="3"/>
          </w:tcPr>
          <w:p>
            <w:pPr>
              <w:jc w:val="right"/>
              <w:ind w:right="772"/>
              <w:spacing w:after="0" w:line="142" w:lineRule="exact"/>
              <w:rPr>
                <w:sz w:val="20"/>
                <w:szCs w:val="20"/>
                <w:color w:val="auto"/>
              </w:rPr>
            </w:pPr>
            <w:r>
              <w:rPr>
                <w:rFonts w:ascii="Arial" w:cs="Arial" w:eastAsia="Arial" w:hAnsi="Arial"/>
                <w:sz w:val="14"/>
                <w:szCs w:val="14"/>
                <w:b w:val="1"/>
                <w:bCs w:val="1"/>
                <w:color w:val="auto"/>
                <w:w w:val="84"/>
              </w:rPr>
              <w:t>the Period</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center"/>
              <w:ind w:right="432"/>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452"/>
              <w:spacing w:after="0" w:line="149" w:lineRule="exact"/>
              <w:rPr>
                <w:sz w:val="20"/>
                <w:szCs w:val="20"/>
                <w:color w:val="auto"/>
              </w:rPr>
            </w:pPr>
            <w:r>
              <w:rPr>
                <w:rFonts w:ascii="Arial" w:cs="Arial" w:eastAsia="Arial" w:hAnsi="Arial"/>
                <w:sz w:val="14"/>
                <w:szCs w:val="14"/>
                <w:b w:val="1"/>
                <w:bCs w:val="1"/>
                <w:color w:val="auto"/>
                <w:w w:val="86"/>
              </w:rPr>
              <w:t>through</w:t>
            </w:r>
          </w:p>
        </w:tc>
        <w:tc>
          <w:tcPr>
            <w:tcW w:w="8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through</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center"/>
              <w:ind w:right="352"/>
              <w:spacing w:after="0"/>
              <w:rPr>
                <w:sz w:val="20"/>
                <w:szCs w:val="20"/>
                <w:color w:val="auto"/>
              </w:rPr>
            </w:pPr>
            <w:r>
              <w:rPr>
                <w:rFonts w:ascii="Arial" w:cs="Arial" w:eastAsia="Arial" w:hAnsi="Arial"/>
                <w:sz w:val="14"/>
                <w:szCs w:val="14"/>
                <w:b w:val="1"/>
                <w:bCs w:val="1"/>
                <w:color w:val="auto"/>
                <w:w w:val="85"/>
              </w:rPr>
              <w:t>December 31, 2006</w:t>
            </w:r>
          </w:p>
        </w:tc>
        <w:tc>
          <w:tcPr>
            <w:tcW w:w="8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August 9, 2006</w:t>
            </w:r>
          </w:p>
        </w:tc>
        <w:tc>
          <w:tcPr>
            <w:tcW w:w="7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Variance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2"/>
              </w:rPr>
              <w:t>SUCCESSOR</w:t>
            </w:r>
          </w:p>
        </w:tc>
        <w:tc>
          <w:tcPr>
            <w:tcW w:w="440" w:type="dxa"/>
            <w:vAlign w:val="bottom"/>
          </w:tcPr>
          <w:p>
            <w:pPr>
              <w:spacing w:after="0"/>
              <w:rPr>
                <w:sz w:val="12"/>
                <w:szCs w:val="12"/>
                <w:color w:val="auto"/>
              </w:rPr>
            </w:pPr>
          </w:p>
        </w:tc>
        <w:tc>
          <w:tcPr>
            <w:tcW w:w="10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46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512"/>
              <w:spacing w:after="0" w:line="142" w:lineRule="exact"/>
              <w:rPr>
                <w:sz w:val="20"/>
                <w:szCs w:val="20"/>
                <w:color w:val="auto"/>
              </w:rPr>
            </w:pPr>
            <w:r>
              <w:rPr>
                <w:rFonts w:ascii="Arial" w:cs="Arial" w:eastAsia="Arial" w:hAnsi="Arial"/>
                <w:sz w:val="14"/>
                <w:szCs w:val="14"/>
                <w:b w:val="1"/>
                <w:bCs w:val="1"/>
                <w:color w:val="auto"/>
                <w:w w:val="83"/>
              </w:rPr>
              <w:t>2008 v. 2007</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 v. 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75"/>
              </w:rPr>
              <w:t>(dollars in thousands)</w:t>
            </w: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PRIVATE EQUITY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4"/>
                <w:szCs w:val="14"/>
                <w:color w:val="auto"/>
              </w:rPr>
              <w:t>Management Fees Including Portfolio</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line="159" w:lineRule="exact"/>
              <w:rPr>
                <w:sz w:val="20"/>
                <w:szCs w:val="20"/>
                <w:color w:val="auto"/>
              </w:rPr>
            </w:pPr>
            <w:r>
              <w:rPr>
                <w:rFonts w:ascii="Arial" w:cs="Arial" w:eastAsia="Arial" w:hAnsi="Arial"/>
                <w:sz w:val="14"/>
                <w:szCs w:val="14"/>
                <w:color w:val="auto"/>
              </w:rPr>
              <w:t>Company Fees</w:t>
            </w:r>
          </w:p>
        </w:tc>
        <w:tc>
          <w:tcPr>
            <w:tcW w:w="18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9,538</w:t>
            </w:r>
          </w:p>
        </w:tc>
        <w:tc>
          <w:tcPr>
            <w:tcW w:w="4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14,608</w:t>
            </w:r>
          </w:p>
        </w:tc>
        <w:tc>
          <w:tcPr>
            <w:tcW w:w="44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16,727</w:t>
            </w:r>
          </w:p>
        </w:tc>
        <w:tc>
          <w:tcPr>
            <w:tcW w:w="2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4,441</w:t>
            </w:r>
          </w:p>
        </w:tc>
        <w:tc>
          <w:tcPr>
            <w:tcW w:w="44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12,286</w:t>
            </w:r>
          </w:p>
        </w:tc>
        <w:tc>
          <w:tcPr>
            <w:tcW w:w="1280" w:type="dxa"/>
            <w:vAlign w:val="bottom"/>
            <w:gridSpan w:val="2"/>
          </w:tcPr>
          <w:p>
            <w:pPr>
              <w:jc w:val="right"/>
              <w:ind w:right="352"/>
              <w:spacing w:after="0" w:line="159" w:lineRule="exact"/>
              <w:rPr>
                <w:sz w:val="20"/>
                <w:szCs w:val="20"/>
                <w:color w:val="auto"/>
              </w:rPr>
            </w:pPr>
            <w:r>
              <w:rPr>
                <w:rFonts w:ascii="Arial" w:cs="Arial" w:eastAsia="Arial" w:hAnsi="Arial"/>
                <w:sz w:val="14"/>
                <w:szCs w:val="14"/>
                <w:color w:val="auto"/>
              </w:rPr>
              <w:t>(35)%</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Realized and Unrealized Gains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Including Carried Interest</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1,664</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5,580</w:t>
            </w: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5,861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918</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4,943</w:t>
            </w:r>
          </w:p>
        </w:tc>
        <w:tc>
          <w:tcPr>
            <w:tcW w:w="1280" w:type="dxa"/>
            <w:vAlign w:val="bottom"/>
            <w:gridSpan w:val="2"/>
            <w:shd w:val="clear" w:color="auto" w:fill="CCEEFF"/>
          </w:tcPr>
          <w:p>
            <w:pPr>
              <w:jc w:val="right"/>
              <w:ind w:right="352"/>
              <w:spacing w:after="0" w:line="159" w:lineRule="exact"/>
              <w:rPr>
                <w:sz w:val="20"/>
                <w:szCs w:val="20"/>
                <w:color w:val="auto"/>
              </w:rPr>
            </w:pPr>
            <w:r>
              <w:rPr>
                <w:rFonts w:ascii="Arial" w:cs="Arial" w:eastAsia="Arial" w:hAnsi="Arial"/>
                <w:sz w:val="14"/>
                <w:szCs w:val="14"/>
                <w:color w:val="auto"/>
              </w:rPr>
              <w:t>(70)%</w:t>
            </w: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2"/>
            <w:vMerge w:val="restart"/>
          </w:tcPr>
          <w:p>
            <w:pPr>
              <w:jc w:val="right"/>
              <w:ind w:right="352"/>
              <w:spacing w:after="0"/>
              <w:rPr>
                <w:sz w:val="20"/>
                <w:szCs w:val="20"/>
                <w:color w:val="auto"/>
              </w:rPr>
            </w:pPr>
            <w:r>
              <w:rPr>
                <w:rFonts w:ascii="Arial" w:cs="Arial" w:eastAsia="Arial" w:hAnsi="Arial"/>
                <w:sz w:val="14"/>
                <w:szCs w:val="14"/>
                <w:color w:val="auto"/>
              </w:rPr>
              <w:t>(45)%</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11,202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20,188</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22,588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5,359</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17,229</w:t>
            </w:r>
          </w:p>
        </w:tc>
        <w:tc>
          <w:tcPr>
            <w:tcW w:w="12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INSTITUTIONAL ASSET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MANAGEMENT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Management Fees</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1,367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1,166</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17%</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Realized and Unrealized Gains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(Losses) Including Performance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Fees</w:t>
            </w: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(2,779)</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rPr>
              <w:t>(1,196)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672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1,041</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(369)</w:t>
            </w:r>
          </w:p>
        </w:tc>
        <w:tc>
          <w:tcPr>
            <w:tcW w:w="1280" w:type="dxa"/>
            <w:vAlign w:val="bottom"/>
            <w:gridSpan w:val="2"/>
            <w:shd w:val="clear" w:color="auto" w:fill="CCEEFF"/>
          </w:tcPr>
          <w:p>
            <w:pPr>
              <w:jc w:val="right"/>
              <w:ind w:right="352"/>
              <w:spacing w:after="0" w:line="159" w:lineRule="exact"/>
              <w:rPr>
                <w:sz w:val="20"/>
                <w:szCs w:val="20"/>
                <w:color w:val="auto"/>
              </w:rPr>
            </w:pPr>
            <w:r>
              <w:rPr>
                <w:rFonts w:ascii="Arial" w:cs="Arial" w:eastAsia="Arial" w:hAnsi="Arial"/>
                <w:sz w:val="14"/>
                <w:szCs w:val="14"/>
                <w:color w:val="auto"/>
              </w:rPr>
              <w:t>(132)%</w:t>
            </w:r>
          </w:p>
        </w:tc>
        <w:tc>
          <w:tcPr>
            <w:tcW w:w="8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2"/>
            <w:vMerge w:val="restart"/>
          </w:tcPr>
          <w:p>
            <w:pPr>
              <w:jc w:val="right"/>
              <w:ind w:right="512"/>
              <w:spacing w:after="0"/>
              <w:rPr>
                <w:sz w:val="20"/>
                <w:szCs w:val="20"/>
                <w:color w:val="auto"/>
              </w:rPr>
            </w:pPr>
            <w:r>
              <w:rPr>
                <w:rFonts w:ascii="Arial" w:cs="Arial" w:eastAsia="Arial" w:hAnsi="Arial"/>
                <w:sz w:val="14"/>
                <w:szCs w:val="14"/>
                <w:color w:val="auto"/>
              </w:rPr>
              <w:t>NM</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NM</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(1,412)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right"/>
              <w:ind w:right="332"/>
              <w:spacing w:after="0" w:line="155"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863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1,232</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(369)</w:t>
            </w:r>
          </w:p>
        </w:tc>
        <w:tc>
          <w:tcPr>
            <w:tcW w:w="12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WEALTH MANAGEMENT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NM</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rPr>
              <w:t>Investment Management Revenue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2"/>
            <w:vMerge w:val="restart"/>
          </w:tcPr>
          <w:p>
            <w:pPr>
              <w:jc w:val="right"/>
              <w:ind w:right="352"/>
              <w:spacing w:after="0"/>
              <w:rPr>
                <w:sz w:val="20"/>
                <w:szCs w:val="20"/>
                <w:color w:val="auto"/>
              </w:rPr>
            </w:pPr>
            <w:r>
              <w:rPr>
                <w:rFonts w:ascii="Arial" w:cs="Arial" w:eastAsia="Arial" w:hAnsi="Arial"/>
                <w:sz w:val="14"/>
                <w:szCs w:val="14"/>
                <w:color w:val="auto"/>
              </w:rPr>
              <w:t>(53)%</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line="20" w:lineRule="exact"/>
              <w:rPr>
                <w:sz w:val="1"/>
                <w:szCs w:val="1"/>
                <w:color w:val="auto"/>
              </w:rPr>
            </w:pPr>
          </w:p>
        </w:tc>
      </w:tr>
      <w:tr>
        <w:trPr>
          <w:trHeight w:val="156"/>
        </w:trPr>
        <w:tc>
          <w:tcPr>
            <w:tcW w:w="25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9,440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20,158</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23,451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6,591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16,860</w:t>
            </w:r>
          </w:p>
        </w:tc>
        <w:tc>
          <w:tcPr>
            <w:tcW w:w="128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Revenue, net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1,731</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(243)</w:t>
            </w:r>
          </w:p>
        </w:tc>
        <w:tc>
          <w:tcPr>
            <w:tcW w:w="1280" w:type="dxa"/>
            <w:vAlign w:val="bottom"/>
            <w:gridSpan w:val="2"/>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NM</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5"/>
        </w:trPr>
        <w:tc>
          <w:tcPr>
            <w:tcW w:w="2560" w:type="dxa"/>
            <w:vAlign w:val="bottom"/>
            <w:gridSpan w:val="2"/>
          </w:tcPr>
          <w:p>
            <w:pPr>
              <w:spacing w:after="0" w:line="145" w:lineRule="exact"/>
              <w:rPr>
                <w:sz w:val="20"/>
                <w:szCs w:val="20"/>
                <w:color w:val="auto"/>
              </w:rPr>
            </w:pPr>
            <w:r>
              <w:rPr>
                <w:rFonts w:ascii="Arial" w:cs="Arial" w:eastAsia="Arial" w:hAnsi="Arial"/>
                <w:sz w:val="14"/>
                <w:szCs w:val="14"/>
                <w:color w:val="auto"/>
              </w:rPr>
              <w:t>NET INVESTMENT</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tcPr>
          <w:p>
            <w:pPr>
              <w:ind w:left="200"/>
              <w:spacing w:after="0" w:line="159" w:lineRule="exact"/>
              <w:rPr>
                <w:sz w:val="20"/>
                <w:szCs w:val="20"/>
                <w:color w:val="auto"/>
              </w:rPr>
            </w:pPr>
            <w:r>
              <w:rPr>
                <w:rFonts w:ascii="Arial" w:cs="Arial" w:eastAsia="Arial" w:hAnsi="Arial"/>
                <w:sz w:val="14"/>
                <w:szCs w:val="14"/>
                <w:color w:val="auto"/>
              </w:rPr>
              <w:t>MANAGEMENT REVENUES</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8,027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21,889</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24,000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7,383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16,617</w:t>
            </w:r>
          </w:p>
        </w:tc>
        <w:tc>
          <w:tcPr>
            <w:tcW w:w="1280" w:type="dxa"/>
            <w:vAlign w:val="bottom"/>
            <w:gridSpan w:val="2"/>
          </w:tcPr>
          <w:p>
            <w:pPr>
              <w:jc w:val="right"/>
              <w:ind w:right="352"/>
              <w:spacing w:after="0" w:line="159" w:lineRule="exact"/>
              <w:rPr>
                <w:sz w:val="20"/>
                <w:szCs w:val="20"/>
                <w:color w:val="auto"/>
              </w:rPr>
            </w:pPr>
            <w:r>
              <w:rPr>
                <w:rFonts w:ascii="Arial" w:cs="Arial" w:eastAsia="Arial" w:hAnsi="Arial"/>
                <w:sz w:val="14"/>
                <w:szCs w:val="14"/>
                <w:color w:val="auto"/>
              </w:rPr>
              <w:t>(63)%</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INVESTMENT MANAGEMENT</w:t>
            </w: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EXPENSES</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31,878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42,298</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20,420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8,867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11,553</w:t>
            </w:r>
          </w:p>
        </w:tc>
        <w:tc>
          <w:tcPr>
            <w:tcW w:w="128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rPr>
              <w:t>(25)%</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5,728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27,032</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(79)%</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5"/>
        </w:trPr>
        <w:tc>
          <w:tcPr>
            <w:tcW w:w="2560" w:type="dxa"/>
            <w:vAlign w:val="bottom"/>
            <w:gridSpan w:val="2"/>
          </w:tcPr>
          <w:p>
            <w:pPr>
              <w:spacing w:after="0" w:line="145" w:lineRule="exact"/>
              <w:rPr>
                <w:sz w:val="20"/>
                <w:szCs w:val="20"/>
                <w:color w:val="auto"/>
              </w:rPr>
            </w:pPr>
            <w:r>
              <w:rPr>
                <w:rFonts w:ascii="Arial" w:cs="Arial" w:eastAsia="Arial" w:hAnsi="Arial"/>
                <w:sz w:val="14"/>
                <w:szCs w:val="14"/>
                <w:color w:val="auto"/>
              </w:rPr>
              <w:t>TOTAL INVESTMENT</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tcPr>
          <w:p>
            <w:pPr>
              <w:ind w:left="200"/>
              <w:spacing w:after="0" w:line="159" w:lineRule="exact"/>
              <w:rPr>
                <w:sz w:val="20"/>
                <w:szCs w:val="20"/>
                <w:color w:val="auto"/>
              </w:rPr>
            </w:pPr>
            <w:r>
              <w:rPr>
                <w:rFonts w:ascii="Arial" w:cs="Arial" w:eastAsia="Arial" w:hAnsi="Arial"/>
                <w:sz w:val="14"/>
                <w:szCs w:val="14"/>
                <w:color w:val="auto"/>
              </w:rPr>
              <w:t>MANAGEMENT EXPENSES</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37,606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69,330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21,161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9,608</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11,553</w:t>
            </w:r>
          </w:p>
        </w:tc>
        <w:tc>
          <w:tcPr>
            <w:tcW w:w="1280" w:type="dxa"/>
            <w:vAlign w:val="bottom"/>
            <w:gridSpan w:val="2"/>
          </w:tcPr>
          <w:p>
            <w:pPr>
              <w:jc w:val="right"/>
              <w:ind w:right="352"/>
              <w:spacing w:after="0" w:line="159" w:lineRule="exact"/>
              <w:rPr>
                <w:sz w:val="20"/>
                <w:szCs w:val="20"/>
                <w:color w:val="auto"/>
              </w:rPr>
            </w:pPr>
            <w:r>
              <w:rPr>
                <w:rFonts w:ascii="Arial" w:cs="Arial" w:eastAsia="Arial" w:hAnsi="Arial"/>
                <w:sz w:val="14"/>
                <w:szCs w:val="14"/>
                <w:color w:val="auto"/>
              </w:rPr>
              <w:t>(46)%</w:t>
            </w: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INVESTMENT MANAGEMENT</w:t>
            </w: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CONTRIBUTION (LOSS)</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(29,579)</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32"/>
              <w:spacing w:after="0"/>
              <w:rPr>
                <w:sz w:val="20"/>
                <w:szCs w:val="20"/>
                <w:color w:val="auto"/>
              </w:rPr>
            </w:pPr>
            <w:r>
              <w:rPr>
                <w:rFonts w:ascii="Arial" w:cs="Arial" w:eastAsia="Arial" w:hAnsi="Arial"/>
                <w:sz w:val="14"/>
                <w:szCs w:val="14"/>
                <w:color w:val="auto"/>
              </w:rPr>
              <w:t>(47,441)</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332"/>
              <w:spacing w:after="0"/>
              <w:rPr>
                <w:sz w:val="20"/>
                <w:szCs w:val="20"/>
                <w:color w:val="auto"/>
              </w:rPr>
            </w:pPr>
            <w:r>
              <w:rPr>
                <w:rFonts w:ascii="Arial" w:cs="Arial" w:eastAsia="Arial" w:hAnsi="Arial"/>
                <w:sz w:val="14"/>
                <w:szCs w:val="14"/>
                <w:color w:val="auto"/>
              </w:rPr>
              <w:t>(2,225)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5,064</w:t>
            </w:r>
          </w:p>
        </w:tc>
        <w:tc>
          <w:tcPr>
            <w:tcW w:w="1280" w:type="dxa"/>
            <w:vAlign w:val="bottom"/>
            <w:gridSpan w:val="2"/>
            <w:shd w:val="clear" w:color="auto" w:fill="CCEEFF"/>
          </w:tcPr>
          <w:p>
            <w:pPr>
              <w:jc w:val="right"/>
              <w:ind w:right="392"/>
              <w:spacing w:after="0"/>
              <w:rPr>
                <w:sz w:val="20"/>
                <w:szCs w:val="20"/>
                <w:color w:val="auto"/>
              </w:rPr>
            </w:pPr>
            <w:r>
              <w:rPr>
                <w:rFonts w:ascii="Arial" w:cs="Arial" w:eastAsia="Arial" w:hAnsi="Arial"/>
                <w:sz w:val="14"/>
                <w:szCs w:val="14"/>
                <w:color w:val="auto"/>
              </w:rPr>
              <w:t>38%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120" w:hanging="112"/>
        <w:spacing w:after="0" w:line="239" w:lineRule="auto"/>
        <w:tabs>
          <w:tab w:leader="none" w:pos="1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aggregate successor and predecessor results for the period presented. The aggregated results are non-U.S. GAAP financial measures and should not be used in isolation or substitution of predecessor and successor results. The aggregated results help to provide a full-year presentation of our results for comparability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Management Results of Operations</w:t>
      </w:r>
    </w:p>
    <w:p>
      <w:pPr>
        <w:spacing w:after="0" w:line="9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Our private equity funds earn management fees of 2% on committed capital during their investment period and 1% of invested capital thereafter. By January 2008, all of our U.S. funds completed their investment period, causing a step-down in fees, resulting in a 35% decline in management fees earned for the twelve months ended December 31, 2008. Management fees for our Mexican private equity fund, EMCP II, were calculated on committed capital. For the twelve months ended December 31, 2008, management fee calculations for U.S. funds were based on $431.6 million of invested capital at 1% and $113.0 million of committed capital. For the twelve months ended December 31, 2007, the management fee for U.S. funds was based on $76.9 million of invested capital at 1% and $637.9 million of committed capital at 2%. We expect management fees to decline over the remaining life of the funds as the funds continue to exit their portfolio company holdings. Our Institutional Asset and Wealth Management businesses earn management fees based on total assets under management.</w:t>
      </w:r>
    </w:p>
    <w:p>
      <w:pPr>
        <w:spacing w:after="0" w:line="10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addition, the General Partner of private equity funds earns carried interest of 20% based on the Fund’s performance, provided it exceeds preferred return hurdles to its limited partners. The Company owns 8%-9% of the carried interest earned by the General Partner of ECP II and 100% of Carried Interest in EMCP II. For the twelve months ended December 31, 2008, ECP II generated $1.7 million of Realized and Unrealized Gains Including Carried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versus 2007</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Investment Management Revenue was $8.0 million in 2008, a decrease of $13.9 million, or 63%, as compared to $21.9 million in 2007. Private Equity revenue, as a component of Investment Management Revenue, was $11.2 million in 2008, a decrease of $9.0 million, or 45%, compared to Private Equity revenue of $20.2 million in 2007. Private Equity revenue declined in 2008 compared to 2007 primarily due to the step-down in management fees in 2008 from 2% of committed capital to 1% of invested capital in accordance with the ECP II partnership agreement in addition to smaller realized and unrealized gains, including carried interest.</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Institutional Asset Management generated $1.4 million of negative revenue in 2008, compared to revenue of $0 million in 2007. The decrease is primarily attributable to losses in EAM’s business and losses on our direct investment in some of EAM’s funds, as well as our share of the start-up losses associated with HighView, which are included in Institutional Asset Management in Realized and Unrealized Gains (Losses) Including Performance Fees. This decrease was partially offset by increases in fees related to the growth of assets under management in PCB.</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Wealth Management, our portion of the losses incurred in conjunction with our start-up investment in Pan was partially offset by nominal revenue earned by EWM.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 net, was $(1.4) million in 2008, a decrease of $3.1 million versus 2007, reflecting interest expense related to the Senior Notes.</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Investment Management Operating Expenses were $31.9 million in 2008, a decrease of $10.4 million, versus expenses of $42.3 million in 2007. Employee Compensation and Benefits Expense, as a component of Operating Expenses, was $22.8 million in 2008, a $3.5 million, or 13% decrease compared to 2007. Non-compensation expenses as a component of Operating Expenses in 2008 decreased by $6.9 million, or 43%, compared to 2007 as a result of decreases in Professional Fees. The decrease in Professional Fees is primarily related to the completion of projects associated with Sarbanes-Oxley compliance, as well as renegotiated contracts with vendors.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Total Other Expenses of $5.7 million in 2008 relate to Acquisition and Transition Costs of $1.6 million incurred in connection with acquisitions currently in process and Special Charges of $4.1 million in connection with the write-off of certain capitalized costs associated with ECP capital raising and employee severance, accelerated share-based vesting and other costs related to the closing of the Los Angeles office. Other Expenses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$27.0 million in 2007 relate to the costs incurred for the vesting of Evercore LP partnership units and stock-based awards associated with the completion of the Follow-On Offering in May 2007 of $25.9 million and a stock-based component of a severance agreement of $1.1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versus 2006</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Net Investment Management Revenue was $21.9 million in 2007, a decrease of $2.1 million, or 9%, as compared to $24.0 million in the same period of 2006. Private Equity revenue, as a component of Investment Management Revenue, was $20.2 million in 2007, a decrease of $2.4 million, or 11%, compared to Private Equity revenue of $22.6 million in 2006. The overall decline is due to portfolio company transaction fees earned for the 2006 period that did not recur during 2007. In addition, predecessor results include the results of entities that were not contributed to the Successor Company pursuant to the IPO. Institutional Asset Management generated minimal revenue in 2007, a decrease of $0.9 million compared to 2006. The decrease is attributable to losses in EAM’s business and losses on our direct investment in some of EAM’s funds, partially offset by increases in fees related to the strong growth of assets under management in the U.S. and Mexico. Other Revenue, net, was $1.7 million for 2007, an increase of $1.2 million versus 2006.</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Investment Management expenses were $69.3 million in 2007, an increase of $48.2 million, versus expenses of $21.2 million in 2006. Investment Management expenses for 2007 include charges related to the costs incurred for the vesting of Evercore LP partnership units and stock-based awards associated with the completion of the Follow-On Offering in May of 2007.</w:t>
      </w:r>
    </w:p>
    <w:p>
      <w:pPr>
        <w:spacing w:after="0" w:line="14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Investment Management Operating Expenses were $42.3 million in 2007 as compared to $20.4 million in 2006, a 107% increase. Employee Compensation and Benefits Expense, as a component of Operating Expenses, was $26.3 million in 2007, a $16.6 million, or 171% increase compared to 2006. Employee Compensation and Benefits Expense for 2006 is not comparable to 2007 because Employee Compensation and Benefits Expense prior to the IPO excluded payments to Senior Managing Directors for services rendered, as these payments were reflected as distributions to Members and not reflected as an expense. The 2007 increase is partially due to the costs of new Senior Managing Director hires. Non-compensation expenses as a component of Operating Expenses in 2007 increased by $5.3 million, compared to 2006 as a result of incremental costs associated with Sarbanes-Oxley compliance, costs incurred relating to new business initiatives, the increased occupancy expense relating to the new office space and non-compensation costs associated with the inclusion of Protego’s asset management business for all of 2007, partially offset by the decrease in spending for professional fees and a decrease in travel and related expenses.</w:t>
      </w:r>
    </w:p>
    <w:p>
      <w:pPr>
        <w:spacing w:after="0" w:line="108"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Other Expenses of $27.0 million in 2007 relate to the costs incurred for the vesting of Evercore LP partnership units and stock-based awards associated with the completion of the Follow-On Offering in May 2007 of $25.9 million and a stock-based component of a severance agreement of $1.1 million.</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operating cash flows are primarily influenced by the timing and receipt of advisory and investment management fees, and the payment of operating expenses, including bonuses to our Senior Managing Directors and employees and interest expense on our Senior Notes. Our investing and financing cash flows are primarily influenced by activities to deploy capital to fund investments, raise capital through the issuance of stock or debt, payment of dividends and other periodic distributions to our stakeholders. Advisory fees are generally collected within 90 days of billing. Fees from our private equity investment management activities are generally collected over a half year period from billing. The Company traditionally pays a substantial portion of incentive compensation to personnel in the Advisory business and to executive officers during the first three months of each calendar year with respect to the prior year’s results. The Company generally makes dividend payments and other distributions on a quarterly basis. A summary of the Company’s operating, investing and financing cash flows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14"/>
                <w:szCs w:val="14"/>
                <w:b w:val="1"/>
                <w:bCs w:val="1"/>
                <w:i w:val="1"/>
                <w:iCs w:val="1"/>
                <w:color w:val="auto"/>
                <w:w w:val="85"/>
              </w:rPr>
              <w:t>Consolidated</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i w:val="1"/>
                <w:iCs w:val="1"/>
                <w:color w:val="auto"/>
                <w:w w:val="84"/>
              </w:rPr>
              <w:t>Combined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00" w:type="dxa"/>
            <w:vAlign w:val="bottom"/>
            <w:gridSpan w:val="6"/>
          </w:tcPr>
          <w:p>
            <w:pPr>
              <w:jc w:val="right"/>
              <w:ind w:right="1072"/>
              <w:spacing w:after="0" w:line="142" w:lineRule="exact"/>
              <w:rPr>
                <w:sz w:val="20"/>
                <w:szCs w:val="20"/>
                <w:color w:val="auto"/>
              </w:rPr>
            </w:pPr>
            <w:r>
              <w:rPr>
                <w:rFonts w:ascii="Arial" w:cs="Arial" w:eastAsia="Arial" w:hAnsi="Arial"/>
                <w:sz w:val="14"/>
                <w:szCs w:val="14"/>
                <w:b w:val="1"/>
                <w:bCs w:val="1"/>
                <w:color w:val="auto"/>
                <w:w w:val="97"/>
              </w:rPr>
              <w:t>For the Twelve Months Ended</w:t>
            </w:r>
          </w:p>
        </w:tc>
        <w:tc>
          <w:tcPr>
            <w:tcW w:w="80" w:type="dxa"/>
            <w:vAlign w:val="bottom"/>
          </w:tcPr>
          <w:p>
            <w:pPr>
              <w:spacing w:after="0"/>
              <w:rPr>
                <w:sz w:val="12"/>
                <w:szCs w:val="12"/>
                <w:color w:val="auto"/>
              </w:rPr>
            </w:pPr>
          </w:p>
        </w:tc>
        <w:tc>
          <w:tcPr>
            <w:tcW w:w="18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For the Period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8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through</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800" w:type="dxa"/>
            <w:vAlign w:val="bottom"/>
          </w:tcPr>
          <w:p>
            <w:pPr>
              <w:spacing w:after="0"/>
              <w:rPr>
                <w:sz w:val="14"/>
                <w:szCs w:val="14"/>
                <w:color w:val="auto"/>
              </w:rPr>
            </w:pPr>
          </w:p>
        </w:tc>
        <w:tc>
          <w:tcPr>
            <w:tcW w:w="18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7"/>
              </w:rPr>
              <w:t>December 31, 2006</w:t>
            </w:r>
          </w:p>
        </w:tc>
        <w:tc>
          <w:tcPr>
            <w:tcW w:w="2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August 9, 2006</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8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SUCCESSOR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00" w:type="dxa"/>
            <w:vAlign w:val="bottom"/>
            <w:gridSpan w:val="3"/>
          </w:tcPr>
          <w:p>
            <w:pPr>
              <w:jc w:val="right"/>
              <w:ind w:right="558"/>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(4,713)</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(34,495)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Noncash charges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38,739</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32"/>
              <w:spacing w:after="0"/>
              <w:rPr>
                <w:sz w:val="20"/>
                <w:szCs w:val="20"/>
                <w:color w:val="auto"/>
              </w:rPr>
            </w:pPr>
            <w:r>
              <w:rPr>
                <w:rFonts w:ascii="Arial" w:cs="Arial" w:eastAsia="Arial" w:hAnsi="Arial"/>
                <w:sz w:val="18"/>
                <w:szCs w:val="18"/>
                <w:color w:val="auto"/>
              </w:rPr>
              <w:t>117,777</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operating activities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(15,756)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62,836</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(29,393)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880"/>
              <w:spacing w:after="0"/>
              <w:rPr>
                <w:sz w:val="20"/>
                <w:szCs w:val="20"/>
                <w:color w:val="auto"/>
              </w:rPr>
            </w:pPr>
            <w:r>
              <w:rPr>
                <w:rFonts w:ascii="Arial" w:cs="Arial" w:eastAsia="Arial" w:hAnsi="Arial"/>
                <w:sz w:val="18"/>
                <w:szCs w:val="18"/>
                <w:color w:val="auto"/>
              </w:rPr>
              <w:t>Operating activities</w:t>
            </w: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18,270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732"/>
              <w:spacing w:after="0"/>
              <w:rPr>
                <w:sz w:val="20"/>
                <w:szCs w:val="20"/>
                <w:color w:val="auto"/>
              </w:rPr>
            </w:pPr>
            <w:r>
              <w:rPr>
                <w:rFonts w:ascii="Arial" w:cs="Arial" w:eastAsia="Arial" w:hAnsi="Arial"/>
                <w:sz w:val="18"/>
                <w:szCs w:val="18"/>
                <w:color w:val="auto"/>
              </w:rPr>
              <w:t>146,118</w:t>
            </w:r>
          </w:p>
        </w:tc>
        <w:tc>
          <w:tcPr>
            <w:tcW w:w="80" w:type="dxa"/>
            <w:vAlign w:val="bottom"/>
          </w:tcPr>
          <w:p>
            <w:pPr>
              <w:spacing w:after="0"/>
              <w:rPr>
                <w:sz w:val="19"/>
                <w:szCs w:val="19"/>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(5,407)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(112,235)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(7,508)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90,029</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72"/>
              <w:spacing w:after="0"/>
              <w:rPr>
                <w:sz w:val="20"/>
                <w:szCs w:val="20"/>
                <w:color w:val="auto"/>
              </w:rPr>
            </w:pPr>
            <w:r>
              <w:rPr>
                <w:rFonts w:ascii="Arial" w:cs="Arial" w:eastAsia="Arial" w:hAnsi="Arial"/>
                <w:sz w:val="18"/>
                <w:szCs w:val="18"/>
                <w:color w:val="auto"/>
              </w:rPr>
              <w:t>(10,519)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52,455</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(78,562)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(13,637)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w w:val="99"/>
              </w:rPr>
              <w:t>Net Increase (Decrease) in Cash and Cash Equivalents</w:t>
            </w: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(17,573)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732"/>
              <w:spacing w:after="0"/>
              <w:rPr>
                <w:sz w:val="20"/>
                <w:szCs w:val="20"/>
                <w:color w:val="auto"/>
              </w:rPr>
            </w:pPr>
            <w:r>
              <w:rPr>
                <w:rFonts w:ascii="Arial" w:cs="Arial" w:eastAsia="Arial" w:hAnsi="Arial"/>
                <w:sz w:val="18"/>
                <w:szCs w:val="18"/>
                <w:color w:val="auto"/>
              </w:rPr>
              <w:t>128,055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49,062</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(21,497)</w:t>
            </w: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193,475</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732"/>
              <w:spacing w:after="0"/>
              <w:rPr>
                <w:sz w:val="20"/>
                <w:szCs w:val="20"/>
                <w:color w:val="auto"/>
              </w:rPr>
            </w:pPr>
            <w:r>
              <w:rPr>
                <w:rFonts w:ascii="Arial" w:cs="Arial" w:eastAsia="Arial" w:hAnsi="Arial"/>
                <w:sz w:val="18"/>
                <w:szCs w:val="18"/>
                <w:color w:val="auto"/>
              </w:rPr>
              <w:t>65,420</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16,358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193,475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65,420</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2008. </w:t>
      </w:r>
      <w:r>
        <w:rPr>
          <w:rFonts w:ascii="Arial" w:cs="Arial" w:eastAsia="Arial" w:hAnsi="Arial"/>
          <w:sz w:val="16"/>
          <w:szCs w:val="16"/>
          <w:color w:val="auto"/>
        </w:rPr>
        <w:t>Cash and Cash Equivalents were $175.9 million at December 31, 2008, a decrease of $17.6 million versus Cash and Cash Equivalents of $193.5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at December 31, 2007. Operating activities during 2008 resulted in a net inflow of $18.3 million, principally driven by cash earnings and a decrease in accounts receivable. Cash of $112.2 million was used in investing activities primarily to purchase marketable securities, as well as the Company’s commitment to contribute capital to the private equity funds and Pan. Financing activities during the year provided cash of $90.0 million, primarily due to $120.0 million of cash inflows from the Senior Notes and Warrants issued, offset by $16.6 million of distributions to Evercore LP limited partners, $7.1 million in Treasury Stock Purchased and dividends paid of $6.2 million.</w:t>
      </w:r>
    </w:p>
    <w:p>
      <w:pPr>
        <w:spacing w:after="0" w:line="114" w:lineRule="exact"/>
        <w:rPr>
          <w:sz w:val="20"/>
          <w:szCs w:val="20"/>
          <w:color w:val="auto"/>
        </w:rPr>
      </w:pPr>
    </w:p>
    <w:p>
      <w:pPr>
        <w:ind w:right="240" w:firstLine="456"/>
        <w:spacing w:after="0" w:line="296" w:lineRule="auto"/>
        <w:rPr>
          <w:sz w:val="20"/>
          <w:szCs w:val="20"/>
          <w:color w:val="auto"/>
        </w:rPr>
      </w:pPr>
      <w:r>
        <w:rPr>
          <w:rFonts w:ascii="Arial" w:cs="Arial" w:eastAsia="Arial" w:hAnsi="Arial"/>
          <w:sz w:val="16"/>
          <w:szCs w:val="16"/>
          <w:b w:val="1"/>
          <w:bCs w:val="1"/>
          <w:i w:val="1"/>
          <w:iCs w:val="1"/>
          <w:color w:val="auto"/>
        </w:rPr>
        <w:t>2007</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and Cash Equivalents were $193.5 million at December 31, 2007, an increase of $128.1 million versus Cash and Cash Equivalents of $65.4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at December 31, 2006. During 2007, cash of $146.1 million was provided by operating activities. Cash of $7.5 million was used in investing activities primarily for the Purchase of Furniture, Equipment and Leasehold Improvements, and Investments. Financing activities during the period used cash of $10.5 million, primarily due to $42.1 million of cash provided by the Follow-On Offering, which was offset by $4.7 million of dividends paid and $47.2 million used for distributions to Evercore LP partners, excluding Evercore Partners Inc.</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2006</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and Cash Equivalents were $65.4 million at December 31, 2006, an increase of $49.1 million from August 9, 2006, the last day prior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Reorganization. During the 144 day period ended December 31, 2006, cash of $5.4 million was used by operating activities, comprised mainly of net income of $3.8 million offset by net changes in operating activities of $9.2 million. Cash of $2.0 million was provided by investing activities, principally from proceeds from the sale of investments and cash acquired in the acquisition of Braveheart, offset by purchases of furniture, equipment and leasehold improvements and investments. Financing activities during the period provided cash of $52.5 million, primarily from the net proceeds from the IPO, offset by payments for short-term borrowings and notes payable associated with the purchase of Protego.</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and Cash Equivalents at August 9, 2006 decreased $21.5 million from December 31, 2005. During the 221 day period ended August 9, 2006, cash of $59.1 million was provided by operating activities, comprised mainly of net income of $66.0 million, offset by net changes in operating activities of $6.8 million. Cash of $2.1 million was used in investing activities, principally for the purchase of Investments and Furniture, Equipment and Leasehold Improvements, offset by cash provided by Proceeds from Investments, and cash received in the acquisition of Protego. Financing activities during the period used cash of $78.6 million, primarily for distributions to Senior Managing Directors, offset by increases in short-term borrowings.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Our current assets include Cash and Cash Equivalents, Marketable Securities and Accounts Receivable in relation to advisory and investment management revenues. Our current liabilities include accrued expenses and employee compensation. We traditionally have made payments for employee bonuses and year-end distributions to partners in the first quarter of the year with respect to the prior year’s results. Cash distributions related to partnership tax allocations are made to the partners of Evercore LP in accordance with the Company’s corporate estimated payment calendar; these payments are made prior the end of each calendar quarter. In addition, dividends on Class A common shares are paid when and if declared by the Board of Directors, which is generally quarterly.</w:t>
      </w:r>
    </w:p>
    <w:p>
      <w:pPr>
        <w:spacing w:after="0" w:line="10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regularly monitor our liquidity position, including cash, other significant working capital current assets and liabilities, long-term liabilities, lease commitments, principal investment commitments related to our Investment Management business, dividends on Class A Common shares, partnership distributions and other matters relating to liquidity and compliance with regulatory requirements. Our liquidity is highly dependent on our revenue stream from our operations, principally from our advisory business, which is a function of closing transactions and earning success fees, the timing and realization of which is irregular and dependent upon factors which are not subject to our control. Our revenue stream funds the payment of our expenses, including annual bonus payments, interest expense on our Senior Notes and income taxes. Payments made for income taxes may be reduced by deductions taken for the increase in tax basis of the Company’s investment in Evercore LP. These tax deductions, when realized, require payment under our long-term liability, Amounts Due Pursuant to Tax Receivable Agreements. The Company intends to fund these payments from cash and cash equivalents on hand, principally derived from cash flows from the operations of the Company. These tax deductions, when realized, will result in cash otherwise required to satisfy tax obligations becoming available for other purposes. Our Management Committee meets regularly to monitor our liquidity and cash positions against our short and long-term obligations as well as our capital commitments. The result of this review contributes to management’s recommendation to the Board of Directors as to the level of quarterly dividend payments, if any.</w:t>
      </w:r>
    </w:p>
    <w:p>
      <w:pPr>
        <w:spacing w:after="0" w:line="12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a financial services firm, our businesses are materially affected by conditions in the global financial markets and economic conditions throughout the world. The domestic and global markets and economic conditions have been disruptive and volatile throughout 2008. In particular, the cost and availability of funding have been and may continue to be adversely affected by illiquid credit markets and wider credit spreads. In addition, global equity prices have declined significantly. As a result of concern about the stability of markets and the strength of counterparties, many lenders and institutional investors have materially reduced funding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many borrowers. Revenue generated by our Advisory business is directly related to the number and value of the transactions in which we are involved. During periods of unfavorable market or economic conditions, the number and value of M&amp;A transactions generally has decreased, thereby reducing the demand for our advisory services among financial services companies seeking such engagements. Our operating results are adversely affected by any such reduction in the number or value of mergers and acquisitions transactions. This reduction has been partially offset by an increase in restructuring advisory activity. In addition, as a result of the market and general economic downturn, the private equity funds that our Investment Management business manages have been impacted by reduced valuations and opportunities to exit and realize value from their investments and our Institutional Asset Management business has generated lower revenue because investment advisory fees we receive typically are in part based on the market value of underlying publicly traded securities. Our profitability may also be adversely affected by our fixed costs and the possibility that we would be unable to scale back other costs within a time frame sufficient to match any decreases in revenue relating to changes in market and economic conditions.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second quarter of 2008, our Board of Directors authorized the repurchase of up to $25.0 million of Evercore Class A Common Stock and/or Evercore LP partnership units. Under this share repurchase program, shares may be repurchased from time to time in open market transactions, in privately-negotiated transactions or otherwise. The timing and the actual number of shares repurchased will depend on a variety of factors, including legal requirements, price and economic and market conditions. This program may be suspended or discontinued at any time and does not have a specified expiration date. In addition, periodically, we buy shares into treasury from our employees in order to fund the minimum tax requirements for share deliveries under our share equity plan. During 2008, we repurchased 466,843 shares for $7.1 million related to share deliveries.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5"/>
          <w:szCs w:val="15"/>
          <w:color w:val="auto"/>
        </w:rPr>
        <w:t>On August 21, 2008, we entered into a Purchase Agreement with Mizuho pursuant to which Mizuho purchased from us $120.0 million principal amount of Senior Notes and the Warrants to purchase 5,454,545 shares of Evercore Class A Common Stock at $22.00 per share expiring in 2020. The holder of the Senior Notes may require us to purchase, for cash, all or any portion of the holder’s Senior Notes upon a change of control of the Company for a price equal to the aggregate accreted amount of such Senior Notes, (the “Accreted Amount”), plus accrued and unpaid interest. Senior Notes held by Mizuho will be redeemable at the Accreted Amount at the option of the Company at any time within 90 days following the date on which Mizuho notifies the Company that it is terminating their new strategic alliance agreement (“Strategic Alliance Agreement”). Senior Notes held by any holder other than Mizuho will be redeemable at the Accreted Amount (plus accrued and unpaid interest) at the option of the Company at any time beginning on the third anniversary of closing. In the event of a default under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indenture, the trustee or holders of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Senior Notes may declare that the Accreted Amount is immediately due and payable.</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agreement, Mizuho may not transfer the Senior Notes or Warrants until either (a) after August 16, 2012 or (b) if the Strategic Alliance Agreement is terminated, the later of the third anniversary of the closing of the purchase of the Senior Notes and Warrants or one year following such termination. We have a right of first offer on any proposed transfer by Mizuho of the Warrants, Common Stock purchased in the open market or acquired by exercise of the Warrants and associated Common Stock issued as dividends.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exercise price for the Warrants is payable, at the option of the holder of the Warrants, either in cash or by tender of Senior Notes at the Accreted Amount, at any point in time.</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Pursuant to the agreement with Mizuho, Evercore is subject to certain covenants. As of December 31, 2008, we are in compliance with all of these covenants.</w:t>
      </w:r>
    </w:p>
    <w:p>
      <w:pPr>
        <w:spacing w:after="0" w:line="132" w:lineRule="exact"/>
        <w:rPr>
          <w:sz w:val="20"/>
          <w:szCs w:val="20"/>
          <w:color w:val="auto"/>
        </w:rPr>
      </w:pPr>
    </w:p>
    <w:p>
      <w:pPr>
        <w:jc w:val="center"/>
        <w:ind w:left="360" w:right="340"/>
        <w:spacing w:after="0" w:line="440" w:lineRule="auto"/>
        <w:rPr>
          <w:sz w:val="20"/>
          <w:szCs w:val="20"/>
          <w:color w:val="auto"/>
        </w:rPr>
      </w:pPr>
      <w:r>
        <w:rPr>
          <w:rFonts w:ascii="Arial" w:cs="Arial" w:eastAsia="Arial" w:hAnsi="Arial"/>
          <w:sz w:val="18"/>
          <w:szCs w:val="18"/>
          <w:color w:val="auto"/>
        </w:rPr>
        <w:t>We have made certain capital commitments, with respect to our investment activities, which are included in the Contractual Obligations section below. 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PCB maintains a line of credit with BBVA Bancomer to fund its trading activities on an intra-day and overnight basis. The intra-day facility is approximately $7.2 million and secured with trading securities. No interest is charged on the intra-day facility. The overnight facility is charged the Inter-Bank Balance Interest Rate plus 10 basis points and is secured with trading securities. There have been no significant draw downs on PCB’s line of credit since August 10, 2006. The line of credit is renewable annually.</w:t>
      </w:r>
    </w:p>
    <w:p>
      <w:pPr>
        <w:spacing w:after="0" w:line="14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Certain of the Company’s subsidiaries are registered entities and are subject to capital requirements. For further information see Note 19 to our consolidated/combined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Financing Activity at PCB</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PCB enters into repurchase agreements with clients seeking overnight money market returns whereby PCB transfers to the clients Mexican government securities in exchange for cash and concurrently agrees to repurchase the securities at a future date for an amount equal to the cash exchanged plus a stipulated premium or interest factor. PCB deploys the cash received from, and acquires the securities deliverable to, clients under these repurchase arrangements by purchasing securities in the open market or by entering into reverse repurchase agreements with unrelated third parties. We account for these repurchase and reverse repurchase agreements as collateralized financing transactions. We record a liability on our Consolidated Statements of Financial Condition in relation to repurchase transactions executed with clients as Securities Sold Under Agreements to Repurchase. We record as assets on our Consolidated Statements of Financial Condition, Financial Instruments Owned and Pledged as Collateral at Fair Value (where we have acquired the securities deliverable to clients under these repurchase arrangements by purchasing securities in the open market) and Securities Purchased Under Agreements to Resell (where we have acquired the securities deliverable to clients under these repurchase agreements by entering into reverse repurchase agreements with unrelated third parties). These Mexican government securities included in Financial Instruments Owned and Pledged as Collateral at Fair Value on the Consolidated Statements of Financial Condition have an estimated average time to maturity of approximately 3.0 years and are pledged as collateral against repurchase agreements which are collateralized financing agreements. Generally, collateral is posted equal to the contract value at inception and is subject to market changes. These repurchase agreements are primarily with institutional customer accounts managed by PCB, are generally in overnight maturities and permit the counterparty to pledge the securities. Increases and decreases in asset and liability levels related to these transactions are a function of growth in PCB’s assets under management as well as clients’ investment allocations requiring positioning in repurchase transactions.</w:t>
      </w:r>
    </w:p>
    <w:p>
      <w:pPr>
        <w:spacing w:after="0" w:line="12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PCB has procedures in place to monitor the daily risk limits for positions taken, as well as the credit risk based on the collateral pledged under these agreements against their contract value from inception to maturity date. The daily risk measure is Value at Risk, which is a statistical measure, at a 98% confidence level, of the potential losses from adverse market movements in an ordinary market environment based on a historical simulation using the prior year’s historical data. PCB’s Risk Management Committee meets monthly to analyze the overall market risk exposure based on positions taken, as well as the credit risk based on the collateral pledged under these agreements against the contract value from inception to maturity date.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and 2007, a summary of PCB’s assets, liabilities and risk measures related to its collateralized financing activities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116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100"/>
              <w:spacing w:after="0" w:line="129" w:lineRule="exact"/>
              <w:rPr>
                <w:sz w:val="20"/>
                <w:szCs w:val="20"/>
                <w:color w:val="auto"/>
              </w:rPr>
            </w:pPr>
            <w:r>
              <w:rPr>
                <w:rFonts w:ascii="Arial" w:cs="Arial" w:eastAsia="Arial" w:hAnsi="Arial"/>
                <w:sz w:val="14"/>
                <w:szCs w:val="14"/>
                <w:b w:val="1"/>
                <w:bCs w:val="1"/>
                <w:color w:val="auto"/>
                <w:w w:val="92"/>
              </w:rPr>
              <w:t>Market Value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w w:val="94"/>
              </w:rPr>
              <w:t>Market Value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Collateral Received or</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Collateral Received or</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(Pledged)</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(Pledged)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rPr>
              <w:t>Financial Instruments Owned and Pledged as Collateral at Fair</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220"/>
              <w:spacing w:after="0"/>
              <w:rPr>
                <w:sz w:val="20"/>
                <w:szCs w:val="20"/>
                <w:color w:val="auto"/>
              </w:rPr>
            </w:pPr>
            <w:r>
              <w:rPr>
                <w:rFonts w:ascii="Arial" w:cs="Arial" w:eastAsia="Arial" w:hAnsi="Arial"/>
                <w:sz w:val="18"/>
                <w:szCs w:val="18"/>
                <w:color w:val="auto"/>
              </w:rPr>
              <w:t>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191,507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226,868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Purchased Under Agreements to Resell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92,770</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92,580</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58,834</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284,277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285,702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(284,745)</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(284,086)</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(285,864)</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(285,508)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Assets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Risk Measures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Value at Risk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Sensitivity to a 100 basis point increase in the interest rate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Sensitivity to a 100 basis point decrease in the interest rate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42"/>
              <w:spacing w:after="0"/>
              <w:rPr>
                <w:sz w:val="20"/>
                <w:szCs w:val="20"/>
                <w:color w:val="auto"/>
              </w:rPr>
            </w:pPr>
            <w:r>
              <w:rPr>
                <w:rFonts w:ascii="Arial" w:cs="Arial" w:eastAsia="Arial" w:hAnsi="Arial"/>
                <w:sz w:val="14"/>
                <w:szCs w:val="14"/>
                <w:b w:val="1"/>
                <w:bCs w:val="1"/>
                <w:color w:val="auto"/>
                <w:w w:val="86"/>
              </w:rPr>
              <w:t>Payment Due by Period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2"/>
                <w:szCs w:val="12"/>
                <w:color w:val="auto"/>
              </w:rPr>
            </w:pPr>
          </w:p>
        </w:tc>
        <w:tc>
          <w:tcPr>
            <w:tcW w:w="9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Less than 1 year</w:t>
            </w:r>
          </w:p>
        </w:tc>
        <w:tc>
          <w:tcPr>
            <w:tcW w:w="4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1-3 years</w:t>
            </w:r>
          </w:p>
        </w:tc>
        <w:tc>
          <w:tcPr>
            <w:tcW w:w="44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3-5 years</w:t>
            </w:r>
          </w:p>
        </w:tc>
        <w:tc>
          <w:tcPr>
            <w:tcW w:w="44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More than 5 years</w:t>
            </w:r>
          </w:p>
        </w:tc>
        <w:tc>
          <w:tcPr>
            <w:tcW w:w="2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gridSpan w:val="4"/>
          </w:tcPr>
          <w:p>
            <w:pPr>
              <w:jc w:val="center"/>
              <w:ind w:left="22"/>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158,154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22,501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99,307</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Agreements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Notes Payable, Including Interest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194,880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12,480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163,680</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Commitments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183,374</w:t>
            </w:r>
          </w:p>
        </w:tc>
        <w:tc>
          <w:tcPr>
            <w:tcW w:w="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95,288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61,000</w:t>
            </w: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10,462</w:t>
            </w:r>
          </w:p>
        </w:tc>
        <w:tc>
          <w:tcPr>
            <w:tcW w:w="20" w:type="dxa"/>
            <w:vAlign w:val="bottom"/>
          </w:tcPr>
          <w:p>
            <w:pPr>
              <w:spacing w:after="0"/>
              <w:rPr>
                <w:sz w:val="18"/>
                <w:szCs w:val="18"/>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576,697</w:t>
            </w: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36,985</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137,671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82"/>
              </w:rPr>
              <w:t>102,118</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299,923</w:t>
            </w:r>
          </w:p>
        </w:tc>
      </w:tr>
      <w:tr>
        <w:trPr>
          <w:trHeight w:val="20"/>
        </w:trPr>
        <w:tc>
          <w:tcPr>
            <w:tcW w:w="5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conjunction with the lease of office space in New York and San Francisco, the Company has entered into unsecured letters of credit in the amounts of $4.9 million.</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As of December 31, 2008, we are unable to make reasonably reliable estimates of the period of cash settlement with the respective taxing authority, hence, per Financial Accounting Standards Board (“FASB”) Interpretation No. 48, </w:t>
      </w:r>
      <w:r>
        <w:rPr>
          <w:rFonts w:ascii="Arial" w:cs="Arial" w:eastAsia="Arial" w:hAnsi="Arial"/>
          <w:sz w:val="16"/>
          <w:szCs w:val="16"/>
          <w:i w:val="1"/>
          <w:iCs w:val="1"/>
          <w:color w:val="auto"/>
        </w:rPr>
        <w:t>Accounting for Uncertainty in Income Taxes – an Interpretation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109 </w:t>
      </w:r>
      <w:r>
        <w:rPr>
          <w:rFonts w:ascii="Arial" w:cs="Arial" w:eastAsia="Arial" w:hAnsi="Arial"/>
          <w:sz w:val="16"/>
          <w:szCs w:val="16"/>
          <w:color w:val="auto"/>
        </w:rPr>
        <w:t>(“FIN 48”), unrecognized tax benefits have been excluded from the above commitments and contractual obligations.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PCB maintains a line of credit with BBVA Bancomer to fund its trading activities on an intra-day and overnight basis. The intra-day facility is approximately $7.2 million and secured with trading securities. No interest is charged on the intra-day facility. The overnight facility is charged the Inter-Bank Balance Interest Rate plus 10 basis points and is secured with trading securities. There have been no significant draw downs on PCB’s line of credit since August 10, 2006. The line of credit is renewable annually.</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had total commitments (not reflected on our Consolidated Statements of Financial Condition) relating to future principal investments of $11.3 million and $9.1 million as of December 31, 2008 and 2007, respectively. We expect to fund these commitments with cash flows from operations. We may be required to fund these commitments at any time through December 2017, depending on the timing and level of investments by our private equity funds.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July 21, 2008, we committed to purchase preferred capital of approximately $10.0 million to Pan, an asset management firm. The capital is expected to be drawn down as needed over a period of seven years, subject to the Board’s approval. As of December 31, 2008, we had $5.1 million of remaining capital committed to Pan.</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September 8, 2008, we committed, subject to certain conditions, to a capital investment of $150.0 million to HighView, a newly-created asset management firm. The Capital is expected to be drawn down as needed over a period of four to five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January 2009, we agreed to lease 5,632 square feet of office space at One Post Office Square, Boston, Massachusetts.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leasing activities that expose us to any liability that is not reflected in our consolidated/combined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9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Company, in general, is not a capital-intensive organization and as such, is not subject to significant market or credit risks. Nevertheless, we have established procedures to assess both the market and credit risk, as well as specific investment risk, exchange rate risk and credit risk related to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Investment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Private Equity Funds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Through our principal investments in our private equity funds and our ability to earn carried interest from these funds, we face exposure to changes in the estimated fair value of the companies in which these funds invest. The Company’s professionals devote considerable time and resources to work closely with the portfolio company’s management to assist in designing a business strategy, allocating capital and other resources and evaluating expansion or acquisition opportunities. On a quarterly basis, we perform a comprehensive analysis and valuation of all of the portfolio companies. Our analysis includes reviewing the current market conditions and valuations of each portfolio company.</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estimate that a hypothetical 10% adverse change in the value of the private equity funds would result in a decrease in pre-tax income of approximately $2.8 million for 2008.</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Institutional Asset Management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maintains an equity interest in EAM of 32.7% and also invests in funds managed by EAM. The funds managed by EAM principally hold readily-marketable investment securities. EAM is an institutional investment management firm that manages deep value investments in small- and mid-capitalization companies. As of December 31, 2008, the fair value of the Company’s investments with EAM products, based on closing prices, was $3.5 million.</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estimate that a hypothetical 10% adverse change in the market value of the investments would have resulted in a decrease in pre-tax income of approximately $0.3 million for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PCB</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“-Liquidity and Capital Resources” above for a discussion of collateralized financing transactions at PCB.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foreign operations in Mexico and the United Kingdom; their respective functional currencies are the Mexican peso and British pound sterling. We have not entered into any transactions to hedge our exposure to these foreign exchange fluctuations through the use of derivative instruments or otherwise. An appreciation or depreciation of any of these currencies relative to the U.S. dollar would result in an adverse or beneficial impact to the Company’s financial results. A significant portion of the Company’s Latin American revenues have been, and will continue to be, derived from contracts denominated in Mexican pesos and Evercore Europe’s revenue and expenses are denominated primarily in British pounds sterling and euro. Historically, the value of these foreign currencies has fluctuated relative to the U.S. dollar. For the twelve months ended December 31, 2008, the net impact of the fluctuation of foreign currencies recorded in Accumulated Other Comprehensive Income was $16.4 million. It is currently not our intention to hedge our foreign currency exposure and we will reevaluate this policy from time to time.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Accounts Receivable consists primarily of advisory fees and expense reimbursements billed to our clients. Receivables are reported net of any allowance for doubtful accounts. We maintain an allowance for bad debts to provide coverage for probable losses from our customer receivables and derive the estimate through specific identification for the allowance for doubtful accounts and an assessment of the client’s creditworthiness. As of December 31, 2008 and 2007, total receivables amounted to $22.8 million and $47.7 million, respectively, net of an allowance. The Advisory and Investment Management receivables collection periods generally are within 90 days of invoice. The collection period for restructuring transactions and private equity fee receivables may exceed 90 days. The Company recorded minimal bad debt expense for each of the twelve months ended December 31, 2008 and 2007.</w:t>
      </w:r>
    </w:p>
    <w:p>
      <w:pPr>
        <w:spacing w:after="0" w:line="12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With respect to our Marketable Securities portfolio, which is comprised of highly rated corporate bonds and equity securities, we manage our credit risk exposure by limiting concentration risk and maintaining minimum credit quality. As of December 31, 2008, we had Marketable Securities of $103.5 million, of which 97% were corporate bonds with Moody’s ratings ranging from A1 to Aaa and 3% were equity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consolidated/combined financial statements included in this report are prepared in conformity with U.S. GAAP, which requires management to make estimates and assumptions regarding future events that affect the amounts reported in our consolidated/combined financial statements and their notes, including reported amounts of assets, liabilities, revenue and expenses, and related disclosure of contingent assets and liabilities. We base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Advisory Revenue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earn advisory revenue through: 1) success fees based on the occurrence of certain events which may include announcements or completion of various types of financial transactions; 2) retainer arrangements and 3) fairness opinions.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recognize advisory revenue when: 1) there is evidence of an arrangement with a client; 2) agreed upon services have been provided; 3) fees are fixed or determinable and 4) collection is reasonably assured.</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Fees paid in advance of services rendered are initially recorded as deferred revenue, which is recorded within Other Current Liabilities on the Consolidated Statements of Financial Condition, and recognized as advisory revenue ratably over the period in which the related service is rendered.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Management Revenue</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Investment Management business generates revenues from the management of the private equity funds and client assets invested with Institutional Asset Management and Wealth Management teams.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Private Equity </w:t>
      </w:r>
      <w:r>
        <w:rPr>
          <w:rFonts w:ascii="Arial" w:cs="Arial" w:eastAsia="Arial" w:hAnsi="Arial"/>
          <w:sz w:val="18"/>
          <w:szCs w:val="18"/>
          <w:color w:val="auto"/>
        </w:rPr>
        <w:t>– Revenue from the Private equity sector is earned from Management fees, Portfolio Company fees, Performance fees and Gains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on investments in private equity funds.</w:t>
      </w:r>
    </w:p>
    <w:p>
      <w:pPr>
        <w:spacing w:after="0" w:line="51" w:lineRule="exact"/>
        <w:rPr>
          <w:sz w:val="20"/>
          <w:szCs w:val="20"/>
          <w:color w:val="auto"/>
        </w:rPr>
      </w:pPr>
    </w:p>
    <w:p>
      <w:pPr>
        <w:ind w:left="460" w:right="60" w:firstLine="438"/>
        <w:spacing w:after="0" w:line="255" w:lineRule="auto"/>
        <w:rPr>
          <w:sz w:val="20"/>
          <w:szCs w:val="20"/>
          <w:color w:val="auto"/>
        </w:rPr>
      </w:pPr>
      <w:r>
        <w:rPr>
          <w:rFonts w:ascii="Arial" w:cs="Arial" w:eastAsia="Arial" w:hAnsi="Arial"/>
          <w:sz w:val="18"/>
          <w:szCs w:val="18"/>
          <w:color w:val="auto"/>
        </w:rPr>
        <w:t>Management fees are contractually based and are derived from Investment Management services provided in originating, recommending and consummating investment opportunities to private equity funds. Management fees are typically paid in advance on committed capital during the private equity funds’ investment period, and on invested capital, thereafter. Management fees are initially recorded as deferred revenue and revenue is recognized ratably, thereafter, over the period during which services are provided. The management fees may provide for a management fee offset for certain portfolio company fees we earn.</w:t>
      </w:r>
    </w:p>
    <w:p>
      <w:pPr>
        <w:spacing w:after="0" w:line="62" w:lineRule="exact"/>
        <w:rPr>
          <w:sz w:val="20"/>
          <w:szCs w:val="20"/>
          <w:color w:val="auto"/>
        </w:rPr>
      </w:pPr>
    </w:p>
    <w:p>
      <w:pPr>
        <w:ind w:left="460" w:right="360" w:firstLine="438"/>
        <w:spacing w:after="0" w:line="256" w:lineRule="auto"/>
        <w:rPr>
          <w:sz w:val="20"/>
          <w:szCs w:val="20"/>
          <w:color w:val="auto"/>
        </w:rPr>
      </w:pPr>
      <w:r>
        <w:rPr>
          <w:rFonts w:ascii="Arial" w:cs="Arial" w:eastAsia="Arial" w:hAnsi="Arial"/>
          <w:sz w:val="18"/>
          <w:szCs w:val="18"/>
          <w:color w:val="auto"/>
        </w:rPr>
        <w:t>We also record performance fee revenue from the private equity funds when the returns on the private equity funds’ investments exceed certain threshold minimums. These performance fees, or carried interest, are computed in accordance with the underlying private equity funds’ partnership agreements and are based on investment performance over the life of each investment partnership. Performance fees are recorded as revenue as earned pursuant to the client agreements.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Institutional Asset Management – </w:t>
      </w:r>
      <w:r>
        <w:rPr>
          <w:rFonts w:ascii="Arial" w:cs="Arial" w:eastAsia="Arial" w:hAnsi="Arial"/>
          <w:sz w:val="16"/>
          <w:szCs w:val="16"/>
          <w:color w:val="auto"/>
        </w:rPr>
        <w:t>Revenue earned from the Institutional Asset Management sector includes PCB’s management fees and performance fees.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revenue is derived from investing customer funds in financing transactions with PCB. These transactions are primarily repurchases and resales of Mexican government securities. Revenue and expenses associated with these transactions are recognized over the term of the repurchase or resale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Wealth Management </w:t>
      </w:r>
      <w:r>
        <w:rPr>
          <w:rFonts w:ascii="Arial" w:cs="Arial" w:eastAsia="Arial" w:hAnsi="Arial"/>
          <w:sz w:val="18"/>
          <w:szCs w:val="18"/>
          <w:color w:val="auto"/>
        </w:rPr>
        <w:t>– Revenue from the Wealth Management sector is earned through the management of client investment portfolios. Market value based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fees are charged as a percentage of assets under management and recognized on an accrual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The valuation of our investments in securities and of our financial investments in the funds we manage impacts both the carrying value of direct investments and the determination of performance fees, including carried interest. Effective January 1, 2008, we adopted SFAS No.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(“SFAS 157”), which among other things requires enhanced disclosures about financial instruments carried at fair value. See Note 10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consolidated/combined financial statements for further information. Level I investments include financial instruments owned and pledged as collateral and our investments in equity securities. Level II investments include our investments in corporate bonds. We do not have any Level III investments as of December 31, 2008.</w:t>
      </w:r>
    </w:p>
    <w:p>
      <w:pPr>
        <w:spacing w:after="0" w:line="14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We adopted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xml:space="preserve"> (“SFAS 159”), which permits entities the option to measure most financial instruments and certain other items at fair value at specified election dates and to report related unrealized gains and losses in earnings. We adopted SFAS 159 on January 1, 2008 and have not elected to apply the fair value option to any specific financial assets or liabilities.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Investments in corporate bonds are accounted for as available-for-sale under SFAS No.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These securities are carried at fair value on the Consolidated Statements of Financial Condition. Unrealized gains and losses are reported as net</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or decreases to Accumulated Other Comprehensive Income (Loss), net of tax, while realized gains and losses on these securities are determined using the specific identification method and are included in Other Revenue on the Consolidated/Combined Statements of Operations.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invest in readily-marketable equity securities which are managed by EAM. These securities are valued using quoted market prices on applicable exchanges or markets. The realized and unrealized gains and losses on these securities are included in the Consolidated/Combined Statements of Operations in Investment Management Revenue.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transactions are recorded as of the trade date.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Instruments Owned and Pledged as Collateral at Fair Value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Financial Instruments Owned and Pledged as Collateral at Fair Value consist principally of foreign government obligations, which are recorded on a trade-date basis and are stated at quoted market values. Related gains and losses are reflected in Other Revenue on the Consolidated/Combined Statements of Operations. We pledge our Financial Instruments Owned and Pledged as Collateral at Fair Value to collateralize certain financing arrangements which permits the counterparty to pledge the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Share-Based Payments </w:t>
      </w:r>
      <w:r>
        <w:rPr>
          <w:rFonts w:ascii="Arial" w:cs="Arial" w:eastAsia="Arial" w:hAnsi="Arial"/>
          <w:sz w:val="15"/>
          <w:szCs w:val="15"/>
          <w:color w:val="auto"/>
        </w:rPr>
        <w:t>– On December 16, 2004, the FASB issued SFAS 123(R). SFAS 123(R) supersedes Accounting Principles Board (“APB”) Opinion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xml:space="preserve"> and amends SFAS No. 95, </w:t>
      </w:r>
      <w:r>
        <w:rPr>
          <w:rFonts w:ascii="Arial" w:cs="Arial" w:eastAsia="Arial" w:hAnsi="Arial"/>
          <w:sz w:val="15"/>
          <w:szCs w:val="15"/>
          <w:i w:val="1"/>
          <w:iCs w:val="1"/>
          <w:color w:val="auto"/>
        </w:rPr>
        <w:t>Statement of Cash Flows</w:t>
      </w:r>
      <w:r>
        <w:rPr>
          <w:rFonts w:ascii="Arial" w:cs="Arial" w:eastAsia="Arial" w:hAnsi="Arial"/>
          <w:sz w:val="15"/>
          <w:szCs w:val="15"/>
          <w:color w:val="auto"/>
        </w:rPr>
        <w:t>. Generally, the approach in SFAS 123(R) is similar to the approach described in SFAS 123. However, SFAS 123(R) requires all share-based payments to employees, including grants of employee stock options, to be recognized in the Consolidated/Combined Statements of Operations based on their fair values. Prior to the Reorganization, we operated as a series of partnerships, limited liability companies and Subchapter S corporations and had not historically issued stock-based compensation awards. We adopted SFAS 123(R) on January 1, 2006. See “– Key Financial Measures – Operating Expenses – Employee Compensation and Benefits Expense” for a discussion on expense related to vesting of Evercore LP partnership units, RSUs and shares of restricted stock that we recorded as a result of the completion of the Follow-On Offering.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Post Reorganization, on August 10, 2006, we account for the unvested Evercore LP partnership units as compensation paid to employees in accordance with SFAS 123(R), which we adopted effective January 1, 2006. Compensation cost is accrued if it is probable that the performance condition will be achieved and is not accrued if it is not probable that the performance condition will be achieved. See Note 17 to the consolidated/combined financial statements herein for further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part of the process of preparing our consolidated/combined financial statements, we are required to estimate income taxes in each of the jurisdictions in which we operate. Significant management judgment is required in determining our provision for income taxes, our deferred tax assets and liabilities and any valuation allowance recorded against our net deferred tax assets. This process requires us to estimate our actual current tax liability and to assess temporary differences resulting from differing book versus tax treatment of items, such as deferred revenue, compensation and benefits expense, unrealized gains on long-term investments and depreciation. These temporary differences result in deferred tax assets and liabilities, which are included within our Consolidated Statements of Financial Condition. We must then assess the likelihood that deferred tax assets will be recovered from future taxable income, and, to the extent we believe that recovery is not more-likely-than- not, we must establish a valuation allowance.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us in making this assessment. If actual results differ from these estimates or we adjust these estimates in future periods, we may need to adjust our valuation allowance, which could materially impact our consolidated financial condition and results of operations.</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in order to determine the quarterly tax rate, we are required to estimate full year pre-tax income and the related annual income tax expense in each jurisdiction. Changes in the geographic mix or estimated level of annual pre-tax income can affect our overall effective tax rate. Furthermore, our interpretation of complex tax laws may impact our measurement of current and deferred income taxes.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January 1, 2007, we adopted FIN 48. FIN 48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FIN 48 also requires the recognition of liabilities created by differences between tax positions taken in a tax return and amounts recognized in the financial statements. See Note 20 to the consolidated/combined financial statements herein in regard to the impact of the adoption of FIN 48 on our consolidated/combined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Goodwill is tested for impairment annually or more frequently if circumstances indicate impairment may have occurred. In this process, we make estimates and assumptions in order to determine the fair value of our reporting units and to project future earnings using valuation techniques, including a discounted cash flow model. We use our best judgment and information available to us at the time to perform this review. Because our assumptions and estimates are used in projecting future earnings as part of the valuation, actual results could differ. Intangible assets with finite lives are amortized over their estimated useful lives which are reviewed for impairment whenever events or changes in circumstances indicate the carrying amount of such assets may not be recoverable as prescribed by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In addition to Goodwill and Intangible Assets, we annually assess our Equity Method Investments for impairment per APB Opinion No. 18, </w:t>
      </w:r>
      <w:r>
        <w:rPr>
          <w:rFonts w:ascii="Arial" w:cs="Arial" w:eastAsia="Arial" w:hAnsi="Arial"/>
          <w:sz w:val="16"/>
          <w:szCs w:val="16"/>
          <w:i w:val="1"/>
          <w:iCs w:val="1"/>
          <w:color w:val="auto"/>
        </w:rPr>
        <w:t>The Equity Method of</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Investments in Common Stock</w:t>
      </w:r>
      <w:r>
        <w:rPr>
          <w:rFonts w:ascii="Arial" w:cs="Arial" w:eastAsia="Arial" w:hAnsi="Arial"/>
          <w:sz w:val="16"/>
          <w:szCs w:val="16"/>
          <w:color w:val="auto"/>
        </w:rPr>
        <w:t>. For the year ended December 31, 2008, we concluded there was no impairment of Goodwill, Intangible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Investments.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SFAS 141(</w:t>
      </w:r>
      <w:r>
        <w:rPr>
          <w:rFonts w:ascii="Arial" w:cs="Arial" w:eastAsia="Arial" w:hAnsi="Arial"/>
          <w:sz w:val="16"/>
          <w:szCs w:val="16"/>
          <w:color w:val="auto"/>
        </w:rPr>
        <w:t>R) – In December 2007, the FASB issued SFAS No. 141(R),</w:t>
      </w:r>
      <w:r>
        <w:rPr>
          <w:rFonts w:ascii="Arial" w:cs="Arial" w:eastAsia="Arial" w:hAnsi="Arial"/>
          <w:sz w:val="16"/>
          <w:szCs w:val="16"/>
          <w:i w:val="1"/>
          <w:iCs w:val="1"/>
          <w:color w:val="auto"/>
        </w:rPr>
        <w:t xml:space="preserve"> Business Combinations </w:t>
      </w:r>
      <w:r>
        <w:rPr>
          <w:rFonts w:ascii="Arial" w:cs="Arial" w:eastAsia="Arial" w:hAnsi="Arial"/>
          <w:sz w:val="16"/>
          <w:szCs w:val="16"/>
          <w:color w:val="auto"/>
        </w:rPr>
        <w:t>(“SFAS 141(R)”). SFAS 141(R) requires the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entity in a business combination to recognize the full fair value of assets acquired and liabilities assumed in the transaction (whether a full or partial acquisition); establishes the acquisition-date fair value as the measurement objective for all assets acquired and liabilities assumed; requires expensing of most transaction and restructuring costs; and requires the acquirer to disclose to investors and other users all of the information needed to evaluate and understand the nature and financial effect of the business combination. SFAS 141(R) is effective for business combinations for which the acquisition date is on or after the beginning of the first annual reporting period beginning on or after December 15, 2008. As a result of the issuance of SFAS 141(R), we recognized Acquisition and Transition Costs for the twelve months ended December 31, 2008. See Note 5 to the consolidated/combined financial statements herein.</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 xml:space="preserve">SFAS 160 – </w:t>
      </w:r>
      <w:r>
        <w:rPr>
          <w:rFonts w:ascii="Arial" w:cs="Arial" w:eastAsia="Arial" w:hAnsi="Arial"/>
          <w:sz w:val="18"/>
          <w:szCs w:val="18"/>
          <w:color w:val="auto"/>
        </w:rPr>
        <w:t>In December 2007, the FASB issued SFAS No. 160,</w:t>
      </w:r>
      <w:r>
        <w:rPr>
          <w:rFonts w:ascii="Arial" w:cs="Arial" w:eastAsia="Arial" w:hAnsi="Arial"/>
          <w:sz w:val="18"/>
          <w:szCs w:val="18"/>
          <w:i w:val="1"/>
          <w:iCs w:val="1"/>
          <w:color w:val="auto"/>
        </w:rPr>
        <w:t xml:space="preserve"> Noncontrolling Interests in Consolidated Financial Statements – an amendment of ARB No. 51 </w:t>
      </w:r>
      <w:r>
        <w:rPr>
          <w:rFonts w:ascii="Arial" w:cs="Arial" w:eastAsia="Arial" w:hAnsi="Arial"/>
          <w:sz w:val="18"/>
          <w:szCs w:val="18"/>
          <w:color w:val="auto"/>
        </w:rPr>
        <w:t>(“SFAS 160”), which amends ARB 51. SFAS 160 requires reporting entities to present noncontrolling (minority) interests as equity (as opposed to as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or mezzanine equity) and provides guidance on the accounting for transactions between an entity and noncontrolling interests. SFAS 160 is effective for fiscal years, and interim periods within those fiscal years, beginning on or after December 15, 2008. The adoption of SFAS 160 will affect the presentation of the Consolidated Financial Statements, primarily by including non-controlling interest as a separate component of stockholders’ equity on the Consolidated Statements of Financial Condition.</w:t>
      </w:r>
    </w:p>
    <w:p>
      <w:pPr>
        <w:spacing w:after="0" w:line="14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FSP FAS 157-3 </w:t>
      </w:r>
      <w:r>
        <w:rPr>
          <w:rFonts w:ascii="Arial" w:cs="Arial" w:eastAsia="Arial" w:hAnsi="Arial"/>
          <w:sz w:val="16"/>
          <w:szCs w:val="16"/>
          <w:color w:val="auto"/>
        </w:rPr>
        <w:t>– In October 2008, the FASB issued FASB Staff Position (“FSP”) No. FAS 157-3,</w:t>
      </w:r>
      <w:r>
        <w:rPr>
          <w:rFonts w:ascii="Arial" w:cs="Arial" w:eastAsia="Arial" w:hAnsi="Arial"/>
          <w:sz w:val="16"/>
          <w:szCs w:val="16"/>
          <w:i w:val="1"/>
          <w:iCs w:val="1"/>
          <w:color w:val="auto"/>
        </w:rPr>
        <w:t xml:space="preserve"> Determining the Fair Value of a Financial Asset When the Market For That Asset Is Not Active </w:t>
      </w:r>
      <w:r>
        <w:rPr>
          <w:rFonts w:ascii="Arial" w:cs="Arial" w:eastAsia="Arial" w:hAnsi="Arial"/>
          <w:sz w:val="16"/>
          <w:szCs w:val="16"/>
          <w:color w:val="auto"/>
        </w:rPr>
        <w:t>(“FSP FAS 157-3”), which clarifies the application of SFAS 157 in an inactive market and provides an illustrative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to demonstrate how the fair value of a financial asset is determined when the market for that financial asset is inactive. FSP FAS 157-3 was effective upon issuance and did not have a material impact on our financial condition, results of operations or cash flows.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FSP FAS 140-4 and FIN 46(R)-8 </w:t>
      </w:r>
      <w:r>
        <w:rPr>
          <w:rFonts w:ascii="Arial" w:cs="Arial" w:eastAsia="Arial" w:hAnsi="Arial"/>
          <w:sz w:val="16"/>
          <w:szCs w:val="16"/>
          <w:color w:val="auto"/>
        </w:rPr>
        <w:t>– In December 2008, the FASB issued FSP No. FAS 140-4 and FIN 46(R)-8,</w:t>
      </w:r>
      <w:r>
        <w:rPr>
          <w:rFonts w:ascii="Arial" w:cs="Arial" w:eastAsia="Arial" w:hAnsi="Arial"/>
          <w:sz w:val="16"/>
          <w:szCs w:val="16"/>
          <w:i w:val="1"/>
          <w:iCs w:val="1"/>
          <w:color w:val="auto"/>
        </w:rPr>
        <w:t xml:space="preserve"> Disclosures by Public Entities (Enterprises) about Transfers of Financial Assets and Interests in Variable Interest Entities. </w:t>
      </w:r>
      <w:r>
        <w:rPr>
          <w:rFonts w:ascii="Arial" w:cs="Arial" w:eastAsia="Arial" w:hAnsi="Arial"/>
          <w:sz w:val="16"/>
          <w:szCs w:val="16"/>
          <w:color w:val="auto"/>
        </w:rPr>
        <w:t>This FSP requires public entities to provide additional disclosures about transfers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It also amends FASB Interpretation No. 46 to require public enterprises, including sponsors that have a variable interest in a variable interest entity, to provide additional disclosures about their involvements with variable interest entities. The disclosures required by this FSP are intended to provide greater transparency to financial statement users about a transferor’s continuing involvement with transferred financial assets and an enterprise’s involvement with variable interest entities and qualifying special purpose entities. This FSP is effective for the first reporting period ending on or after December 15, 2008 and was adopted as of December 31, 2008.</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FSP EITF 99-20-1</w:t>
      </w:r>
      <w:r>
        <w:rPr>
          <w:rFonts w:ascii="Arial" w:cs="Arial" w:eastAsia="Arial" w:hAnsi="Arial"/>
          <w:sz w:val="16"/>
          <w:szCs w:val="16"/>
          <w:color w:val="auto"/>
        </w:rPr>
        <w:t>– In January 2009, the FASB issued FSP No. EITF 99-20-1,</w:t>
      </w:r>
      <w:r>
        <w:rPr>
          <w:rFonts w:ascii="Arial" w:cs="Arial" w:eastAsia="Arial" w:hAnsi="Arial"/>
          <w:sz w:val="16"/>
          <w:szCs w:val="16"/>
          <w:i w:val="1"/>
          <w:iCs w:val="1"/>
          <w:color w:val="auto"/>
        </w:rPr>
        <w:t xml:space="preserve"> Amendments to the Impairment Guidance of EITF Issue No. 99-20</w:t>
      </w:r>
      <w:r>
        <w:rPr>
          <w:rFonts w:ascii="Arial" w:cs="Arial" w:eastAsia="Arial" w:hAnsi="Arial"/>
          <w:sz w:val="16"/>
          <w:szCs w:val="16"/>
          <w:color w:val="auto"/>
        </w:rPr>
        <w:t>.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FSP amends the impairment guidance in EITF Issue No. 99-20, </w:t>
      </w:r>
      <w:r>
        <w:rPr>
          <w:rFonts w:ascii="Arial" w:cs="Arial" w:eastAsia="Arial" w:hAnsi="Arial"/>
          <w:sz w:val="16"/>
          <w:szCs w:val="16"/>
          <w:i w:val="1"/>
          <w:iCs w:val="1"/>
          <w:color w:val="auto"/>
        </w:rPr>
        <w:t>Recognition of Interest Income and Impairment on Purchased Beneficial Interests and Beneficial</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Interests That Continue to Be Held by a Transferor in Securitized Financial Assets</w:t>
      </w:r>
      <w:r>
        <w:rPr>
          <w:rFonts w:ascii="Arial" w:cs="Arial" w:eastAsia="Arial" w:hAnsi="Arial"/>
          <w:sz w:val="16"/>
          <w:szCs w:val="16"/>
          <w:color w:val="auto"/>
        </w:rPr>
        <w:t>, to achieve more consistent determination of whether an other-than-temporary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impairment has occurred. The FSP also retains and emphasizes the objective of an other-than-temporary impairment assessment and the related disclosure requirements in FASB Statement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and other related guidance. The FSP is effective for interim and annual reporting periods ending after December 15, 2008. The adoption of FSP No. EITF 99-20-1 did not have a material impact on our financial condition, results of operations or cash flows.</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 xml:space="preserve">EITF 08-6 </w:t>
      </w:r>
      <w:r>
        <w:rPr>
          <w:rFonts w:ascii="Arial" w:cs="Arial" w:eastAsia="Arial" w:hAnsi="Arial"/>
          <w:sz w:val="18"/>
          <w:szCs w:val="18"/>
          <w:color w:val="auto"/>
        </w:rPr>
        <w:t>– In November 2008, the FASB issued EITF 08-6,</w:t>
      </w:r>
      <w:r>
        <w:rPr>
          <w:rFonts w:ascii="Arial" w:cs="Arial" w:eastAsia="Arial" w:hAnsi="Arial"/>
          <w:sz w:val="18"/>
          <w:szCs w:val="18"/>
          <w:i w:val="1"/>
          <w:iCs w:val="1"/>
          <w:color w:val="auto"/>
        </w:rPr>
        <w:t xml:space="preserve"> Equity Method Investment Accounting Considerations. </w:t>
      </w:r>
      <w:r>
        <w:rPr>
          <w:rFonts w:ascii="Arial" w:cs="Arial" w:eastAsia="Arial" w:hAnsi="Arial"/>
          <w:sz w:val="18"/>
          <w:szCs w:val="18"/>
          <w:color w:val="auto"/>
        </w:rPr>
        <w:t>The objective of this EITF is to</w:t>
      </w:r>
      <w:r>
        <w:rPr>
          <w:rFonts w:ascii="Arial" w:cs="Arial" w:eastAsia="Arial" w:hAnsi="Arial"/>
          <w:sz w:val="18"/>
          <w:szCs w:val="18"/>
          <w:i w:val="1"/>
          <w:iCs w:val="1"/>
          <w:color w:val="auto"/>
        </w:rPr>
        <w:t xml:space="preserve"> </w:t>
      </w:r>
      <w:r>
        <w:rPr>
          <w:rFonts w:ascii="Arial" w:cs="Arial" w:eastAsia="Arial" w:hAnsi="Arial"/>
          <w:sz w:val="18"/>
          <w:szCs w:val="18"/>
          <w:color w:val="auto"/>
        </w:rPr>
        <w:t>clarify the accounting for certain transactions and impairment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considerations involving equity method investments. This issue is effective in fiscal years beginning on or after December 15, 2008. The adoption of EITF 08-6 is not expected to have a material impact on our financial condition, results of operations or cash flows.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EITF 07-5 </w:t>
      </w:r>
      <w:r>
        <w:rPr>
          <w:rFonts w:ascii="Arial" w:cs="Arial" w:eastAsia="Arial" w:hAnsi="Arial"/>
          <w:sz w:val="18"/>
          <w:szCs w:val="18"/>
          <w:color w:val="auto"/>
        </w:rPr>
        <w:t>– In December 2008, the FASB issued EITF 07-5,</w:t>
      </w:r>
      <w:r>
        <w:rPr>
          <w:rFonts w:ascii="Arial" w:cs="Arial" w:eastAsia="Arial" w:hAnsi="Arial"/>
          <w:sz w:val="18"/>
          <w:szCs w:val="18"/>
          <w:i w:val="1"/>
          <w:iCs w:val="1"/>
          <w:color w:val="auto"/>
        </w:rPr>
        <w:t xml:space="preserve"> Determining Whether an Instrument (or Embedded feature) is Indexed to an Entity’s Own Stock. </w:t>
      </w:r>
      <w:r>
        <w:rPr>
          <w:rFonts w:ascii="Arial" w:cs="Arial" w:eastAsia="Arial" w:hAnsi="Arial"/>
          <w:sz w:val="18"/>
          <w:szCs w:val="18"/>
          <w:color w:val="auto"/>
        </w:rPr>
        <w:t>This EITF was issued to address concerns regarding the meaning of the phrase “indexed to an entity’s own stock” within the application of SFAS No. 133</w:t>
      </w:r>
      <w:r>
        <w:rPr>
          <w:rFonts w:ascii="Arial" w:cs="Arial" w:eastAsia="Arial" w:hAnsi="Arial"/>
          <w:sz w:val="18"/>
          <w:szCs w:val="18"/>
          <w:i w:val="1"/>
          <w:iCs w:val="1"/>
          <w:color w:val="auto"/>
        </w:rPr>
        <w:t xml:space="preserve"> </w:t>
      </w:r>
      <w:r>
        <w:rPr>
          <w:rFonts w:ascii="Arial" w:cs="Arial" w:eastAsia="Arial" w:hAnsi="Arial"/>
          <w:sz w:val="18"/>
          <w:szCs w:val="18"/>
          <w:color w:val="auto"/>
        </w:rPr>
        <w:t>and EITF Issue 00-19. This issue is effective for fiscal years beginning on or after December 15, 2008. The adoption of EITF 07-5 is not expected to have a material impact on our financial condition, results of operations or cash flows.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 Market Risk and Credit Risk.” We do not believe we face any material interest rate risk, foreign currency exchange risk, equity price risk or other market risk except as disclosed in Item 7 “ – Market Risk and Credit Risk”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28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and Supplemental Data</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Index to Financial Statements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8"/>
        </w:trPr>
        <w:tc>
          <w:tcPr>
            <w:tcW w:w="11060" w:type="dxa"/>
            <w:vAlign w:val="bottom"/>
            <w:gridSpan w:val="10"/>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1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Report of Independent Registered Public Accounting Firm</w:t>
              </w:r>
            </w:hyperlink>
          </w:p>
        </w:tc>
        <w:tc>
          <w:tcPr>
            <w:tcW w:w="650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3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Consolidated Statements of Financial Condition</w:t>
              </w:r>
            </w:hyperlink>
          </w:p>
        </w:tc>
        <w:tc>
          <w:tcPr>
            <w:tcW w:w="724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2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Consolidated/Combined Statements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1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Consolidated/Combined Statements of Changes in Members’ and Stockholders’ Equity</w:t>
              </w:r>
            </w:hyperlink>
          </w:p>
        </w:tc>
        <w:tc>
          <w:tcPr>
            <w:tcW w:w="4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5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Consolidated/Combined Statements of Cash Flows</w:t>
              </w:r>
            </w:hyperlink>
          </w:p>
        </w:tc>
        <w:tc>
          <w:tcPr>
            <w:tcW w:w="704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8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Notes to Consolidated/Combined Financial Statements</w:t>
              </w:r>
            </w:hyperlink>
          </w:p>
        </w:tc>
        <w:tc>
          <w:tcPr>
            <w:tcW w:w="676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51"/>
        </w:trPr>
        <w:tc>
          <w:tcPr>
            <w:tcW w:w="11060" w:type="dxa"/>
            <w:vAlign w:val="bottom"/>
            <w:gridSpan w:val="10"/>
          </w:tcPr>
          <w:p>
            <w:pPr>
              <w:spacing w:after="0"/>
              <w:rPr>
                <w:sz w:val="20"/>
                <w:szCs w:val="20"/>
                <w:color w:val="auto"/>
              </w:rPr>
            </w:pPr>
            <w:r>
              <w:rPr>
                <w:rFonts w:ascii="Arial" w:cs="Arial" w:eastAsia="Arial" w:hAnsi="Arial"/>
                <w:sz w:val="18"/>
                <w:szCs w:val="18"/>
                <w:b w:val="1"/>
                <w:bCs w:val="1"/>
                <w:color w:val="auto"/>
              </w:rPr>
              <w:t>Supplemental Financial Information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20" w:type="dxa"/>
            <w:vAlign w:val="bottom"/>
            <w:gridSpan w:val="9"/>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Consolidated Quarterly Results of Operations (unaudited)</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720" w:type="dxa"/>
            <w:vAlign w:val="bottom"/>
            <w:tcBorders>
              <w:top w:val="single" w:sz="8" w:color="0000EE"/>
            </w:tcBorders>
            <w:gridSpan w:val="5"/>
          </w:tcPr>
          <w:p>
            <w:pPr>
              <w:spacing w:after="0"/>
              <w:rPr>
                <w:sz w:val="24"/>
                <w:szCs w:val="24"/>
                <w:color w:val="auto"/>
              </w:rPr>
            </w:pPr>
          </w:p>
        </w:tc>
        <w:tc>
          <w:tcPr>
            <w:tcW w:w="2080" w:type="dxa"/>
            <w:vAlign w:val="bottom"/>
            <w:gridSpan w:val="2"/>
          </w:tcPr>
          <w:p>
            <w:pPr>
              <w:jc w:val="right"/>
              <w:ind w:right="780"/>
              <w:spacing w:after="0"/>
              <w:rPr>
                <w:sz w:val="20"/>
                <w:szCs w:val="20"/>
                <w:color w:val="auto"/>
              </w:rPr>
            </w:pPr>
            <w:r>
              <w:rPr>
                <w:rFonts w:ascii="Arial" w:cs="Arial" w:eastAsia="Arial" w:hAnsi="Arial"/>
                <w:sz w:val="18"/>
                <w:szCs w:val="18"/>
                <w:color w:val="auto"/>
              </w:rPr>
              <w:t>59</w:t>
            </w: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Evercore Partners Inc.:</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have audited the accompanying consolidated statements of financial condition of Evercore Partners Inc. and subsidiaries (the “Successor”) as of December 31, 2008 and 2007, and the related consolidated statements of operations, changes in stockholders’ equity, and cash flows for the years ended December 31, 2008 and 2007, and the period August 10, 2006 to December 31, 2006. We have also audited the related combined statements of operations, changes in members’ equity, and cash flows of Evercore Holdings (the “Predecessor”) for the period January 1, 2006 to August 9, 2006. These financial statements are the responsibility of the Successor’s and Predecessor’s (collectively the “Company”) management. Our responsibility is to express an opinion on these financial statements based on our audits.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our opinion, the Successor’s consolidated financial statements referred to above present fairly, in all material respects, the financial position of the Successor as of December 31, 2008 and 2007, and the results of its operations and its cash flows for the years ended December 31, 2008 and 2007, and the period August 10, 2006 to December 31, 2006, in conformity with accounting principles generally accepted in the United States of America. Further, in our opinion, the Predecessor’s combined financial statements referred to above present fairly, in all material respects, the results of Predecessor’s operations and their cash flows for the period January 1, 2006 to August 9, 2006, in conformity with accounting principles generally accepted in the United States of America.</w:t>
      </w:r>
    </w:p>
    <w:p>
      <w:pPr>
        <w:spacing w:after="0" w:line="116"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As discussed in Note 1 to the consolidated/combined financial statements, the Successor was formed on August 10, 2006 pursuant to a contribution and sale agreement. As discussed in Note 2 to the consolidated/combined financial statements, commencing August 10, 2006, the Company became subject to U.S. corporate federal income tax that it accounts for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Successor’s internal control over financial reporting as of December 31, 2008, based on the criteria established in Internal Control – Integrated Framework issued by the Committee of Sponsoring Organizations of the Treadway Commission and our report dated March 12, 2009 expressed an unqualified opinion on the Successor’s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175,902</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$193,475</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88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103,480</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7,647</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Financial Instruments Owned and Pledged as Collateral at Fair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191,507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226,868</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880"/>
              <w:spacing w:after="0"/>
              <w:rPr>
                <w:sz w:val="20"/>
                <w:szCs w:val="20"/>
                <w:color w:val="auto"/>
              </w:rPr>
            </w:pPr>
            <w:r>
              <w:rPr>
                <w:rFonts w:ascii="Arial" w:cs="Arial" w:eastAsia="Arial" w:hAnsi="Arial"/>
                <w:sz w:val="18"/>
                <w:szCs w:val="18"/>
                <w:color w:val="auto"/>
              </w:rPr>
              <w:t>Securities Purchased Under Agreements to Resell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92,770</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58,834</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 of allowances of $787 and $591 at December 31, 2008 and 2007,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47,720</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880"/>
              <w:spacing w:after="0"/>
              <w:rPr>
                <w:sz w:val="20"/>
                <w:szCs w:val="20"/>
                <w:color w:val="auto"/>
              </w:rPr>
            </w:pPr>
            <w:r>
              <w:rPr>
                <w:rFonts w:ascii="Arial" w:cs="Arial" w:eastAsia="Arial" w:hAnsi="Arial"/>
                <w:sz w:val="18"/>
                <w:szCs w:val="18"/>
                <w:color w:val="auto"/>
              </w:rPr>
              <w:t>Receivable from Employees and Related Parties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3,278</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5,003</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Asset—Current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60" w:type="dxa"/>
            <w:vAlign w:val="bottom"/>
            <w:shd w:val="clear" w:color="auto" w:fill="CCEEFF"/>
          </w:tcPr>
          <w:p>
            <w:pPr>
              <w:spacing w:after="0"/>
              <w:rPr>
                <w:sz w:val="18"/>
                <w:szCs w:val="18"/>
                <w:color w:val="auto"/>
              </w:rPr>
            </w:pPr>
          </w:p>
        </w:tc>
      </w:tr>
      <w:tr>
        <w:trPr>
          <w:trHeight w:val="223"/>
        </w:trPr>
        <w:tc>
          <w:tcPr>
            <w:tcW w:w="9600" w:type="dxa"/>
            <w:vAlign w:val="bottom"/>
          </w:tcPr>
          <w:p>
            <w:pPr>
              <w:ind w:left="88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13,653</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13,992</w:t>
            </w:r>
          </w:p>
        </w:tc>
        <w:tc>
          <w:tcPr>
            <w:tcW w:w="60" w:type="dxa"/>
            <w:vAlign w:val="bottom"/>
          </w:tcPr>
          <w:p>
            <w:pPr>
              <w:spacing w:after="0"/>
              <w:rPr>
                <w:sz w:val="19"/>
                <w:szCs w:val="19"/>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605,478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554,994</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24,839</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16,283</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61,066</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54,877</w:t>
            </w:r>
          </w:p>
        </w:tc>
        <w:tc>
          <w:tcPr>
            <w:tcW w:w="60" w:type="dxa"/>
            <w:vAlign w:val="bottom"/>
            <w:shd w:val="clear" w:color="auto" w:fill="CCEEFF"/>
          </w:tcPr>
          <w:p>
            <w:pPr>
              <w:spacing w:after="0"/>
              <w:rPr>
                <w:sz w:val="18"/>
                <w:szCs w:val="18"/>
                <w:color w:val="auto"/>
              </w:rPr>
            </w:pPr>
          </w:p>
        </w:tc>
      </w:tr>
      <w:tr>
        <w:trPr>
          <w:trHeight w:val="208"/>
        </w:trPr>
        <w:tc>
          <w:tcPr>
            <w:tcW w:w="9600" w:type="dxa"/>
            <w:vAlign w:val="bottom"/>
          </w:tcPr>
          <w:p>
            <w:pPr>
              <w:ind w:left="440"/>
              <w:spacing w:after="0"/>
              <w:rPr>
                <w:sz w:val="20"/>
                <w:szCs w:val="20"/>
                <w:color w:val="auto"/>
              </w:rPr>
            </w:pPr>
            <w:r>
              <w:rPr>
                <w:rFonts w:ascii="Arial" w:cs="Arial" w:eastAsia="Arial" w:hAnsi="Arial"/>
                <w:sz w:val="18"/>
                <w:szCs w:val="18"/>
                <w:color w:val="auto"/>
                <w:w w:val="92"/>
              </w:rPr>
              <w:t>Furniture, Equipment and Leasehold Improvements (net of accumulated depreciation and amortization of $5,944 and $5,787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600" w:type="dxa"/>
            <w:vAlign w:val="bottom"/>
          </w:tcPr>
          <w:p>
            <w:pPr>
              <w:ind w:left="660"/>
              <w:spacing w:after="0"/>
              <w:rPr>
                <w:sz w:val="20"/>
                <w:szCs w:val="20"/>
                <w:color w:val="auto"/>
              </w:rPr>
            </w:pPr>
            <w:r>
              <w:rPr>
                <w:rFonts w:ascii="Arial" w:cs="Arial" w:eastAsia="Arial" w:hAnsi="Arial"/>
                <w:sz w:val="18"/>
                <w:szCs w:val="18"/>
                <w:color w:val="auto"/>
              </w:rPr>
              <w:t>at December 31, 2008 and 2007, respectively)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8,145</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10,105</w:t>
            </w:r>
          </w:p>
        </w:tc>
        <w:tc>
          <w:tcPr>
            <w:tcW w:w="60" w:type="dxa"/>
            <w:vAlign w:val="bottom"/>
          </w:tcPr>
          <w:p>
            <w:pPr>
              <w:spacing w:after="0"/>
              <w:rPr>
                <w:sz w:val="19"/>
                <w:szCs w:val="19"/>
                <w:color w:val="auto"/>
              </w:rPr>
            </w:pPr>
          </w:p>
        </w:tc>
      </w:tr>
      <w:tr>
        <w:trPr>
          <w:trHeight w:val="217"/>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42,044</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w w:val="93"/>
              </w:rPr>
              <w:t>Intangible Assets (net of accumulated amortization of $18,994 and $17,753 at December 31, 2008 and 2007,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5,413</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8,993</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738,940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689,096</w:t>
            </w:r>
          </w:p>
        </w:tc>
        <w:tc>
          <w:tcPr>
            <w:tcW w:w="6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$ 112,355</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8,104</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11,345</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Securities Sold Under Agreements to Repurchase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284,745</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285,864</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880"/>
              <w:spacing w:after="0"/>
              <w:rPr>
                <w:sz w:val="20"/>
                <w:szCs w:val="20"/>
                <w:color w:val="auto"/>
              </w:rPr>
            </w:pPr>
            <w:r>
              <w:rPr>
                <w:rFonts w:ascii="Arial" w:cs="Arial" w:eastAsia="Arial" w:hAnsi="Arial"/>
                <w:sz w:val="18"/>
                <w:szCs w:val="18"/>
                <w:color w:val="auto"/>
              </w:rPr>
              <w:t>Payable to Employees and Related Parties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1,953</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4,569</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60" w:type="dxa"/>
            <w:vAlign w:val="bottom"/>
            <w:shd w:val="clear" w:color="auto" w:fill="CCEEFF"/>
          </w:tcPr>
          <w:p>
            <w:pPr>
              <w:spacing w:after="0"/>
              <w:rPr>
                <w:sz w:val="18"/>
                <w:szCs w:val="18"/>
                <w:color w:val="auto"/>
              </w:rPr>
            </w:pPr>
          </w:p>
        </w:tc>
      </w:tr>
      <w:tr>
        <w:trPr>
          <w:trHeight w:val="223"/>
        </w:trPr>
        <w:tc>
          <w:tcPr>
            <w:tcW w:w="9600" w:type="dxa"/>
            <w:vAlign w:val="bottom"/>
          </w:tcPr>
          <w:p>
            <w:pPr>
              <w:ind w:left="88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60" w:type="dxa"/>
            <w:vAlign w:val="bottom"/>
          </w:tcPr>
          <w:p>
            <w:pPr>
              <w:spacing w:after="0"/>
              <w:rPr>
                <w:sz w:val="19"/>
                <w:szCs w:val="19"/>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365,375</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419,576</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95,263</w:t>
            </w:r>
          </w:p>
        </w:tc>
        <w:tc>
          <w:tcPr>
            <w:tcW w:w="4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Due Pursuant to Tax Receivable Agreements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37,575</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8,373</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9,245</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60" w:type="dxa"/>
            <w:vAlign w:val="bottom"/>
            <w:shd w:val="clear" w:color="auto" w:fill="CCEEFF"/>
          </w:tcPr>
          <w:p>
            <w:pPr>
              <w:spacing w:after="0"/>
              <w:rPr>
                <w:sz w:val="18"/>
                <w:szCs w:val="18"/>
                <w:color w:val="auto"/>
              </w:rPr>
            </w:pPr>
          </w:p>
        </w:tc>
      </w:tr>
      <w:tr>
        <w:trPr>
          <w:trHeight w:val="230"/>
        </w:trPr>
        <w:tc>
          <w:tcPr>
            <w:tcW w:w="960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507,355</w:t>
            </w: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469,781</w:t>
            </w:r>
          </w:p>
        </w:tc>
        <w:tc>
          <w:tcPr>
            <w:tcW w:w="60" w:type="dxa"/>
            <w:vAlign w:val="bottom"/>
          </w:tcPr>
          <w:p>
            <w:pPr>
              <w:spacing w:after="0"/>
              <w:rPr>
                <w:sz w:val="20"/>
                <w:szCs w:val="20"/>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and Contingencies (Note 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60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25,808</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46,339</w:t>
            </w:r>
          </w:p>
        </w:tc>
        <w:tc>
          <w:tcPr>
            <w:tcW w:w="60" w:type="dxa"/>
            <w:vAlign w:val="bottom"/>
          </w:tcPr>
          <w:p>
            <w:pPr>
              <w:spacing w:after="0"/>
              <w:rPr>
                <w:sz w:val="19"/>
                <w:szCs w:val="19"/>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8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960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6"/>
              </w:rPr>
              <w:t>Class A, par value $0.01 per share (1,000,000,000 shares authorized, 12,552,028 and 11,261,100 issued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00" w:type="dxa"/>
            <w:vAlign w:val="bottom"/>
            <w:shd w:val="clear" w:color="auto" w:fill="CCEEFF"/>
          </w:tcPr>
          <w:p>
            <w:pPr>
              <w:ind w:left="1520"/>
              <w:spacing w:after="0"/>
              <w:rPr>
                <w:sz w:val="20"/>
                <w:szCs w:val="20"/>
                <w:color w:val="auto"/>
              </w:rPr>
            </w:pPr>
            <w:r>
              <w:rPr>
                <w:rFonts w:ascii="Arial" w:cs="Arial" w:eastAsia="Arial" w:hAnsi="Arial"/>
                <w:sz w:val="18"/>
                <w:szCs w:val="18"/>
                <w:color w:val="auto"/>
                <w:w w:val="95"/>
              </w:rPr>
              <w:t>December 31, 2008 and 2007, respectively, and 12,053,282 and 11,229,197 outstanding at December 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6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2008 and 2007,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9"/>
                <w:szCs w:val="19"/>
                <w:color w:val="auto"/>
              </w:rPr>
            </w:pPr>
          </w:p>
        </w:tc>
      </w:tr>
      <w:tr>
        <w:trPr>
          <w:trHeight w:val="208"/>
        </w:trPr>
        <w:tc>
          <w:tcPr>
            <w:tcW w:w="9600" w:type="dxa"/>
            <w:vAlign w:val="bottom"/>
          </w:tcPr>
          <w:p>
            <w:pPr>
              <w:ind w:left="1300"/>
              <w:spacing w:after="0"/>
              <w:rPr>
                <w:sz w:val="20"/>
                <w:szCs w:val="20"/>
                <w:color w:val="auto"/>
              </w:rPr>
            </w:pPr>
            <w:r>
              <w:rPr>
                <w:rFonts w:ascii="Arial" w:cs="Arial" w:eastAsia="Arial" w:hAnsi="Arial"/>
                <w:sz w:val="18"/>
                <w:szCs w:val="18"/>
                <w:color w:val="auto"/>
                <w:w w:val="94"/>
              </w:rPr>
              <w:t>Class B, par value $0.01 per share (1,000,000 shares authorized, 51 issued and outstanding at December 31,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600" w:type="dxa"/>
            <w:vAlign w:val="bottom"/>
          </w:tcPr>
          <w:p>
            <w:pPr>
              <w:ind w:left="1520"/>
              <w:spacing w:after="0"/>
              <w:rPr>
                <w:sz w:val="20"/>
                <w:szCs w:val="20"/>
                <w:color w:val="auto"/>
              </w:rPr>
            </w:pPr>
            <w:r>
              <w:rPr>
                <w:rFonts w:ascii="Arial" w:cs="Arial" w:eastAsia="Arial" w:hAnsi="Arial"/>
                <w:sz w:val="18"/>
                <w:szCs w:val="18"/>
                <w:color w:val="auto"/>
              </w:rPr>
              <w:t>2008 and 2007)</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9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275,234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208,846</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88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(14,969)</w:t>
            </w:r>
          </w:p>
        </w:tc>
        <w:tc>
          <w:tcPr>
            <w:tcW w:w="680" w:type="dxa"/>
            <w:vAlign w:val="bottom"/>
          </w:tcPr>
          <w:p>
            <w:pPr>
              <w:jc w:val="right"/>
              <w:spacing w:after="0"/>
              <w:rPr>
                <w:sz w:val="20"/>
                <w:szCs w:val="20"/>
                <w:color w:val="auto"/>
              </w:rPr>
            </w:pPr>
            <w:r>
              <w:rPr>
                <w:rFonts w:ascii="Arial" w:cs="Arial" w:eastAsia="Arial" w:hAnsi="Arial"/>
                <w:sz w:val="18"/>
                <w:szCs w:val="18"/>
                <w:color w:val="auto"/>
              </w:rPr>
              <w:t>597</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Retained Earnings (Deficit)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(46,564)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(35,612)</w:t>
            </w:r>
          </w:p>
        </w:tc>
      </w:tr>
      <w:tr>
        <w:trPr>
          <w:trHeight w:val="223"/>
        </w:trPr>
        <w:tc>
          <w:tcPr>
            <w:tcW w:w="9600" w:type="dxa"/>
            <w:vAlign w:val="bottom"/>
          </w:tcPr>
          <w:p>
            <w:pPr>
              <w:ind w:left="880"/>
              <w:spacing w:after="0"/>
              <w:rPr>
                <w:sz w:val="20"/>
                <w:szCs w:val="20"/>
                <w:color w:val="auto"/>
              </w:rPr>
            </w:pPr>
            <w:r>
              <w:rPr>
                <w:rFonts w:ascii="Arial" w:cs="Arial" w:eastAsia="Arial" w:hAnsi="Arial"/>
                <w:sz w:val="18"/>
                <w:szCs w:val="18"/>
                <w:color w:val="auto"/>
              </w:rPr>
              <w:t>Treasury Stock at Cost (498,746 and 31,903 shares at December 31, 2008 and 2007, respectively)</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(8,050)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205,777</w:t>
            </w: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172,976</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738,940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689,096</w:t>
            </w:r>
          </w:p>
        </w:tc>
        <w:tc>
          <w:tcPr>
            <w:tcW w:w="6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Consolidated/Combined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CONSOLIDATED/COMBINED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b w:val="1"/>
                <w:bCs w:val="1"/>
                <w:i w:val="1"/>
                <w:iCs w:val="1"/>
                <w:color w:val="auto"/>
                <w:w w:val="85"/>
              </w:rPr>
              <w:t>Consolidated</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i w:val="1"/>
                <w:iCs w:val="1"/>
                <w:color w:val="auto"/>
                <w:w w:val="81"/>
              </w:rPr>
              <w:t>Combined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5"/>
          </w:tcPr>
          <w:p>
            <w:pPr>
              <w:jc w:val="right"/>
              <w:ind w:right="1200"/>
              <w:spacing w:after="0" w:line="142" w:lineRule="exact"/>
              <w:rPr>
                <w:sz w:val="20"/>
                <w:szCs w:val="20"/>
                <w:color w:val="auto"/>
              </w:rPr>
            </w:pPr>
            <w:r>
              <w:rPr>
                <w:rFonts w:ascii="Arial" w:cs="Arial" w:eastAsia="Arial" w:hAnsi="Arial"/>
                <w:sz w:val="14"/>
                <w:szCs w:val="14"/>
                <w:b w:val="1"/>
                <w:bCs w:val="1"/>
                <w:color w:val="auto"/>
                <w:w w:val="96"/>
              </w:rPr>
              <w:t>For the Twelve Months Ended</w:t>
            </w:r>
          </w:p>
        </w:tc>
        <w:tc>
          <w:tcPr>
            <w:tcW w:w="80" w:type="dxa"/>
            <w:vAlign w:val="bottom"/>
          </w:tcPr>
          <w:p>
            <w:pPr>
              <w:spacing w:after="0"/>
              <w:rPr>
                <w:sz w:val="12"/>
                <w:szCs w:val="12"/>
                <w:color w:val="auto"/>
              </w:rPr>
            </w:pPr>
          </w:p>
        </w:tc>
        <w:tc>
          <w:tcPr>
            <w:tcW w:w="1760" w:type="dxa"/>
            <w:vAlign w:val="bottom"/>
            <w:gridSpan w:val="2"/>
          </w:tcPr>
          <w:p>
            <w:pPr>
              <w:ind w:left="920"/>
              <w:spacing w:after="0" w:line="142" w:lineRule="exact"/>
              <w:rPr>
                <w:sz w:val="20"/>
                <w:szCs w:val="20"/>
                <w:color w:val="auto"/>
              </w:rPr>
            </w:pPr>
            <w:r>
              <w:rPr>
                <w:rFonts w:ascii="Arial" w:cs="Arial" w:eastAsia="Arial" w:hAnsi="Arial"/>
                <w:sz w:val="14"/>
                <w:szCs w:val="14"/>
                <w:b w:val="1"/>
                <w:bCs w:val="1"/>
                <w:color w:val="auto"/>
                <w:w w:val="86"/>
              </w:rPr>
              <w:t>For the Period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2"/>
          </w:tcPr>
          <w:p>
            <w:pPr>
              <w:jc w:val="right"/>
              <w:ind w:right="840"/>
              <w:spacing w:after="0" w:line="129" w:lineRule="exact"/>
              <w:rPr>
                <w:sz w:val="20"/>
                <w:szCs w:val="20"/>
                <w:color w:val="auto"/>
              </w:rPr>
            </w:pPr>
            <w:r>
              <w:rPr>
                <w:rFonts w:ascii="Arial" w:cs="Arial" w:eastAsia="Arial" w:hAnsi="Arial"/>
                <w:sz w:val="14"/>
                <w:szCs w:val="14"/>
                <w:b w:val="1"/>
                <w:bCs w:val="1"/>
                <w:color w:val="auto"/>
                <w:w w:val="84"/>
              </w:rPr>
              <w:t>August 10, 2006</w:t>
            </w:r>
          </w:p>
        </w:tc>
        <w:tc>
          <w:tcPr>
            <w:tcW w:w="10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7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through</w:t>
            </w:r>
          </w:p>
        </w:tc>
        <w:tc>
          <w:tcPr>
            <w:tcW w:w="1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8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August 9,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8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SUCCESSOR</w:t>
            </w:r>
          </w:p>
        </w:tc>
        <w:tc>
          <w:tcPr>
            <w:tcW w:w="7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Advisory Revenue</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181,608</w:t>
            </w:r>
          </w:p>
        </w:tc>
        <w:tc>
          <w:tcPr>
            <w:tcW w:w="8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295,751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87,659</w:t>
            </w:r>
          </w:p>
        </w:tc>
        <w:tc>
          <w:tcPr>
            <w:tcW w:w="76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20,158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Revenue, Including Interest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33,885</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24,141</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8,622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224,933</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340,050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30,278</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18,451</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194,655</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321,599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96,078</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146,663</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299,327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Occupancy and Equipment Rental</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12,671</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13,486</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16,173</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28,691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Travel and Related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10,139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8,803</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 and Information Services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2,321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17,421</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14"/>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Acquisition and Transition Costs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1,596</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7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center"/>
              <w:ind w:left="414"/>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6,485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204,039</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376,534</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70,271</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INCOME (LOSS) BEFORE INCOME TAXES AND</w:t>
            </w:r>
          </w:p>
        </w:tc>
        <w:tc>
          <w:tcPr>
            <w:tcW w:w="4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MINORITY INTEREST</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(9,384)</w:t>
            </w: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(54,935)</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25,807</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12,401</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(4,850)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(32,841)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(4,713)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(34,495)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3,786</w:t>
            </w:r>
          </w:p>
        </w:tc>
        <w:tc>
          <w:tcPr>
            <w:tcW w:w="760" w:type="dxa"/>
            <w:vAlign w:val="bottom"/>
          </w:tcPr>
          <w:p>
            <w:pPr>
              <w:spacing w:after="0"/>
              <w:rPr>
                <w:sz w:val="19"/>
                <w:szCs w:val="19"/>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65,951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Income (Loss) Available to Holders of Shares of Class A</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(4,713)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(34,495)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 Average Shares of Class A Common Stock</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10,219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13,072</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10,219</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left="454"/>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(Loss) Per Share Available to Holders of Shares of</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Common Stock:</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(0.36)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left="454"/>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Dividends Declared per Share of Class A Common Stock</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0.48</w:t>
            </w:r>
          </w:p>
        </w:tc>
        <w:tc>
          <w:tcPr>
            <w:tcW w:w="8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center"/>
              <w:ind w:left="454"/>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CONSOLIDATED/COMBINED STATEMENTS OF CHANGES IN MEMBERS’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Class A</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vMerge w:val="restart"/>
          </w:tcPr>
          <w:p>
            <w:pPr>
              <w:jc w:val="right"/>
              <w:ind w:right="133"/>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gridSpan w:val="2"/>
            <w:vMerge w:val="restart"/>
          </w:tcPr>
          <w:p>
            <w:pPr>
              <w:ind w:left="100"/>
              <w:spacing w:after="0" w:line="149" w:lineRule="exact"/>
              <w:rPr>
                <w:sz w:val="20"/>
                <w:szCs w:val="20"/>
                <w:color w:val="auto"/>
              </w:rPr>
            </w:pPr>
            <w:r>
              <w:rPr>
                <w:rFonts w:ascii="Arial" w:cs="Arial" w:eastAsia="Arial" w:hAnsi="Arial"/>
                <w:sz w:val="14"/>
                <w:szCs w:val="14"/>
                <w:b w:val="1"/>
                <w:bCs w:val="1"/>
                <w:color w:val="auto"/>
              </w:rPr>
              <w:t>Other</w:t>
            </w:r>
          </w:p>
        </w:tc>
        <w:tc>
          <w:tcPr>
            <w:tcW w:w="7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9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6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960" w:type="dxa"/>
            <w:vAlign w:val="bottom"/>
            <w:gridSpan w:val="3"/>
            <w:vMerge w:val="restart"/>
          </w:tcPr>
          <w:p>
            <w:pPr>
              <w:jc w:val="right"/>
              <w:ind w:right="233"/>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940" w:type="dxa"/>
            <w:vAlign w:val="bottom"/>
            <w:gridSpan w:val="3"/>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Members’</w:t>
            </w:r>
          </w:p>
        </w:tc>
        <w:tc>
          <w:tcPr>
            <w:tcW w:w="14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34"/>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8"/>
                <w:szCs w:val="8"/>
                <w:color w:val="auto"/>
              </w:rPr>
            </w:pPr>
          </w:p>
        </w:tc>
        <w:tc>
          <w:tcPr>
            <w:tcW w:w="11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7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Earnings</w:t>
            </w:r>
          </w:p>
        </w:tc>
        <w:tc>
          <w:tcPr>
            <w:tcW w:w="9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 (Loss)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(Deficit)</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Dollars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Combined</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PREDECESSOR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204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65,951</w:t>
            </w:r>
          </w:p>
        </w:tc>
        <w:tc>
          <w:tcPr>
            <w:tcW w:w="2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Distribution of Available-For-Sale Securities</w:t>
            </w: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Members’ Contributions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2,644</w:t>
            </w:r>
          </w:p>
        </w:tc>
        <w:tc>
          <w:tcPr>
            <w:tcW w:w="2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Members’ Distributions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(100,711)</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Members’ Draw</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(6,503)</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Private Equity Funds Distributions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(3,872)</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Elimination of Non-Contributed Entities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(16,452)</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Capital Issuance Related to Acquisition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Transfer to Minority Interest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(19,868)</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(19,868)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August 9, 2006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Consolidated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SUCCESSOR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Balance at August 10, 2006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3,786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3,786</w:t>
            </w:r>
          </w:p>
        </w:tc>
        <w:tc>
          <w:tcPr>
            <w:tcW w:w="2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8"/>
              </w:rPr>
              <w:t>Proceeds—Issuance of Common Stock, net of $13,995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Costs</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4,542,500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Issuance of Common Stock Related to Acquisitions</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1,817,058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Units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2006</w:t>
            </w: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6,359,558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108,564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3,786</w:t>
            </w:r>
          </w:p>
        </w:tc>
        <w:tc>
          <w:tcPr>
            <w:tcW w:w="2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 for Cumulative Effect on Prior Years from the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Adoption of FIN 48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Adjusted, at December 31, 2006</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6,359,558</w:t>
            </w:r>
          </w:p>
        </w:tc>
        <w:tc>
          <w:tcPr>
            <w:tcW w:w="1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64</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108,564</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3,534</w:t>
            </w:r>
          </w:p>
        </w:tc>
        <w:tc>
          <w:tcPr>
            <w:tcW w:w="2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CONSOLIDATED/COMBINED STATEMENTS OF CHANGES IN MEMBERS’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EQUITY—(Continued)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left="356"/>
              <w:spacing w:after="0"/>
              <w:rPr>
                <w:sz w:val="20"/>
                <w:szCs w:val="20"/>
                <w:color w:val="auto"/>
              </w:rPr>
            </w:pPr>
            <w:r>
              <w:rPr>
                <w:rFonts w:ascii="Arial" w:cs="Arial" w:eastAsia="Arial" w:hAnsi="Arial"/>
                <w:sz w:val="14"/>
                <w:szCs w:val="14"/>
                <w:b w:val="1"/>
                <w:bCs w:val="1"/>
                <w:color w:val="auto"/>
                <w:w w:val="85"/>
              </w:rPr>
              <w:t>Class A</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7"/>
                <w:szCs w:val="7"/>
                <w:color w:val="auto"/>
              </w:rPr>
            </w:pPr>
          </w:p>
        </w:tc>
        <w:tc>
          <w:tcPr>
            <w:tcW w:w="900" w:type="dxa"/>
            <w:vAlign w:val="bottom"/>
            <w:gridSpan w:val="3"/>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Retained</w:t>
            </w:r>
          </w:p>
        </w:tc>
        <w:tc>
          <w:tcPr>
            <w:tcW w:w="9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6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8"/>
              </w:rPr>
              <w:t>Members’</w:t>
            </w:r>
          </w:p>
        </w:tc>
        <w:tc>
          <w:tcPr>
            <w:tcW w:w="1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8"/>
                <w:szCs w:val="8"/>
                <w:color w:val="auto"/>
              </w:rPr>
            </w:pPr>
          </w:p>
        </w:tc>
        <w:tc>
          <w:tcPr>
            <w:tcW w:w="900" w:type="dxa"/>
            <w:vAlign w:val="bottom"/>
            <w:gridSpan w:val="3"/>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Earnings</w:t>
            </w: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Dollars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(Deficit)</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Dollars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6,359,558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$108,564</w:t>
            </w: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(34,495)</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(34,495)</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Treasury Stock Purchases</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(31,903)</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Follow-On Offering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1,581,778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Evercore LP Units Converted into Class A</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3,070,158</w:t>
            </w: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16,495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Awards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90,606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Capital Issuance Related to Acquisition</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159,000</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3,507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Dividends—Class A Stockholders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(4,651)</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11,261,100</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208,846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(35,612)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(31,903)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(4,713)</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Unrealized Gain on Marketable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ind w:left="42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(16,398)</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(4,713)</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(466,843)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(7,082)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Evercore LP Units Converted into Class A</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278,946</w:t>
            </w: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Awards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580,375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Share Grant Related to Acquisition</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431,607</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7,448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Dividends—Class A Stockholders</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(6,239)</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12,552,028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126</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275,234</w:t>
            </w: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(46,564)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(498,746)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(8,050)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CONSOLIDATED/COMBINED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w w:val="85"/>
              </w:rPr>
              <w:t>Consolidated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4"/>
              </w:rPr>
              <w:t>Combined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gridSpan w:val="6"/>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For the Twelve Months</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88"/>
              </w:rPr>
              <w:t>Ended</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10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50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through</w:t>
            </w: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December 31, 2006</w:t>
            </w: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August 9,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2"/>
              </w:rPr>
              <w:t>SUCCESSOR</w:t>
            </w:r>
          </w:p>
        </w:tc>
        <w:tc>
          <w:tcPr>
            <w:tcW w:w="5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(4,713)</w:t>
            </w:r>
          </w:p>
        </w:tc>
        <w:tc>
          <w:tcPr>
            <w:tcW w:w="6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(34,495)</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3,786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65,951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Income (Loss) to Net Cash Provided by (Used in) Operating</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420"/>
              <w:spacing w:after="0" w:line="149" w:lineRule="exact"/>
              <w:rPr>
                <w:sz w:val="20"/>
                <w:szCs w:val="20"/>
                <w:color w:val="auto"/>
              </w:rPr>
            </w:pPr>
            <w:r>
              <w:rPr>
                <w:rFonts w:ascii="Arial" w:cs="Arial" w:eastAsia="Arial" w:hAnsi="Arial"/>
                <w:sz w:val="14"/>
                <w:szCs w:val="14"/>
                <w:color w:val="auto"/>
              </w:rPr>
              <w:t>Net Realized and Unrealized Losses (Gains) on Investments and Marketable Securities</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(1,937)</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Equity-Based and Other Deferred Compensation</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29,380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140,837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4,399</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420"/>
              <w:spacing w:after="0" w:line="149" w:lineRule="exact"/>
              <w:rPr>
                <w:sz w:val="20"/>
                <w:szCs w:val="20"/>
                <w:color w:val="auto"/>
              </w:rPr>
            </w:pPr>
            <w:r>
              <w:rPr>
                <w:rFonts w:ascii="Arial" w:cs="Arial" w:eastAsia="Arial" w:hAnsi="Arial"/>
                <w:sz w:val="14"/>
                <w:szCs w:val="14"/>
                <w:color w:val="auto"/>
              </w:rPr>
              <w:t>Share Grant Related to Acquisition</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7,452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Amortization and Accretion</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4,619</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17,421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3,234</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420"/>
              <w:spacing w:after="0" w:line="149" w:lineRule="exact"/>
              <w:rPr>
                <w:sz w:val="20"/>
                <w:szCs w:val="20"/>
                <w:color w:val="auto"/>
              </w:rPr>
            </w:pPr>
            <w:r>
              <w:rPr>
                <w:rFonts w:ascii="Arial" w:cs="Arial" w:eastAsia="Arial" w:hAnsi="Arial"/>
                <w:sz w:val="14"/>
                <w:szCs w:val="14"/>
                <w:color w:val="auto"/>
              </w:rPr>
              <w:t>Loss on Disposal of Equipment</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Bad Debt Expense</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391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(4,850)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(32,841)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15,991</w:t>
            </w: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Taxes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(2,781)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(5,945)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Operating Assets: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Marketable Securities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(5,752)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60"/>
              <w:spacing w:after="0" w:line="149" w:lineRule="exact"/>
              <w:rPr>
                <w:sz w:val="20"/>
                <w:szCs w:val="20"/>
                <w:color w:val="auto"/>
              </w:rPr>
            </w:pPr>
            <w:r>
              <w:rPr>
                <w:rFonts w:ascii="Arial" w:cs="Arial" w:eastAsia="Arial" w:hAnsi="Arial"/>
                <w:sz w:val="14"/>
                <w:szCs w:val="14"/>
                <w:color w:val="auto"/>
              </w:rPr>
              <w:t>Financial Instruments Owned and Pledged as Collateral at Fair Value</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(14,727)</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(152,910)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123,685</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Securities Purchased Under Agreements to Resell</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(57,154)</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(48,498)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196,141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23,947</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(40,678)</w:t>
            </w: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 from Employees and Related Parties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1,725</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(2,371)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(10,547)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(1,614)</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Operating Liabilities: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(40,220)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60,196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28,235</w:t>
            </w: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(2,436)</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1,013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(6,428)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6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72,300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201,548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(319,847)</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Payables to Employees and Related Parties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(4,303)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(5,695)</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60"/>
              <w:spacing w:after="0" w:line="149" w:lineRule="exact"/>
              <w:rPr>
                <w:sz w:val="20"/>
                <w:szCs w:val="20"/>
                <w:color w:val="auto"/>
              </w:rPr>
            </w:pPr>
            <w:r>
              <w:rPr>
                <w:rFonts w:ascii="Arial" w:cs="Arial" w:eastAsia="Arial" w:hAnsi="Arial"/>
                <w:sz w:val="14"/>
                <w:szCs w:val="14"/>
                <w:color w:val="auto"/>
              </w:rPr>
              <w:t>Taxes Payable</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(3,057)</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(1,878)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5,385</w:t>
            </w: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6,715</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8,580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(1,957)</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Operating Activities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18,270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146,118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(5,407)</w:t>
            </w:r>
          </w:p>
        </w:tc>
        <w:tc>
          <w:tcPr>
            <w:tcW w:w="80" w:type="dxa"/>
            <w:vAlign w:val="bottom"/>
          </w:tcPr>
          <w:p>
            <w:pPr>
              <w:spacing w:after="0"/>
              <w:rPr>
                <w:sz w:val="14"/>
                <w:szCs w:val="14"/>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59,124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Cash Acquired from Acquisitions</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1,370</w:t>
            </w: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Acquisition</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Change in Restricted Cash</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(547)</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Purchased</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(14,525)</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(1,947)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Marketable Securities Purchased</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(100,159)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of Private Equity Investments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3,608</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2,536</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Purchase of Furniture, Equipment and Leasehold Improvements</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(1,159)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(912)</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 of Non-Contributed Entities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Provided by Investing Activities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(112,235)</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(7,508)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1,971</w:t>
            </w:r>
          </w:p>
        </w:tc>
        <w:tc>
          <w:tcPr>
            <w:tcW w:w="80" w:type="dxa"/>
            <w:vAlign w:val="bottom"/>
          </w:tcPr>
          <w:p>
            <w:pPr>
              <w:spacing w:after="0"/>
              <w:rPr>
                <w:sz w:val="14"/>
                <w:szCs w:val="14"/>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Payments for Capital Lease Obligations</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 from Members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Distributions to Minority Interests—Evercore LP Members</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(16,578)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(47,218)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Offering</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42,074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88,590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Payment of Notes Payable—Protego</w:t>
            </w:r>
          </w:p>
        </w:tc>
        <w:tc>
          <w:tcPr>
            <w:tcW w:w="1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(6,050)</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Notes Payable and Warrants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Debt Issuance Costs</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(1,460)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Short-term Borrowings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Dividends—Class A Stockholders</w:t>
            </w:r>
          </w:p>
        </w:tc>
        <w:tc>
          <w:tcPr>
            <w:tcW w:w="1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(6,239)</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(4,651)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Treasury Stock Purchased</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(7,082)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90,029</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(10,519)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52,455</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(78,562)</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(13,637)</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3"/>
                <w:szCs w:val="13"/>
                <w:color w:val="auto"/>
              </w:rPr>
            </w:pPr>
          </w:p>
        </w:tc>
        <w:tc>
          <w:tcPr>
            <w:tcW w:w="9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CASH AND CASH EQUIVALENTS</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(17,573)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128,055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49,062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EQUIVALENTS-Beginning of Period</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193,475</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65,420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16,358</w:t>
            </w: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37,855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EQUIVALENTS-End of Period</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175,902</w:t>
            </w:r>
          </w:p>
        </w:tc>
        <w:tc>
          <w:tcPr>
            <w:tcW w:w="62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193,475</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65,420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CONSOLIDATED/COMBINED STATEMENTS OF CASH FLOWS—(Continued)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tbl>
      <w:tblPr>
        <w:tblLayout w:type="fixed"/>
        <w:tblInd w:w="0" w:type="dxa"/>
        <w:tblCellMar>
          <w:top w:w="0" w:type="dxa"/>
          <w:left w:w="0" w:type="dxa"/>
          <w:bottom w:w="0" w:type="dxa"/>
          <w:right w:w="0" w:type="dxa"/>
        </w:tblCellMar>
      </w:tblPr>
      <w:tr>
        <w:trPr>
          <w:trHeight w:val="160"/>
        </w:trPr>
        <w:tc>
          <w:tcPr>
            <w:tcW w:w="46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60"/>
              <w:spacing w:after="0" w:line="160" w:lineRule="exact"/>
              <w:rPr>
                <w:sz w:val="20"/>
                <w:szCs w:val="20"/>
                <w:color w:val="auto"/>
              </w:rPr>
            </w:pPr>
            <w:r>
              <w:rPr>
                <w:rFonts w:ascii="Arial" w:cs="Arial" w:eastAsia="Arial" w:hAnsi="Arial"/>
                <w:sz w:val="14"/>
                <w:szCs w:val="14"/>
                <w:b w:val="1"/>
                <w:bCs w:val="1"/>
                <w:i w:val="1"/>
                <w:iCs w:val="1"/>
                <w:color w:val="auto"/>
              </w:rPr>
              <w:t>Consolidated</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i w:val="1"/>
                <w:iCs w:val="1"/>
                <w:color w:val="auto"/>
                <w:w w:val="81"/>
              </w:rPr>
              <w:t>Combined</w:t>
            </w: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700" w:type="dxa"/>
            <w:vAlign w:val="bottom"/>
            <w:tcBorders>
              <w:top w:val="single" w:sz="8" w:color="auto"/>
            </w:tcBorders>
            <w:gridSpan w:val="5"/>
          </w:tcPr>
          <w:p>
            <w:pPr>
              <w:jc w:val="center"/>
              <w:ind w:right="760"/>
              <w:spacing w:after="0" w:line="129" w:lineRule="exact"/>
              <w:rPr>
                <w:sz w:val="20"/>
                <w:szCs w:val="20"/>
                <w:color w:val="auto"/>
              </w:rPr>
            </w:pPr>
            <w:r>
              <w:rPr>
                <w:rFonts w:ascii="Arial" w:cs="Arial" w:eastAsia="Arial" w:hAnsi="Arial"/>
                <w:sz w:val="14"/>
                <w:szCs w:val="14"/>
                <w:b w:val="1"/>
                <w:bCs w:val="1"/>
                <w:color w:val="auto"/>
                <w:w w:val="88"/>
              </w:rPr>
              <w:t>For the Twelve Months</w:t>
            </w: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88"/>
              </w:rPr>
              <w:t>Ended</w:t>
            </w:r>
          </w:p>
        </w:tc>
        <w:tc>
          <w:tcPr>
            <w:tcW w:w="7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Period</w:t>
            </w: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60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0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through</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August 9, 2006</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SUCCESSOR</w:t>
            </w:r>
          </w:p>
        </w:tc>
        <w:tc>
          <w:tcPr>
            <w:tcW w:w="60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SUCCESSOR</w:t>
            </w:r>
          </w:p>
        </w:tc>
        <w:tc>
          <w:tcPr>
            <w:tcW w:w="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2"/>
              </w:rPr>
              <w:t>SUCCESSOR</w:t>
            </w:r>
          </w:p>
        </w:tc>
        <w:tc>
          <w:tcPr>
            <w:tcW w:w="60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SUPPLEMENTAL CASH FLOW DISCLOSURE</w:t>
            </w: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Payments for Interest</w:t>
            </w:r>
          </w:p>
        </w:tc>
        <w:tc>
          <w:tcPr>
            <w:tcW w:w="1380" w:type="dxa"/>
            <w:vAlign w:val="bottom"/>
            <w:gridSpan w:val="2"/>
          </w:tcPr>
          <w:p>
            <w:pPr>
              <w:ind w:left="1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27,718</w:t>
            </w:r>
          </w:p>
        </w:tc>
        <w:tc>
          <w:tcPr>
            <w:tcW w:w="7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18,263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center"/>
              <w:ind w:left="632"/>
              <w:spacing w:after="0" w:line="149" w:lineRule="exact"/>
              <w:rPr>
                <w:sz w:val="20"/>
                <w:szCs w:val="20"/>
                <w:color w:val="auto"/>
              </w:rPr>
            </w:pPr>
            <w:r>
              <w:rPr>
                <w:rFonts w:ascii="Arial" w:cs="Arial" w:eastAsia="Arial" w:hAnsi="Arial"/>
                <w:sz w:val="14"/>
                <w:szCs w:val="14"/>
                <w:color w:val="auto"/>
                <w:w w:val="91"/>
              </w:rPr>
              <w:t>6,995</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ind w:left="720"/>
              <w:spacing w:after="0" w:line="149" w:lineRule="exact"/>
              <w:rPr>
                <w:sz w:val="20"/>
                <w:szCs w:val="20"/>
                <w:color w:val="auto"/>
              </w:rPr>
            </w:pPr>
            <w:r>
              <w:rPr>
                <w:rFonts w:ascii="Arial" w:cs="Arial" w:eastAsia="Arial" w:hAnsi="Arial"/>
                <w:sz w:val="14"/>
                <w:szCs w:val="14"/>
                <w:color w:val="auto"/>
                <w:w w:val="76"/>
              </w:rPr>
              <w:t>917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Payments for Income Taxes</w:t>
            </w:r>
          </w:p>
        </w:tc>
        <w:tc>
          <w:tcPr>
            <w:tcW w:w="1380" w:type="dxa"/>
            <w:vAlign w:val="bottom"/>
            <w:gridSpan w:val="2"/>
            <w:shd w:val="clear" w:color="auto" w:fill="CCEEFF"/>
          </w:tcPr>
          <w:p>
            <w:pPr>
              <w:ind w:left="1220"/>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8,437</w:t>
            </w:r>
          </w:p>
        </w:tc>
        <w:tc>
          <w:tcPr>
            <w:tcW w:w="740" w:type="dxa"/>
            <w:vAlign w:val="bottom"/>
            <w:gridSpan w:val="2"/>
            <w:shd w:val="clear" w:color="auto" w:fill="CCEEFF"/>
          </w:tcPr>
          <w:p>
            <w:pPr>
              <w:ind w:left="600"/>
              <w:spacing w:after="0" w:line="143"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600"/>
              <w:spacing w:after="0" w:line="143" w:lineRule="exact"/>
              <w:rPr>
                <w:sz w:val="20"/>
                <w:szCs w:val="20"/>
                <w:color w:val="auto"/>
              </w:rPr>
            </w:pPr>
            <w:r>
              <w:rPr>
                <w:rFonts w:ascii="Arial" w:cs="Arial" w:eastAsia="Arial" w:hAnsi="Arial"/>
                <w:sz w:val="14"/>
                <w:szCs w:val="14"/>
                <w:color w:val="auto"/>
              </w:rPr>
              <w:t>23,598</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center"/>
              <w:ind w:left="632"/>
              <w:spacing w:after="0" w:line="143" w:lineRule="exact"/>
              <w:rPr>
                <w:sz w:val="20"/>
                <w:szCs w:val="20"/>
                <w:color w:val="auto"/>
              </w:rPr>
            </w:pPr>
            <w:r>
              <w:rPr>
                <w:rFonts w:ascii="Arial" w:cs="Arial" w:eastAsia="Arial" w:hAnsi="Arial"/>
                <w:sz w:val="14"/>
                <w:szCs w:val="14"/>
                <w:color w:val="auto"/>
                <w:w w:val="91"/>
              </w:rPr>
              <w:t>2,293</w:t>
            </w:r>
          </w:p>
        </w:tc>
        <w:tc>
          <w:tcPr>
            <w:tcW w:w="6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620"/>
              <w:spacing w:after="0" w:line="143" w:lineRule="exact"/>
              <w:rPr>
                <w:sz w:val="20"/>
                <w:szCs w:val="20"/>
                <w:color w:val="auto"/>
              </w:rPr>
            </w:pPr>
            <w:r>
              <w:rPr>
                <w:rFonts w:ascii="Arial" w:cs="Arial" w:eastAsia="Arial" w:hAnsi="Arial"/>
                <w:sz w:val="14"/>
                <w:szCs w:val="14"/>
                <w:color w:val="auto"/>
                <w:w w:val="79"/>
              </w:rPr>
              <w:t>3,808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Fixed Assets Accrued</w:t>
            </w: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vMerge w:val="continue"/>
          </w:tcPr>
          <w:p>
            <w:pPr>
              <w:spacing w:after="0"/>
              <w:rPr>
                <w:sz w:val="12"/>
                <w:szCs w:val="12"/>
                <w:color w:val="auto"/>
              </w:rPr>
            </w:pPr>
          </w:p>
        </w:tc>
        <w:tc>
          <w:tcPr>
            <w:tcW w:w="1380" w:type="dxa"/>
            <w:vAlign w:val="bottom"/>
            <w:gridSpan w:val="2"/>
          </w:tcPr>
          <w:p>
            <w:pPr>
              <w:ind w:left="1220"/>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219</w:t>
            </w:r>
          </w:p>
        </w:tc>
        <w:tc>
          <w:tcPr>
            <w:tcW w:w="740" w:type="dxa"/>
            <w:vAlign w:val="bottom"/>
            <w:gridSpan w:val="2"/>
          </w:tcPr>
          <w:p>
            <w:pPr>
              <w:ind w:left="600"/>
              <w:spacing w:after="0" w:line="143"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00"/>
              <w:spacing w:after="0" w:line="143" w:lineRule="exact"/>
              <w:rPr>
                <w:sz w:val="20"/>
                <w:szCs w:val="20"/>
                <w:color w:val="auto"/>
              </w:rPr>
            </w:pPr>
            <w:r>
              <w:rPr>
                <w:rFonts w:ascii="Arial" w:cs="Arial" w:eastAsia="Arial" w:hAnsi="Arial"/>
                <w:sz w:val="14"/>
                <w:szCs w:val="14"/>
                <w:color w:val="auto"/>
              </w:rPr>
              <w:t>1,367</w:t>
            </w: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Pr>
          <w:p>
            <w:pPr>
              <w:jc w:val="center"/>
              <w:ind w:left="672"/>
              <w:spacing w:after="0" w:line="143" w:lineRule="exact"/>
              <w:rPr>
                <w:sz w:val="20"/>
                <w:szCs w:val="20"/>
                <w:color w:val="auto"/>
              </w:rPr>
            </w:pPr>
            <w:r>
              <w:rPr>
                <w:rFonts w:ascii="Arial" w:cs="Arial" w:eastAsia="Arial" w:hAnsi="Arial"/>
                <w:sz w:val="14"/>
                <w:szCs w:val="14"/>
                <w:color w:val="auto"/>
                <w:w w:val="85"/>
              </w:rPr>
              <w:t>—</w:t>
            </w:r>
          </w:p>
        </w:tc>
        <w:tc>
          <w:tcPr>
            <w:tcW w:w="6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7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Evercore LP Units Converted Into Class A Common Stock</w:t>
            </w:r>
          </w:p>
        </w:tc>
        <w:tc>
          <w:tcPr>
            <w:tcW w:w="1380" w:type="dxa"/>
            <w:vAlign w:val="bottom"/>
            <w:gridSpan w:val="2"/>
            <w:shd w:val="clear" w:color="auto" w:fill="CCEEFF"/>
          </w:tcPr>
          <w:p>
            <w:pPr>
              <w:ind w:left="1220"/>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1,275</w:t>
            </w:r>
          </w:p>
        </w:tc>
        <w:tc>
          <w:tcPr>
            <w:tcW w:w="740" w:type="dxa"/>
            <w:vAlign w:val="bottom"/>
            <w:gridSpan w:val="2"/>
            <w:shd w:val="clear" w:color="auto" w:fill="CCEEFF"/>
          </w:tcPr>
          <w:p>
            <w:pPr>
              <w:ind w:left="600"/>
              <w:spacing w:after="0" w:line="143"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600"/>
              <w:spacing w:after="0" w:line="143" w:lineRule="exact"/>
              <w:rPr>
                <w:sz w:val="20"/>
                <w:szCs w:val="20"/>
                <w:color w:val="auto"/>
              </w:rPr>
            </w:pPr>
            <w:r>
              <w:rPr>
                <w:rFonts w:ascii="Arial" w:cs="Arial" w:eastAsia="Arial" w:hAnsi="Arial"/>
                <w:sz w:val="14"/>
                <w:szCs w:val="14"/>
                <w:color w:val="auto"/>
              </w:rPr>
              <w:t>16,495</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center"/>
              <w:ind w:left="672"/>
              <w:spacing w:after="0" w:line="143" w:lineRule="exact"/>
              <w:rPr>
                <w:sz w:val="20"/>
                <w:szCs w:val="20"/>
                <w:color w:val="auto"/>
              </w:rPr>
            </w:pPr>
            <w:r>
              <w:rPr>
                <w:rFonts w:ascii="Arial" w:cs="Arial" w:eastAsia="Arial" w:hAnsi="Arial"/>
                <w:sz w:val="14"/>
                <w:szCs w:val="14"/>
                <w:color w:val="auto"/>
                <w:w w:val="85"/>
              </w:rPr>
              <w:t>—</w:t>
            </w:r>
          </w:p>
        </w:tc>
        <w:tc>
          <w:tcPr>
            <w:tcW w:w="6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20"/>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Cumulative Effect on Prior Years from the Adoption of FIN 48</w:t>
            </w: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Minority Interest</w:t>
            </w:r>
          </w:p>
        </w:tc>
        <w:tc>
          <w:tcPr>
            <w:tcW w:w="1380" w:type="dxa"/>
            <w:vAlign w:val="bottom"/>
            <w:gridSpan w:val="2"/>
            <w:shd w:val="clear" w:color="auto" w:fill="CCEEFF"/>
          </w:tcPr>
          <w:p>
            <w:pPr>
              <w:ind w:left="1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Retained Earnings</w:t>
            </w:r>
          </w:p>
        </w:tc>
        <w:tc>
          <w:tcPr>
            <w:tcW w:w="1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252</w:t>
            </w:r>
          </w:p>
        </w:tc>
        <w:tc>
          <w:tcPr>
            <w:tcW w:w="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left="672"/>
              <w:spacing w:after="0" w:line="149" w:lineRule="exact"/>
              <w:rPr>
                <w:sz w:val="20"/>
                <w:szCs w:val="20"/>
                <w:color w:val="auto"/>
              </w:rPr>
            </w:pPr>
            <w:r>
              <w:rPr>
                <w:rFonts w:ascii="Arial" w:cs="Arial" w:eastAsia="Arial" w:hAnsi="Arial"/>
                <w:sz w:val="14"/>
                <w:szCs w:val="14"/>
                <w:color w:val="auto"/>
                <w:w w:val="85"/>
              </w:rPr>
              <w:t>—</w:t>
            </w:r>
          </w:p>
        </w:tc>
        <w:tc>
          <w:tcPr>
            <w:tcW w:w="6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7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1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923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Evercore Partners Inc. and subsidiaries (the “Successor Company”) is an investment banking firm, incorporated in Delaware on July 21, 2005 and headquartered in New York, New York. The Successor Company is a holding company which owns a controlling equity interest in Evercore LP. The Successor Company is the sole general partner of Evercore LP and, through Evercore LP and its operating entity subsidiaries, the Successor Company has continued to conduct the same business as prior to the reorganization referred to below by certain combined and consolidated entities under the common ownership and control of the Evercore Senior Managing Directors (the “Members”), including the two founding Members (the “Founding Members”).</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On August 10, 2006, pursuant to a contribution and sale agreement dated May 12, 2006, (1) the Members contributed to Evercore LP each of the various entities included in the historical combined financial statements of Evercore Holdings (the “Predecessor Company”), with the exception of the general partners of Evercore Capital Partners L.P. and its affiliated entities (collectively “ECP I”), Evercore Capital Partners II L.P. and its affiliated entities (collectively, “ECP II”) and Evercore Venture Partners L.P. and its affiliated entities (collectively, “EVP”), which are Company-sponsored private equity funds, and of Evercore Founders L.L.C. and Evercore Founders Cayman Ltd., which are the entities through which the Founding Members fund their additional commitments to ECP I (collectively, the “Founders”) and acquired an interest in the general partner of ECP II, which will permit Evercore LP to receive 8% to 9% (depending on the particular fund investment) of any carried interest from that fund following the contribution (the “Formation Transaction”) and (2) Evercore LP acquired Protego Asesores S. de R.L. and its subsidiaries and Protego SI, S.C. (“Protego”) from its directors and other stockholders. On August 16, 2006, the Company completed the Initial Public Offering (“IPO”) of its Class A common stock. The Formation Transaction and IPO are collectively referred to as the “Reorganization.” On December 19, 2006, the Company acquired all of the outstanding shares of Braveheart Financial Services Limited (“Braveheart”) pursuant to a purchase and sale agreement dated July 31, 2006. Subsequently, Braveheart was renamed Evercore Partners Limited (“Evercore Europe”). Where reference is made to the periods prior and subsequent to the IPO, the term “the Company” refers to the Predecessor Company and Successor Company, respectively.</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Successor Company’s consolidated financial statements include the accounts of the Company’s subsidiaries. The sole direct subsidiary of the Company is Evercore LP. The principal direct and indirect subsidiaries of Evercore LP are as follows:</w:t>
      </w:r>
    </w:p>
    <w:p>
      <w:pPr>
        <w:spacing w:after="0" w:line="51" w:lineRule="exact"/>
        <w:rPr>
          <w:sz w:val="20"/>
          <w:szCs w:val="20"/>
          <w:color w:val="auto"/>
        </w:rPr>
      </w:pPr>
    </w:p>
    <w:p>
      <w:pPr>
        <w:ind w:left="900" w:right="1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Evercore Group Holdings L.P. (“EGH”), which indirectly, through its wholly-owned subsidiary, Evercore Partners Services East L.L.C., a Delaware limited liability company, owns all of the interests in each of the following entities:</w:t>
      </w:r>
    </w:p>
    <w:p>
      <w:pPr>
        <w:spacing w:after="0" w:line="50" w:lineRule="exact"/>
        <w:rPr>
          <w:rFonts w:ascii="Arial" w:cs="Arial" w:eastAsia="Arial" w:hAnsi="Arial"/>
          <w:sz w:val="18"/>
          <w:szCs w:val="18"/>
          <w:color w:val="auto"/>
        </w:rPr>
      </w:pPr>
    </w:p>
    <w:p>
      <w:pPr>
        <w:ind w:left="1480" w:right="180" w:hanging="446"/>
        <w:spacing w:after="0" w:line="306"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Evercore Group L.L.C. (“EGL”), a registered broker-dealer under the Securities Exchange Act of 1934, as amended (the “Exchange Act”), and a member of the Financial Industry Regulatory Authority. EGL is a limited service entity, which specializes in rendering selected financial advisory services. EGL was converted to a limited liability company from an S corporation on April 19, 2006;</w:t>
      </w:r>
    </w:p>
    <w:p>
      <w:pPr>
        <w:spacing w:after="0" w:line="25" w:lineRule="exact"/>
        <w:rPr>
          <w:rFonts w:ascii="Arial" w:cs="Arial" w:eastAsia="Arial" w:hAnsi="Arial"/>
          <w:sz w:val="16"/>
          <w:szCs w:val="16"/>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Evercore Advisors L.L.C., a Delaware limited liability company, provides investment advisory services to ECP II;</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Evercore Venture Advisors L.L.C., a Delaware limited liability company, provides investment advisory services to EVP;</w:t>
      </w:r>
    </w:p>
    <w:p>
      <w:pPr>
        <w:spacing w:after="0" w:line="90" w:lineRule="exact"/>
        <w:rPr>
          <w:rFonts w:ascii="Arial" w:cs="Arial" w:eastAsia="Arial" w:hAnsi="Arial"/>
          <w:sz w:val="18"/>
          <w:szCs w:val="18"/>
          <w:color w:val="auto"/>
        </w:rPr>
      </w:pPr>
    </w:p>
    <w:p>
      <w:pPr>
        <w:ind w:left="1480" w:right="200" w:hanging="446"/>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Evercore Advisors I L.L.C., a Delaware limited liability company, provides investment advisory services to ECP I. Evercore Advisors Inc. was converted into Evercore Advisors I L.L.C. on August 10,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900" w:right="4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Evercore GP Holdings L.L.C., which is a non-managing member of the general partner of ECP II and Evercore Mexico Capital Partners II L.P. (“EMCP II”) and its affiliated entities.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Protego SI, S.C., a Mexican company whose main activity is the provision of advisory and related services.</w:t>
      </w:r>
    </w:p>
    <w:p>
      <w:pPr>
        <w:spacing w:after="0" w:line="90" w:lineRule="exact"/>
        <w:rPr>
          <w:rFonts w:ascii="Arial" w:cs="Arial" w:eastAsia="Arial" w:hAnsi="Arial"/>
          <w:sz w:val="18"/>
          <w:szCs w:val="18"/>
          <w:color w:val="auto"/>
        </w:rPr>
      </w:pPr>
    </w:p>
    <w:p>
      <w:pPr>
        <w:jc w:val="both"/>
        <w:ind w:left="900" w:right="36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Protego Asesores S. de R.L. and its subsidiaries, together with Evercore LP, owns interests in Protego Casa de Bolsa, S.A. de C.V. (“PCB”) and Protego CB Servicios, S. de R.L. (“PCBS”). PCB and PCBS were established for Protego’s asset management business and are 70% and 70.6%, respectively, owned by Evercore. The remaining interest in these entities is held by third parties.</w:t>
      </w:r>
    </w:p>
    <w:p>
      <w:pPr>
        <w:spacing w:after="0" w:line="25"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Evercore Holdings Limited, our U.K. based holding company, through which we made our investment in Evercore Pan-Asset Capital Management (“Pan”). EGH wholly owns Evercore Europe, formerly Braveheart, a U.K. company whose main activity is the provision of advisory and related services.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Predecessor Company, prior to the Reorganization referred to above, was comprised of certain combined entities under the common control of the Members.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financial statements of the Predecessor are comprised of the following entities:</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EGH and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Evercore Group Holdings L.L.C., a Delaware limited liability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Evercore Partners L.L.C., Evercore Offshore Partners Ltd. and Evercore Partners Cayman L.P. are the general partners of various ECP I entities.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Evercore Partners II L.L.C. and Evercore Venture Management L.L.C. (“EVM”) are the general partners of ECP II and EVP, respectively.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Founders are the entities through which the Founding Members fund their additional commitments to ECP 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activities are divided into two reportable segments:</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Advisory – includes advice on mergers, acquisitions, divestitures, leveraged buyouts, restructurings and similar corporate finance matters and</w:t>
      </w:r>
    </w:p>
    <w:p>
      <w:pPr>
        <w:spacing w:after="0" w:line="113" w:lineRule="exact"/>
        <w:rPr>
          <w:rFonts w:ascii="Arial" w:cs="Arial" w:eastAsia="Arial" w:hAnsi="Arial"/>
          <w:sz w:val="16"/>
          <w:szCs w:val="16"/>
          <w:color w:val="auto"/>
        </w:rPr>
      </w:pPr>
    </w:p>
    <w:p>
      <w:pPr>
        <w:ind w:left="900" w:hanging="325"/>
        <w:spacing w:after="0" w:line="28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Investment Management – prior to the IPO, Investment Management includes the management of outside capital invested in the Company’s sponsored private equity funds: ECP I, ECP II and EVP, the Company’s principal investments in ECP I, ECP II and EVP, and the Company’s investments in, and managed by, Evercore Asset Management L.L.C. (“EAM”). Subsequent to the IPO, Investment Management includes the management of outside capital invested in the Company’s sponsored private equity funds: ECP I, ECP II, EVP and Discovery Americas I, L.P. (the “Discovery Fund”) and the Company’s principal investments in ECP II, Discovery Fund and EAM. Where reference is made to the periods prior and subsequent to the IPO, the term “Private Equity Funds” refers to the Company’s principal investments in the respective private equity funds mentioned above. Each of the Private Equity Funds is managed by its own general partners and outside investors participate in the Private Equity Funds as limited partners. Investment Management also includes the management of outside funds by PCB, as well as the Company’s equity interests in Evercore Wealth Management (“EWM”), Pan and the HighView Investment Group (“HighView”).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consolidated/combined financial statements are prepared in conformity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 (“U.S. GAAP”).</w:t>
      </w:r>
    </w:p>
    <w:p>
      <w:pPr>
        <w:spacing w:after="0" w:line="13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Company’s policy is to consolidate all subsidiaries in which it has a controlling financial interest as well as variable interest entities where the Company is deemed to be the primary beneficiary. All intercompany balances and transactions with the Company’s subsidiaries have been eliminated upon consolidation.</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consolidated/combined financial statements of the Company are comprised of the consolidation of Evercore LP and Evercore LP’s wholly-owned subsidiaries, and, prior to the Reorganization, the combination of its general partners of the Private Equity Funds and Founders, entities that were wholly-owned or controlled by the Company.</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accounted for the Formation Transaction substantially by using the Members’ historical cost of the assets acquired and liabilities assumed and recorded minority interest to reflect the Members’ ongoing ownership in Evercore LP. At the time of the Formation Transaction, Members received Evercore LP partnership units in consideration for their contribution of the various entities included in the historical combined financial statements of the Predecessor. The Evercore LP partnership units are, subject to vesting requirements and transfer restrictions, exchangeable on a one-for-one basis for shares of Class A common stock. The Company accounts for subsequent exchanges of Evercore LP partnership units for shares of Class A common stock of the Company based on the carrying amounts of the Members’ Evercore LP partnership units immediately before the exchange.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Subsequent to the IPO, the Company became the sole general partner of Evercore LP. The Company’s interest in Evercore LP is within the scope of the Emerging Issues Task Force Issue No. 04-5, </w:t>
      </w:r>
      <w:r>
        <w:rPr>
          <w:rFonts w:ascii="Arial" w:cs="Arial" w:eastAsia="Arial" w:hAnsi="Arial"/>
          <w:sz w:val="16"/>
          <w:szCs w:val="16"/>
          <w:i w:val="1"/>
          <w:iCs w:val="1"/>
          <w:color w:val="auto"/>
        </w:rPr>
        <w:t>Determining Whether a General Partner, or the General Partners as a Group, Controls a Limited Partnership or</w:t>
      </w:r>
      <w:r>
        <w:rPr>
          <w:rFonts w:ascii="Arial" w:cs="Arial" w:eastAsia="Arial" w:hAnsi="Arial"/>
          <w:sz w:val="16"/>
          <w:szCs w:val="16"/>
          <w:color w:val="auto"/>
        </w:rPr>
        <w:t xml:space="preserve"> </w:t>
      </w:r>
      <w:r>
        <w:rPr>
          <w:rFonts w:ascii="Arial" w:cs="Arial" w:eastAsia="Arial" w:hAnsi="Arial"/>
          <w:sz w:val="16"/>
          <w:szCs w:val="16"/>
          <w:i w:val="1"/>
          <w:iCs w:val="1"/>
          <w:color w:val="auto"/>
        </w:rPr>
        <w:t>Similar Entity When the Limited Partners Have Certain Rights</w:t>
      </w:r>
      <w:r>
        <w:rPr>
          <w:rFonts w:ascii="Arial" w:cs="Arial" w:eastAsia="Arial" w:hAnsi="Arial"/>
          <w:sz w:val="16"/>
          <w:szCs w:val="16"/>
          <w:color w:val="auto"/>
        </w:rPr>
        <w:t>. Although the Company has a minority economic interest in Evercore LP, it has a majority voting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controls the management of Evercore LP. Additionally, although the limited partners have an economic majority of Evercore LP, they do not have the right to dissolve the partnership or substantive kick-out rights or participating rights, and therefore lack the ability to control Evercore LP. Accordingly, the Company consolidates Evercore LP and records minority interest for the economic interest in Evercore LP held directly by the Members.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in non-majority-owned entities in which the Company has significant influence are accounted for by the Company using the equity method.</w:t>
      </w:r>
    </w:p>
    <w:p>
      <w:pPr>
        <w:spacing w:after="0" w:line="19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Reclassifications </w:t>
      </w:r>
      <w:r>
        <w:rPr>
          <w:rFonts w:ascii="Arial" w:cs="Arial" w:eastAsia="Arial" w:hAnsi="Arial"/>
          <w:sz w:val="16"/>
          <w:szCs w:val="16"/>
          <w:color w:val="auto"/>
        </w:rPr>
        <w:t>– During 2008, certain balances for prior periods have been reclassified to conform to their current presentation. These reclassifications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the reclassification of $11 and $1,706 of financing costs to Interest Expense on the Consolidated/Combined Statements of Operations for the periods ended December 31, 2006 and August 9, 2006, respectively and $811, $157 and $155 of certain expenses from Other Operating Expenses to Occupancy and Equipment Rental and Travel and Related Expenses for the twelve months ended December 31, 2007 and the periods August 10, 2006 through December 31, 2006 and January 1, 2006 through August 9, 2006, respectively, as well as the reclassification of $700 of interest receivable from Accounts Receivable to Other Current Assets and $145 of Board of Director fees from Accounts Payable and Accrued Expenses to Payable to Employees and Related Parties on the Consolidated Statement of Financial Condition as of December 31, 2007.</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accounting policies apply to both the Predecessor Company and Successor Company unless otherwise specified.</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Accounts Receivable consists primarily of advisory fees and expense reimbursements charged to the Company’s clients.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are reported net of any allowance for doubtful accounts.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Furniture, Equipment and Leasehold Improvements </w:t>
      </w:r>
      <w:r>
        <w:rPr>
          <w:rFonts w:ascii="Arial" w:cs="Arial" w:eastAsia="Arial" w:hAnsi="Arial"/>
          <w:sz w:val="18"/>
          <w:szCs w:val="18"/>
          <w:color w:val="auto"/>
        </w:rPr>
        <w:t>– Fixed assets, including office equipment, hardware and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43"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Advisory Revenue </w:t>
      </w:r>
      <w:r>
        <w:rPr>
          <w:rFonts w:ascii="Arial" w:cs="Arial" w:eastAsia="Arial" w:hAnsi="Arial"/>
          <w:sz w:val="16"/>
          <w:szCs w:val="16"/>
          <w:color w:val="auto"/>
        </w:rPr>
        <w:t>– The Company earns advisory revenue through: 1) success fees based on the occurrence of certain events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announcements or completion of various types of financial transactions; 2) retainer arrangements and 3) fairness opinions.</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recognizes advisory revenue when: 1) there is evidence of an arrangement with a client; 2) agreed upon services have been provided; 3) fees are fixed or determinable and 4) collection is reasonably assured.</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Fees paid in advance of services rendered are initially recorded as deferred revenue, which is recorded within Other Current Liabilities on the Consolidated Statements of Financial Condition, and recognized as advisory revenue ratably over the period in which the related service is rendered.</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Investment Management Revenue </w:t>
      </w:r>
      <w:r>
        <w:rPr>
          <w:rFonts w:ascii="Arial" w:cs="Arial" w:eastAsia="Arial" w:hAnsi="Arial"/>
          <w:sz w:val="18"/>
          <w:szCs w:val="18"/>
          <w:color w:val="auto"/>
        </w:rPr>
        <w:t>– The Company’s Investment Management business generates revenues from the management of the Private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Institutional Asset Management products and Wealth Management relationships.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Private Equity Revenue </w:t>
      </w:r>
      <w:r>
        <w:rPr>
          <w:rFonts w:ascii="Arial" w:cs="Arial" w:eastAsia="Arial" w:hAnsi="Arial"/>
          <w:sz w:val="18"/>
          <w:szCs w:val="18"/>
          <w:color w:val="auto"/>
        </w:rPr>
        <w:t>– Revenue from the Private equity sector is earned from Management and Portfolio Company fees, Performance fees and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on Investments in Private Equity Funds.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Management fees are contractually based and are derived from Investment Management services provided in originating, recommending and consummating investment opportunities to private equity funds. Management fees are typically paid in advance on committed capital during the private equity funds’ investment period, and on invested capital, thereafter. Management fees are initially recorded as deferred revenue and revenue is recognized ratably, thereafter, over the period during which services are provided. The management fees may provide for a management fee offset for certain portfolio company fees we earn.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also records performance fee revenue from the private equity funds when the returns on the private equity funds’ investments exceed certain threshold minimums. These performance fees, or carried interest, are computed in accordance with the underlying private equity funds’ partnership agreements and are based on investment performance over the life of each investment partnership. Performance fees are recorded as revenue as earned pursuant to the client agreements.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Institutional Asset Management Revenue </w:t>
      </w:r>
      <w:r>
        <w:rPr>
          <w:rFonts w:ascii="Arial" w:cs="Arial" w:eastAsia="Arial" w:hAnsi="Arial"/>
          <w:sz w:val="18"/>
          <w:szCs w:val="18"/>
          <w:color w:val="auto"/>
        </w:rPr>
        <w:t>– Revenue earned by the Institutional Asset Management sector includes PCB’s management fees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fees.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Wealth Management Revenue </w:t>
      </w:r>
      <w:r>
        <w:rPr>
          <w:rFonts w:ascii="Arial" w:cs="Arial" w:eastAsia="Arial" w:hAnsi="Arial"/>
          <w:sz w:val="16"/>
          <w:szCs w:val="16"/>
          <w:color w:val="auto"/>
        </w:rPr>
        <w:t>– Revenue from the Wealth Management sector is earned through the management of client investment portfolios.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based management fees are charged as a percentage of assets under management and recognized on an accrual basis.</w:t>
      </w:r>
    </w:p>
    <w:p>
      <w:pPr>
        <w:spacing w:after="0" w:line="85"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b w:val="1"/>
          <w:bCs w:val="1"/>
          <w:i w:val="1"/>
          <w:iCs w:val="1"/>
          <w:color w:val="auto"/>
        </w:rPr>
        <w:t>Net Interest 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Net interest revenue is derived primarily from investing customer funds in financing transactions by PCB. These transactions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principally repurchases and resales of Mexican government securities. Revenue and expenses associated with these transactions are recognized over the term of the repurchase or resale transaction. Net interest revenue also includes interest expense associated with the $120,000 principal amount of senior unsecured notes (“Senior Notes”), as well as income earned on marketable securities and cash deposited with financial institutions.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Client Expense Reimbursement </w:t>
      </w:r>
      <w:r>
        <w:rPr>
          <w:rFonts w:ascii="Arial" w:cs="Arial" w:eastAsia="Arial" w:hAnsi="Arial"/>
          <w:sz w:val="18"/>
          <w:szCs w:val="18"/>
          <w:color w:val="auto"/>
        </w:rPr>
        <w:t>– In the conduct of its financial advisory service engagements and in the pursuit of successful Portfolio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for the Private Equity Funds, the Company receives reimbursement for certain transaction-related expenses incurred by the Company on behalf of its clients and the funds. Such reimbursements are classified as either Advisory or Investment Management Revenues, as applicable. Transaction-related expenses, which are billable to clients, are recognized as revenue and recorded in Accounts Receivable on the later of the date of an executed engagement letter or the date the expense is incurred.</w:t>
      </w:r>
    </w:p>
    <w:p>
      <w:pPr>
        <w:spacing w:after="0" w:line="143"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Minority Interest </w:t>
      </w:r>
      <w:r>
        <w:rPr>
          <w:rFonts w:ascii="Arial" w:cs="Arial" w:eastAsia="Arial" w:hAnsi="Arial"/>
          <w:sz w:val="18"/>
          <w:szCs w:val="18"/>
          <w:color w:val="auto"/>
        </w:rPr>
        <w:t>– Minority interest recorded on the consolidated financial statements of the Successor Company relates to the interest of the Members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Evercore LP and the portions of PCB and EWM not owned by the Company.</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 Cash and Cash Equivalents consist of short-term highly liquid investments with remaining maturities of three months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less. The amounts recognized in Cash and Cash Equivalents on the Consolidated Statements of Financial Condition approximate fair value.</w:t>
      </w:r>
    </w:p>
    <w:p>
      <w:pPr>
        <w:spacing w:after="0" w:line="85"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b w:val="1"/>
          <w:bCs w:val="1"/>
          <w:i w:val="1"/>
          <w:iCs w:val="1"/>
          <w:color w:val="auto"/>
        </w:rPr>
        <w:t xml:space="preserve">Fair Value of Financial Instruments </w:t>
      </w:r>
      <w:r>
        <w:rPr>
          <w:rFonts w:ascii="Arial" w:cs="Arial" w:eastAsia="Arial" w:hAnsi="Arial"/>
          <w:sz w:val="15"/>
          <w:szCs w:val="15"/>
          <w:color w:val="auto"/>
        </w:rPr>
        <w:t>– The majority of the Company’s assets and liabilities are recorded at fair value or at amounts that approximate fair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Such assets and liabilities include cash and cash equivalents, investments, securities, financial instruments, repurchase and reverse repurchase agreements, receivables and payables, and accruals. As of December 31, 2008, the carrying amount of the Company’s Senior Notes approximates its fair value.</w:t>
      </w:r>
    </w:p>
    <w:p>
      <w:pPr>
        <w:spacing w:after="0" w:line="88"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 xml:space="preserve">Effective January 1, 2008, the Company adopted Statement of Financial Accounting Standards (“SFAS”)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(“SFAS 157”), which among other things requires enhanced disclosures about financial instruments carried at fair value. See Note 10 for further information.</w:t>
      </w:r>
    </w:p>
    <w:p>
      <w:pPr>
        <w:spacing w:after="0" w:line="62"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 xml:space="preserve">The Company adopted SFAS No. 159, </w:t>
      </w:r>
      <w:r>
        <w:rPr>
          <w:rFonts w:ascii="Arial" w:cs="Arial" w:eastAsia="Arial" w:hAnsi="Arial"/>
          <w:sz w:val="15"/>
          <w:szCs w:val="15"/>
          <w:i w:val="1"/>
          <w:iCs w:val="1"/>
          <w:color w:val="auto"/>
        </w:rPr>
        <w:t>The Fair Value Option for Financial Assets and Financial Liabilities</w:t>
      </w:r>
      <w:r>
        <w:rPr>
          <w:rFonts w:ascii="Arial" w:cs="Arial" w:eastAsia="Arial" w:hAnsi="Arial"/>
          <w:sz w:val="15"/>
          <w:szCs w:val="15"/>
          <w:color w:val="auto"/>
        </w:rPr>
        <w:t xml:space="preserve"> (“SFAS 159”), which permits entities the option to measure most financial instruments and certain other items at fair value at specified election dates and to report related unrealized gains and losses in earnings. The Company adopted SFAS 159 on January 1, 2008 and has not elected to apply the fair value option to any specific financial assets or liabilities.</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Investments in corporate bonds are accounted for as available-for-sale under SFAS No. 115,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for Certain Investments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These securities are carried at fair value on the Consolidated Statements of Financial Condition. Unrealized gains and losses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as net increases or decreases to Accumulated Other Comprehensive Income (Loss), net of tax, while realized gains and losses on these securities are determined using the specific identification method and are included in Other Revenue on the Consolidated/Combined Statements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invests in readily-marketable equity securities. These securities are valued using quoted market prices on applicable exchanges or markets.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transactions are recorded as of the trade date.</w:t>
      </w:r>
    </w:p>
    <w:p>
      <w:pPr>
        <w:spacing w:after="0" w:line="165"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b w:val="1"/>
          <w:bCs w:val="1"/>
          <w:i w:val="1"/>
          <w:iCs w:val="1"/>
          <w:color w:val="auto"/>
        </w:rPr>
        <w:t xml:space="preserve">Financial Instruments Owned and Pledged as Collateral at Fair Value </w:t>
      </w:r>
      <w:r>
        <w:rPr>
          <w:rFonts w:ascii="Arial" w:cs="Arial" w:eastAsia="Arial" w:hAnsi="Arial"/>
          <w:sz w:val="15"/>
          <w:szCs w:val="15"/>
          <w:color w:val="auto"/>
        </w:rPr>
        <w:t>– The Company’s Financial Instruments Owned and Pledged as Collateral at Fair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consist principally of foreign government obligations, which are recorded on a trade date basis and are stated at quoted market values. Related gains and losses are reflected in Other Revenue on the Consolidated/Combined Statements of Operations. The Successor Company pledges the Financial Instruments Owned and Pledged as Collateral at Fair Value to collateralize certain financing arrangements which permits the counterparty to pledge the securities.</w:t>
      </w:r>
    </w:p>
    <w:p>
      <w:pPr>
        <w:spacing w:after="0" w:line="9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Securities Purchased Under Agreements to Resell and Securities Sold Under Agreements to Repurchase </w:t>
      </w:r>
      <w:r>
        <w:rPr>
          <w:rFonts w:ascii="Arial" w:cs="Arial" w:eastAsia="Arial" w:hAnsi="Arial"/>
          <w:sz w:val="18"/>
          <w:szCs w:val="18"/>
          <w:color w:val="auto"/>
        </w:rPr>
        <w:t>– Securities Purchased Under Agreements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Resell and Securities Sold Under Agreements to Repurchase are treated as collateralized financing transactions. The agreements provide that the transferor will receive substantially the same securities in return at the maturity of the agreement and the transferor will obtain from the transferee sufficient cash or collateral to purchase such securities during the term of the agreement. These transactions are carried at the amounts at which the related securities will be subsequently resold or repurchased, plus accrued interest payable or receivable. As these transactions are short-term in nature, their carrying amounts are a reasonable estimate of fair value.</w:t>
      </w:r>
    </w:p>
    <w:p>
      <w:pPr>
        <w:spacing w:after="0" w:line="144"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Investments </w:t>
      </w:r>
      <w:r>
        <w:rPr>
          <w:rFonts w:ascii="Arial" w:cs="Arial" w:eastAsia="Arial" w:hAnsi="Arial"/>
          <w:sz w:val="15"/>
          <w:szCs w:val="15"/>
          <w:color w:val="auto"/>
        </w:rPr>
        <w:t>– The Company’s investments include investments in Private Equity Funds and the Company’s equity interests in EAM, Pan and HighView,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are accounted for under the equity method of accounting. The Company recognizes its allocable share of the fair value of the private equity funds’ underlying investments as realized and unrealized gains (losses), which are reflected as revenue in the Consolidated/Combined Statements of Operations.</w:t>
      </w:r>
    </w:p>
    <w:p>
      <w:pPr>
        <w:spacing w:after="0" w:line="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Private Equity Funds consist primarily of investments in marketable and non-marketable securities of the Portfolio Companies. The underlying investments held by the Private Equity Funds are valued based on quoted market prices or estimated fair value if there is no public market.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 Investments in publicly-traded securities held by the Private Equity Funds are valued using quoted market prices. The Company’s equity interests in EAM, Pan and HighView are integral to the operations of the Investment Management business and the Company therefore includes its share of their income (loss) in Investment Management Revenue in the Consolidated/Combined Statements of Operations.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The Company assesses its Equity Method Investments annually for impairment per Accounting Principles Board (“APB”) Opinion No. 18, </w:t>
      </w:r>
      <w:r>
        <w:rPr>
          <w:rFonts w:ascii="Arial" w:cs="Arial" w:eastAsia="Arial" w:hAnsi="Arial"/>
          <w:sz w:val="18"/>
          <w:szCs w:val="18"/>
          <w:i w:val="1"/>
          <w:iCs w:val="1"/>
          <w:color w:val="auto"/>
        </w:rPr>
        <w:t>The Equity</w:t>
      </w:r>
      <w:r>
        <w:rPr>
          <w:rFonts w:ascii="Arial" w:cs="Arial" w:eastAsia="Arial" w:hAnsi="Arial"/>
          <w:sz w:val="18"/>
          <w:szCs w:val="18"/>
          <w:color w:val="auto"/>
        </w:rPr>
        <w:t xml:space="preserve"> </w:t>
      </w:r>
      <w:r>
        <w:rPr>
          <w:rFonts w:ascii="Arial" w:cs="Arial" w:eastAsia="Arial" w:hAnsi="Arial"/>
          <w:sz w:val="18"/>
          <w:szCs w:val="18"/>
          <w:i w:val="1"/>
          <w:iCs w:val="1"/>
          <w:color w:val="auto"/>
        </w:rPr>
        <w:t>Method of Accounting for Investments in Common Stock</w:t>
      </w:r>
      <w:r>
        <w:rPr>
          <w:rFonts w:ascii="Arial" w:cs="Arial" w:eastAsia="Arial" w:hAnsi="Arial"/>
          <w:sz w:val="18"/>
          <w:szCs w:val="18"/>
          <w:color w:val="auto"/>
        </w:rPr>
        <w:t>.</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 As per SFAS No. 142,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Goodwill and Other Intangible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and Intangible Assets are tested for impairment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annually or more frequently if circumstances indicate impairment may have occurred. The Company assesses whether any goodwill recorded by its applicable reporting unit is impaired by comparing the fair value of each business with its respective carrying amount. The Company uses judgment and information available at the time to perform this analysis.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 xml:space="preserve">Intangible assets with finite lives are amortized over their estimated useful lives and are reviewed for impairment whenever events or changes in circumstances indicate that the carrying amount of such assets may not be recoverable as prescribed by SFAS No. 144, </w:t>
      </w:r>
      <w:r>
        <w:rPr>
          <w:rFonts w:ascii="Arial" w:cs="Arial" w:eastAsia="Arial" w:hAnsi="Arial"/>
          <w:sz w:val="16"/>
          <w:szCs w:val="16"/>
          <w:i w:val="1"/>
          <w:iCs w:val="1"/>
          <w:color w:val="auto"/>
        </w:rPr>
        <w:t>Accounting for the Impairment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Disposal of Long-Lived Assets. </w:t>
      </w:r>
      <w:r>
        <w:rPr>
          <w:rFonts w:ascii="Arial" w:cs="Arial" w:eastAsia="Arial" w:hAnsi="Arial"/>
          <w:sz w:val="16"/>
          <w:szCs w:val="16"/>
          <w:color w:val="auto"/>
        </w:rPr>
        <w:t>The Company performs this analysis by comparing the carrying value of the intangible asset to the current and expected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expected to be generated from such asset on an undiscounted basis, including eventual disposition. An impairment loss would be measured for the amount by which the carrying amount of the long-lived asset exceeds its fair value.</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Compensation and Benefits </w:t>
      </w:r>
      <w:r>
        <w:rPr>
          <w:rFonts w:ascii="Arial" w:cs="Arial" w:eastAsia="Arial" w:hAnsi="Arial"/>
          <w:sz w:val="16"/>
          <w:szCs w:val="16"/>
          <w:color w:val="auto"/>
        </w:rPr>
        <w:t>– Compensation includes salaries, bonuses (discretionary awards and guaranteed amounts), severance and stock-based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but historically excluded any compensatory payments made to Members. Prior to the Company’s IPO, the Members historically received periodic distributions of operating proceeds, which are reported in the Statements of Changes in Members’ Equity as distributions. After the Company’s IPO, compensatory payments made to these individuals are included in compensation expense. Cash and equity-based bonuses are accrued over the respective service periods to which they relate. Benefits include both Member and employee benefits expense.</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 Prior to the IPO, the Predecessor Company operated as a series of partnerships, limited liability companies and Subchapter 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corporations and did not historically issue stock-based compensation awards. The Company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on January 1, 2006 and the impact on the Company’s Consolidated Statements of Financial Condition and Statements of Operations subsequent to the IPO is discussed in Note 17—Stock-Based Compensation.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Compensation expense recognized pursuant to stock-based awards is based on the grant date fair value of the award. The fair value (as measured on the grant date) of awards that vest from one to five years (“Service-based Awards”) is amortized over the vesting periods or requisite service periods as required under SFAS 123(R), however, the vesting of some Service-based Awards will accelerate upon the occurrence of certain events. The requisite service period for retirement eligible employees is the period of grant or the period from grant date to the retirement eligible date, if shorter than the vesting period. For the purposes of calculating diluted net income per share, unvested Service-based Awards are included in the diluted weighted average shares of Class A common stock outstanding using the treasury stock method. Once vested, restricted stock units (“RSUs”) and restricted stock are included in the basic and diluted weighted average shares of Class A common stock outstanding. Expense relating to RSUs and restricted stock is charged to Employee Compensation and Benefits within the Consolidated Statements of Operations.</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 Foreign currency assets and liabilities have been translated at rates of exchange prevailing at the end of the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Income and expenses transacted in foreign currency have been translated at average monthly exchange rates during the period. Translation gains and losses are included in the foreign currency translation adjustment as a component of Accumulated Other Comprehensive Income (Loss) in the Consolidated Statement of Changes in Stockholders’ Equity.</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Prior to August 10, 2006, the Company had not been subject to U.S. federal income tax, but had been subject to the New York City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unincorporated business tax (“UBT”) and New York City general corporate tax on its U.S. earnings, and certain non-income tax fees in other jurisdictions where the Company had registered offices and conducted business. The Company’s operations were historically organized as a series of partnerships, limited liability companies and Subchapter S corporations. Taxes related to income earned by these entities represent obligations of the individual Members, partners or shareholders and have not historically been reflected in the Predecessor Company’s combined financial statements. Commencing August 10, 2006,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 xml:space="preserve">Company became subject to U.S. corporate federal income tax on its allocable share of the results of operations of the Company. 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the recognition of tax benefits or expenses on temporary differences between the financial reporting and tax bases of its assets and liabilities, as disclosed in Note 20 – Income Taxes.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financial reporting and tax bases of assets and liabilities and are measured using the enacted tax rates and laws that will be in effect when such differences are expected to reverse. Such temporary differences are reflected on the Company’s Consolidated Statements of Financial Condition as deferred tax assets and liabilities.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On January 1, 2007, the Company adopted Financial Accounting Standards Board (“FASB”) Interpretation No. 48, </w:t>
      </w:r>
      <w:r>
        <w:rPr>
          <w:rFonts w:ascii="Arial" w:cs="Arial" w:eastAsia="Arial" w:hAnsi="Arial"/>
          <w:sz w:val="18"/>
          <w:szCs w:val="18"/>
          <w:i w:val="1"/>
          <w:iCs w:val="1"/>
          <w:color w:val="auto"/>
        </w:rPr>
        <w:t>Accounting for Uncertainty in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Taxes-An Interpretation of FASB Statement No. 109 </w:t>
      </w:r>
      <w:r>
        <w:rPr>
          <w:rFonts w:ascii="Arial" w:cs="Arial" w:eastAsia="Arial" w:hAnsi="Arial"/>
          <w:sz w:val="18"/>
          <w:szCs w:val="18"/>
          <w:color w:val="auto"/>
        </w:rPr>
        <w:t>(“FIN 48”). FIN 48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FIN 48 also requires the recognition of liabilities created by differences between tax positions taken in a tax return and amounts recognized in the financial statements. See Note 20– Income Taxes for disclosure in regard to the impact of the adoption of FIN 48 on the Company’s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SFAS 141(</w:t>
      </w:r>
      <w:r>
        <w:rPr>
          <w:rFonts w:ascii="Arial" w:cs="Arial" w:eastAsia="Arial" w:hAnsi="Arial"/>
          <w:sz w:val="16"/>
          <w:szCs w:val="16"/>
          <w:color w:val="auto"/>
        </w:rPr>
        <w:t>R) – In December 2007, the FASB issued SFAS No. 141(R),</w:t>
      </w:r>
      <w:r>
        <w:rPr>
          <w:rFonts w:ascii="Arial" w:cs="Arial" w:eastAsia="Arial" w:hAnsi="Arial"/>
          <w:sz w:val="16"/>
          <w:szCs w:val="16"/>
          <w:i w:val="1"/>
          <w:iCs w:val="1"/>
          <w:color w:val="auto"/>
        </w:rPr>
        <w:t xml:space="preserve"> Business Combinations </w:t>
      </w:r>
      <w:r>
        <w:rPr>
          <w:rFonts w:ascii="Arial" w:cs="Arial" w:eastAsia="Arial" w:hAnsi="Arial"/>
          <w:sz w:val="16"/>
          <w:szCs w:val="16"/>
          <w:color w:val="auto"/>
        </w:rPr>
        <w:t>(“SFAS 141(R)”). SFAS 141(R) requires the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entity in a business combination to recognize the full fair value of assets acquired and liabilities assumed in the transaction (whether a full or partial acquisition); establishes the acquisition-date fair value as the measurement objective for all assets acquired and liabilities assumed; requires expensing of most transaction and restructuring costs; and requires the acquirer to disclose to investors and other users all of the information needed to evaluate and understand the nature and financial effect of the business combination. SFAS 141(R) is effective for business combinations for which the acquisition date is on or after the beginning of the first annual reporting period beginning on or after December 15, 2008. As a result of the issuance of SFAS 141(R), the Company recognized Acquisition and Transition Costs for the twelve months ended December 31, 2008. See Note 5 to the consolidated/combined financial statements.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SFAS 160 – </w:t>
      </w:r>
      <w:r>
        <w:rPr>
          <w:rFonts w:ascii="Arial" w:cs="Arial" w:eastAsia="Arial" w:hAnsi="Arial"/>
          <w:sz w:val="18"/>
          <w:szCs w:val="18"/>
          <w:color w:val="auto"/>
        </w:rPr>
        <w:t>In December 2007, the FASB issued SFAS No. 160,</w:t>
      </w:r>
      <w:r>
        <w:rPr>
          <w:rFonts w:ascii="Arial" w:cs="Arial" w:eastAsia="Arial" w:hAnsi="Arial"/>
          <w:sz w:val="18"/>
          <w:szCs w:val="18"/>
          <w:i w:val="1"/>
          <w:iCs w:val="1"/>
          <w:color w:val="auto"/>
        </w:rPr>
        <w:t xml:space="preserve"> Noncontrolling Interests in Consolidated Financial Statements – an amendment of ARB No. 51 </w:t>
      </w:r>
      <w:r>
        <w:rPr>
          <w:rFonts w:ascii="Arial" w:cs="Arial" w:eastAsia="Arial" w:hAnsi="Arial"/>
          <w:sz w:val="18"/>
          <w:szCs w:val="18"/>
          <w:color w:val="auto"/>
        </w:rPr>
        <w:t>(“SFAS 160”), which amends ARB 51. SFAS 160 requires reporting entities to present noncontrolling (minority) interests as equity (as opposed to as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or mezzanine equity) and provides guidance on the accounting for transactions between an entity and noncontrolling interests. SFAS 160 is effective for fiscal years, and interim periods within those fiscal years, beginning on or after December 15, 2008. The adoption of SFAS 160 will affect the presentation of the Consolidated Financial Statements, primarily by including non-controlling interest as a separate component of stockholders’ equity on the Consolidated Statements of Financial Condition.</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FSP FAS 157-3 </w:t>
      </w:r>
      <w:r>
        <w:rPr>
          <w:rFonts w:ascii="Arial" w:cs="Arial" w:eastAsia="Arial" w:hAnsi="Arial"/>
          <w:sz w:val="16"/>
          <w:szCs w:val="16"/>
          <w:color w:val="auto"/>
        </w:rPr>
        <w:t>– In October 2008, the FASB issued FASB Staff Position (“FSP”) No. FAS 157-3,</w:t>
      </w:r>
      <w:r>
        <w:rPr>
          <w:rFonts w:ascii="Arial" w:cs="Arial" w:eastAsia="Arial" w:hAnsi="Arial"/>
          <w:sz w:val="16"/>
          <w:szCs w:val="16"/>
          <w:i w:val="1"/>
          <w:iCs w:val="1"/>
          <w:color w:val="auto"/>
        </w:rPr>
        <w:t xml:space="preserve"> Determining the Fair Value of a Financial Asset When the Market For That Asset Is Not Active </w:t>
      </w:r>
      <w:r>
        <w:rPr>
          <w:rFonts w:ascii="Arial" w:cs="Arial" w:eastAsia="Arial" w:hAnsi="Arial"/>
          <w:sz w:val="16"/>
          <w:szCs w:val="16"/>
          <w:color w:val="auto"/>
        </w:rPr>
        <w:t>(“FSP FAS 157-3”), which clarifies the application of SFAS 157 in an inactive market and provides an illustrative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to demonstrate how the fair value of a financial asset is determined when the market for that financial asset is inactive. FSP FAS 157-3 was effective upon issuance and did not have a material impact on the Company’s financial condition, results of operations or cash flows.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FSP FAS 140-4 and FIN 46(R)-8 </w:t>
      </w:r>
      <w:r>
        <w:rPr>
          <w:rFonts w:ascii="Arial" w:cs="Arial" w:eastAsia="Arial" w:hAnsi="Arial"/>
          <w:sz w:val="16"/>
          <w:szCs w:val="16"/>
          <w:color w:val="auto"/>
        </w:rPr>
        <w:t>– In December 2008, the FASB issued FSP No. FAS 140-4 and FIN 46(R)-8,</w:t>
      </w:r>
      <w:r>
        <w:rPr>
          <w:rFonts w:ascii="Arial" w:cs="Arial" w:eastAsia="Arial" w:hAnsi="Arial"/>
          <w:sz w:val="16"/>
          <w:szCs w:val="16"/>
          <w:i w:val="1"/>
          <w:iCs w:val="1"/>
          <w:color w:val="auto"/>
        </w:rPr>
        <w:t xml:space="preserve"> Disclosures by Public Entities (Enterprises) about Transfers of Financial Assets and Interests in Variable Interest Entities. </w:t>
      </w:r>
      <w:r>
        <w:rPr>
          <w:rFonts w:ascii="Arial" w:cs="Arial" w:eastAsia="Arial" w:hAnsi="Arial"/>
          <w:sz w:val="16"/>
          <w:szCs w:val="16"/>
          <w:color w:val="auto"/>
        </w:rPr>
        <w:t>This FSP requires public entities to provide additional disclosures about transfers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financial assets. It also amends FASB Interpretation No. 46(R), </w:t>
      </w:r>
      <w:r>
        <w:rPr>
          <w:rFonts w:ascii="Arial" w:cs="Arial" w:eastAsia="Arial" w:hAnsi="Arial"/>
          <w:sz w:val="16"/>
          <w:szCs w:val="16"/>
          <w:i w:val="1"/>
          <w:iCs w:val="1"/>
          <w:color w:val="auto"/>
        </w:rPr>
        <w:t>Consolidation of Variable Interest Entities – An Interpretation of ARB No. 51</w:t>
      </w:r>
      <w:r>
        <w:rPr>
          <w:rFonts w:ascii="Arial" w:cs="Arial" w:eastAsia="Arial" w:hAnsi="Arial"/>
          <w:sz w:val="16"/>
          <w:szCs w:val="16"/>
          <w:color w:val="auto"/>
        </w:rPr>
        <w:t xml:space="preserve"> (“FIN 46(R)”) to require public enterprises, including sponsors that have a variable interest in a variable interest entity, to provide additional disclosures about their involvements with variable interest entities. The disclosures required by this FSP are intended to provide greater transparency to financial statement users about a transferor’s continuing involvement with transferred financial assets and an enterprise’s involvement with variable interest entities and qualifying special purpose entities. This FSP is effective for the first reporting period ending on or after December 15, 2008 and was adopted as of December 31, 2008. See Note 9 to the consolidated/combined financial statements.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FSP EITF 99-20-1</w:t>
      </w:r>
      <w:r>
        <w:rPr>
          <w:rFonts w:ascii="Arial" w:cs="Arial" w:eastAsia="Arial" w:hAnsi="Arial"/>
          <w:sz w:val="16"/>
          <w:szCs w:val="16"/>
          <w:color w:val="auto"/>
        </w:rPr>
        <w:t>– In January 2009, the FASB issued FSP No. EITF 99-20-1,</w:t>
      </w:r>
      <w:r>
        <w:rPr>
          <w:rFonts w:ascii="Arial" w:cs="Arial" w:eastAsia="Arial" w:hAnsi="Arial"/>
          <w:sz w:val="16"/>
          <w:szCs w:val="16"/>
          <w:i w:val="1"/>
          <w:iCs w:val="1"/>
          <w:color w:val="auto"/>
        </w:rPr>
        <w:t xml:space="preserve"> Amendments to the Impairment Guidance of EITF Issue No. 99-20</w:t>
      </w:r>
      <w:r>
        <w:rPr>
          <w:rFonts w:ascii="Arial" w:cs="Arial" w:eastAsia="Arial" w:hAnsi="Arial"/>
          <w:sz w:val="16"/>
          <w:szCs w:val="16"/>
          <w:color w:val="auto"/>
        </w:rPr>
        <w:t>.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FSP amends the impairment guidance in EITF Issue No. 99-20, </w:t>
      </w:r>
      <w:r>
        <w:rPr>
          <w:rFonts w:ascii="Arial" w:cs="Arial" w:eastAsia="Arial" w:hAnsi="Arial"/>
          <w:sz w:val="16"/>
          <w:szCs w:val="16"/>
          <w:i w:val="1"/>
          <w:iCs w:val="1"/>
          <w:color w:val="auto"/>
        </w:rPr>
        <w:t>Recognition of Interest Income and Impairment on Purchased Beneficial Interests and Beneficial</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Interests That Continue to Be Held by a Transferor in Securitized Financial Assets</w:t>
      </w:r>
      <w:r>
        <w:rPr>
          <w:rFonts w:ascii="Arial" w:cs="Arial" w:eastAsia="Arial" w:hAnsi="Arial"/>
          <w:sz w:val="16"/>
          <w:szCs w:val="16"/>
          <w:color w:val="auto"/>
        </w:rPr>
        <w:t>, to achieve more consistent determination of whether an other-than-temporary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impairment has occurred. The FSP also retains and emphasizes the objective of an other-than-temporary impairment assessment and the related disclosure requirements in FASB Statement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and other related guidance. The FSP is effective for interim and annual reporting periods ending after December 15, 2008. The adoption of FSP No. EITF 99-20-1 did not have a material impact on the Company’s financial condition, results of operations or cash flows.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EITF 08-6 </w:t>
      </w:r>
      <w:r>
        <w:rPr>
          <w:rFonts w:ascii="Arial" w:cs="Arial" w:eastAsia="Arial" w:hAnsi="Arial"/>
          <w:sz w:val="18"/>
          <w:szCs w:val="18"/>
          <w:color w:val="auto"/>
        </w:rPr>
        <w:t>– In November 2008, the FASB issued EITF 08-6,</w:t>
      </w:r>
      <w:r>
        <w:rPr>
          <w:rFonts w:ascii="Arial" w:cs="Arial" w:eastAsia="Arial" w:hAnsi="Arial"/>
          <w:sz w:val="18"/>
          <w:szCs w:val="18"/>
          <w:i w:val="1"/>
          <w:iCs w:val="1"/>
          <w:color w:val="auto"/>
        </w:rPr>
        <w:t xml:space="preserve"> Equity Method Investment Accounting Considerations. </w:t>
      </w:r>
      <w:r>
        <w:rPr>
          <w:rFonts w:ascii="Arial" w:cs="Arial" w:eastAsia="Arial" w:hAnsi="Arial"/>
          <w:sz w:val="18"/>
          <w:szCs w:val="18"/>
          <w:color w:val="auto"/>
        </w:rPr>
        <w:t>The objective of this EITF is to</w:t>
      </w:r>
      <w:r>
        <w:rPr>
          <w:rFonts w:ascii="Arial" w:cs="Arial" w:eastAsia="Arial" w:hAnsi="Arial"/>
          <w:sz w:val="18"/>
          <w:szCs w:val="18"/>
          <w:i w:val="1"/>
          <w:iCs w:val="1"/>
          <w:color w:val="auto"/>
        </w:rPr>
        <w:t xml:space="preserve"> </w:t>
      </w:r>
      <w:r>
        <w:rPr>
          <w:rFonts w:ascii="Arial" w:cs="Arial" w:eastAsia="Arial" w:hAnsi="Arial"/>
          <w:sz w:val="18"/>
          <w:szCs w:val="18"/>
          <w:color w:val="auto"/>
        </w:rPr>
        <w:t>clarify the accounting for certain transactions and impairment considerations involving equity method investments. This issue is effective in fiscal years beginning on or after December 15, 2008. The adoption of EITF 08-6 is not expected to have a material impact on the Company’s financial condition, results of operations or cash flows.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EITF 07-5 </w:t>
      </w:r>
      <w:r>
        <w:rPr>
          <w:rFonts w:ascii="Arial" w:cs="Arial" w:eastAsia="Arial" w:hAnsi="Arial"/>
          <w:sz w:val="18"/>
          <w:szCs w:val="18"/>
          <w:color w:val="auto"/>
        </w:rPr>
        <w:t>– In December 2008, the FASB issued EITF 07-5,</w:t>
      </w:r>
      <w:r>
        <w:rPr>
          <w:rFonts w:ascii="Arial" w:cs="Arial" w:eastAsia="Arial" w:hAnsi="Arial"/>
          <w:sz w:val="18"/>
          <w:szCs w:val="18"/>
          <w:i w:val="1"/>
          <w:iCs w:val="1"/>
          <w:color w:val="auto"/>
        </w:rPr>
        <w:t xml:space="preserve"> Determining Whether an Instrument (or Embedded feature) is Indexed to an Entity’s Own Stock. </w:t>
      </w:r>
      <w:r>
        <w:rPr>
          <w:rFonts w:ascii="Arial" w:cs="Arial" w:eastAsia="Arial" w:hAnsi="Arial"/>
          <w:sz w:val="18"/>
          <w:szCs w:val="18"/>
          <w:color w:val="auto"/>
        </w:rPr>
        <w:t>This EITF was issued to address concerns regarding the meaning of the phrase “indexed to an entity’s own stock” within the application of SFAS No. 133</w:t>
      </w:r>
      <w:r>
        <w:rPr>
          <w:rFonts w:ascii="Arial" w:cs="Arial" w:eastAsia="Arial" w:hAnsi="Arial"/>
          <w:sz w:val="18"/>
          <w:szCs w:val="18"/>
          <w:i w:val="1"/>
          <w:iCs w:val="1"/>
          <w:color w:val="auto"/>
        </w:rPr>
        <w:t xml:space="preserve"> </w:t>
      </w:r>
      <w:r>
        <w:rPr>
          <w:rFonts w:ascii="Arial" w:cs="Arial" w:eastAsia="Arial" w:hAnsi="Arial"/>
          <w:sz w:val="18"/>
          <w:szCs w:val="18"/>
          <w:color w:val="auto"/>
        </w:rPr>
        <w:t>and EITF Issue 00-19. This issue is effective for fiscal years beginning on or after December 15, 2008. The adoption of EITF 07-5 is not expected to have a material impact on the Company’s financial condition, results of operations or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Changes and Developments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Formation Transaction </w:t>
      </w:r>
      <w:r>
        <w:rPr>
          <w:rFonts w:ascii="Arial" w:cs="Arial" w:eastAsia="Arial" w:hAnsi="Arial"/>
          <w:sz w:val="18"/>
          <w:szCs w:val="18"/>
          <w:color w:val="auto"/>
        </w:rPr>
        <w:t>– The Company completed an IPO of its Class A common stock on August 16, 2006. The Company also consummated a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internal reorganization transactions to transition the Company to its current organizational structure. Costs of $7,318 directly attributable to the Company’s IPO were deferred and charged against the proceeds of the IPO.</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Business Combination with Protego </w:t>
      </w:r>
      <w:r>
        <w:rPr>
          <w:rFonts w:ascii="Arial" w:cs="Arial" w:eastAsia="Arial" w:hAnsi="Arial"/>
          <w:sz w:val="16"/>
          <w:szCs w:val="16"/>
          <w:color w:val="auto"/>
        </w:rPr>
        <w:t>– The Company combined its business with that of Protego and its subsidiaries and Protego SI, an investment banking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boutique in Mexico that provides advisory and investment management services to a wide array of clients in Latin America.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combination with Protego occurred prior to but in conjunction with the Formation Transaction and the closing of the IPO on August 16, 2006. Pursuant to the executed contribution and sales agreement, which is referred to collectively as the “Protego Combination,”</w:t>
      </w:r>
    </w:p>
    <w:p>
      <w:pPr>
        <w:spacing w:after="0" w:line="51" w:lineRule="exact"/>
        <w:rPr>
          <w:sz w:val="20"/>
          <w:szCs w:val="20"/>
          <w:color w:val="auto"/>
        </w:rPr>
      </w:pPr>
    </w:p>
    <w:p>
      <w:pPr>
        <w:ind w:left="900" w:right="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Evercore LP acquired all of Protego and its subsidiaries (including a 70% interest in PCB, Protego’s asset management subsidiary) and Protego SI in exchange for $7,000 aggregate principal amount of non-interest bearing notes; and</w:t>
      </w:r>
    </w:p>
    <w:p>
      <w:pPr>
        <w:spacing w:after="0" w:line="50"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Protego Directors became Senior Managing Directors of the Predecessor Company and subscribed, collectively with certain companies they control, certain trusts benefiting their families and a trust benefiting certain Directors and employees of Protego, for 1,760,187 vested and 351,362 unvested partnership units of Evercore LP.</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Of the $7,000 in notes issued in consideration for the Protego Combination, $6,050 was paid in cash and $950 was issued in shares of Class A common stock valued at the IPO price of $21.00 per share. The Company issued 45,238 shares of Class A common stock upon the repayment of such notes. In addition, Protego distributed to its Directors cash and interests in certain accounts receivables, so as to distribute to its Directors all earnings for the period from January 1, 2005 through the closing date of August 9, 2006.</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The Company accounted for the vested partnership units of Evercore LP issued in the Protego Combination as a component of the estimated purchase price pursuant to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estimated value of the vested Evercore LP partnership units was determined by management.</w:t>
      </w:r>
    </w:p>
    <w:p>
      <w:pPr>
        <w:spacing w:after="0" w:line="85"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Company accounted for the unvested partnership units issued in the Protego Combination as future compensation expense and not as part of the purchase consideration. In accordance with SFAS 123(R), the unvested partnership units of Evercore LP will be charged to expense at the time a vesting event occurs or, if earlier, at the time a vesting event becomes probable. The expense will be based on the grant date fair value of the partnership units of Evercore LP.</w:t>
      </w:r>
    </w:p>
    <w:p>
      <w:pPr>
        <w:spacing w:after="0" w:line="8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results of operations for Protego subsequent to the combination are reflected in the December 31, 2008, 2007 and 2006, consolidated financial statements of Evercore Partners Inc.</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Acquisition of Braveheart </w:t>
      </w:r>
      <w:r>
        <w:rPr>
          <w:rFonts w:ascii="Arial" w:cs="Arial" w:eastAsia="Arial" w:hAnsi="Arial"/>
          <w:sz w:val="16"/>
          <w:szCs w:val="16"/>
          <w:color w:val="auto"/>
        </w:rPr>
        <w:t>– On July 31, 2006, the Company entered into a sale and purchase agreement to acquire Braveheart. On December 19, 2006,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completed this acquisition pursuant to this agreement. Braveheart was organized to provide corporate finance and private equity advisory services. In exchange for 100% of the outstanding share capital of Braveheart, the Company paid initial consideration, deferred consideration and earn-out consideration, with a total value of $27,803 on December 19, 2006. The initial consideration was comprised of 1,771,820 shares of Evercore Partners Inc. Class A common stock. The deferred consideration is comprised of 590,607 additional shares of Class A common stock. Of this deferred consideration, 159,000 shares were issued to Braveheart shareholders on April 4, 2007 and an additional 431,607 shares were issued to Braveheart shareholders on March 11, 2008. The Braveheart shareholders also received earn-out consideration based on gross revenues generated by Braveheart. The amount of earn-out consideration was earned at the point of acquisition and accordingly, the Company issued to the Braveheart shareholders, collectively, $3,000 of loan notes due 2010, which bear interest at LIBOR plus 100 basis points and which are redeemable by the holder at any time after October 31, 2007. These notes were paid in full on April 3, 2008. Additionally, the Company paid $392 in cash as part of the acquisition.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the Protego Combination and Braveheart acquisition were effective as of January 1, 2006, the operating results of the Company, on a pro forma basis, would have been: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For the Twelve</w:t>
            </w:r>
          </w:p>
        </w:tc>
      </w:tr>
      <w:tr>
        <w:trPr>
          <w:trHeight w:val="149"/>
        </w:trPr>
        <w:tc>
          <w:tcPr>
            <w:tcW w:w="54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Months Ended</w:t>
            </w:r>
          </w:p>
        </w:tc>
      </w:tr>
      <w:tr>
        <w:trPr>
          <w:trHeight w:val="161"/>
        </w:trPr>
        <w:tc>
          <w:tcPr>
            <w:tcW w:w="5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 2006</w:t>
            </w:r>
          </w:p>
        </w:tc>
      </w:tr>
      <w:tr>
        <w:trPr>
          <w:trHeight w:val="142"/>
        </w:trPr>
        <w:tc>
          <w:tcPr>
            <w:tcW w:w="54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04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216,389</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4040" w:type="dxa"/>
            <w:vAlign w:val="bottom"/>
            <w:gridSpan w:val="2"/>
          </w:tcPr>
          <w:p>
            <w:pPr>
              <w:ind w:left="39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9,385</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4040" w:type="dxa"/>
            <w:vAlign w:val="bottom"/>
            <w:gridSpan w:val="2"/>
            <w:shd w:val="clear" w:color="auto" w:fill="CCEEFF"/>
          </w:tcPr>
          <w:p>
            <w:pPr>
              <w:ind w:left="39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Pursuant to the executed contribution and sales agreements, the purchase price of the combinations had been allocated to the assets acquired and liabilities assumed using the fair values as determined by management as of the acquisition date. The computation of the purchase price to net assets of Braveheart and Protego–based on their respective fair values as of December 19, 2006 and August 9, 2006, respectively–and resulting Goodwill are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Braveheart</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Protego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3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Non-Interest-Bearing Evercore LP Notes</w:t>
            </w:r>
          </w:p>
        </w:tc>
        <w:tc>
          <w:tcPr>
            <w:tcW w:w="4000" w:type="dxa"/>
            <w:vAlign w:val="bottom"/>
            <w:gridSpan w:val="2"/>
          </w:tcPr>
          <w:p>
            <w:pPr>
              <w:ind w:left="38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Evercore Partners Inc. Notes</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Evercore LP Partnership Units</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Evercore Class A Common Stock</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21,882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Acquisition Costs</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48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3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27,803</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Assets Acquired and Liabilities Assumed</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1,762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8"/>
              </w:rPr>
              <w:t>Financial Instruments Owned and Pledged as Collateral at Fair Value</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198,511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Purchased Under Agreements to Resell</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Investments</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Intangible Assets</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22,254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(406,150)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(4,556)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21"/>
        </w:trPr>
        <w:tc>
          <w:tcPr>
            <w:tcW w:w="5480" w:type="dxa"/>
            <w:vAlign w:val="bottom"/>
            <w:gridSpan w:val="2"/>
          </w:tcPr>
          <w:p>
            <w:pPr>
              <w:spacing w:after="0"/>
              <w:rPr>
                <w:sz w:val="20"/>
                <w:szCs w:val="20"/>
                <w:color w:val="auto"/>
              </w:rPr>
            </w:pPr>
            <w:r>
              <w:rPr>
                <w:rFonts w:ascii="Arial" w:cs="Arial" w:eastAsia="Arial" w:hAnsi="Arial"/>
                <w:sz w:val="18"/>
                <w:szCs w:val="18"/>
                <w:color w:val="auto"/>
              </w:rPr>
              <w:t>Identifiable Net Assets</w:t>
            </w:r>
          </w:p>
        </w:tc>
        <w:tc>
          <w:tcPr>
            <w:tcW w:w="3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20,974</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1"/>
              </w:rPr>
              <w:t>Goodwill Resulting from the Business Combinations at December 31, 2006</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Issuance of Deferred Consideration in 2007</w:t>
            </w: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 in 2007</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1"/>
        </w:trPr>
        <w:tc>
          <w:tcPr>
            <w:tcW w:w="5480" w:type="dxa"/>
            <w:vAlign w:val="bottom"/>
            <w:gridSpan w:val="2"/>
          </w:tcPr>
          <w:p>
            <w:pPr>
              <w:spacing w:after="0"/>
              <w:rPr>
                <w:sz w:val="20"/>
                <w:szCs w:val="20"/>
                <w:color w:val="auto"/>
              </w:rPr>
            </w:pPr>
            <w:r>
              <w:rPr>
                <w:rFonts w:ascii="Arial" w:cs="Arial" w:eastAsia="Arial" w:hAnsi="Arial"/>
                <w:sz w:val="18"/>
                <w:szCs w:val="18"/>
                <w:color w:val="auto"/>
                <w:w w:val="91"/>
              </w:rPr>
              <w:t>Goodwill Resulting from the Business Combinations at December 31, 2007</w:t>
            </w:r>
          </w:p>
        </w:tc>
        <w:tc>
          <w:tcPr>
            <w:tcW w:w="3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10,825</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in 2008</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w w:val="91"/>
              </w:rPr>
              <w:t>Goodwill Resulting from the Business Combinations at December 31, 2008</w:t>
            </w:r>
          </w:p>
        </w:tc>
        <w:tc>
          <w:tcPr>
            <w:tcW w:w="3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80" w:type="dxa"/>
            <w:vAlign w:val="bottom"/>
            <w:gridSpan w:val="2"/>
            <w:vMerge w:val="continue"/>
          </w:tcPr>
          <w:p>
            <w:pPr>
              <w:spacing w:after="0"/>
              <w:rPr>
                <w:sz w:val="19"/>
                <w:szCs w:val="19"/>
                <w:color w:val="auto"/>
              </w:rPr>
            </w:pPr>
          </w:p>
        </w:tc>
        <w:tc>
          <w:tcPr>
            <w:tcW w:w="4000" w:type="dxa"/>
            <w:vAlign w:val="bottom"/>
            <w:gridSpan w:val="2"/>
          </w:tcPr>
          <w:p>
            <w:pPr>
              <w:ind w:left="388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8,018</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80" w:type="dxa"/>
            <w:vAlign w:val="bottom"/>
            <w:vMerge w:val="restart"/>
          </w:tcPr>
          <w:p>
            <w:pPr>
              <w:jc w:val="right"/>
              <w:ind w:right="3472"/>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connection with the Protego and Braveheart acquisitions, the Company recorded intangible assets of $25,734. The intangible assets were valued at the date of acquisition at their fair value, as determined by management. In conjunction with the Protego and Braveheart acquisitions, the intangible assets amounts assigned by asset class at December 31, 2008 and 2007 are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As of December 31, 2008</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00" w:type="dxa"/>
            <w:vAlign w:val="bottom"/>
            <w:gridSpan w:val="7"/>
          </w:tcPr>
          <w:p>
            <w:pPr>
              <w:ind w:left="120"/>
              <w:spacing w:after="0" w:line="142" w:lineRule="exact"/>
              <w:rPr>
                <w:sz w:val="20"/>
                <w:szCs w:val="20"/>
                <w:color w:val="auto"/>
              </w:rPr>
            </w:pPr>
            <w:r>
              <w:rPr>
                <w:rFonts w:ascii="Arial" w:cs="Arial" w:eastAsia="Arial" w:hAnsi="Arial"/>
                <w:sz w:val="14"/>
                <w:szCs w:val="14"/>
                <w:b w:val="1"/>
                <w:bCs w:val="1"/>
                <w:color w:val="auto"/>
                <w:w w:val="95"/>
              </w:rPr>
              <w:t>Remaining Useful Life in Years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gridSpan w:val="11"/>
          </w:tcPr>
          <w:p>
            <w:pPr>
              <w:ind w:left="20"/>
              <w:spacing w:after="0" w:line="142" w:lineRule="exact"/>
              <w:rPr>
                <w:sz w:val="20"/>
                <w:szCs w:val="20"/>
                <w:color w:val="auto"/>
              </w:rPr>
            </w:pPr>
            <w:r>
              <w:rPr>
                <w:rFonts w:ascii="Arial" w:cs="Arial" w:eastAsia="Arial" w:hAnsi="Arial"/>
                <w:sz w:val="14"/>
                <w:szCs w:val="14"/>
                <w:b w:val="1"/>
                <w:bCs w:val="1"/>
                <w:color w:val="auto"/>
              </w:rPr>
              <w:t>Gross Carrying Amount</w:t>
            </w:r>
          </w:p>
        </w:tc>
        <w:tc>
          <w:tcPr>
            <w:tcW w:w="80" w:type="dxa"/>
            <w:vAlign w:val="bottom"/>
          </w:tcPr>
          <w:p>
            <w:pPr>
              <w:spacing w:after="0"/>
              <w:rPr>
                <w:sz w:val="12"/>
                <w:szCs w:val="12"/>
                <w:color w:val="auto"/>
              </w:rPr>
            </w:pPr>
          </w:p>
        </w:tc>
        <w:tc>
          <w:tcPr>
            <w:tcW w:w="2380" w:type="dxa"/>
            <w:vAlign w:val="bottom"/>
            <w:gridSpan w:val="9"/>
          </w:tcPr>
          <w:p>
            <w:pPr>
              <w:jc w:val="right"/>
              <w:ind w:right="355"/>
              <w:spacing w:after="0" w:line="142" w:lineRule="exact"/>
              <w:rPr>
                <w:sz w:val="20"/>
                <w:szCs w:val="20"/>
                <w:color w:val="auto"/>
              </w:rPr>
            </w:pPr>
            <w:r>
              <w:rPr>
                <w:rFonts w:ascii="Arial" w:cs="Arial" w:eastAsia="Arial" w:hAnsi="Arial"/>
                <w:sz w:val="14"/>
                <w:szCs w:val="14"/>
                <w:b w:val="1"/>
                <w:bCs w:val="1"/>
                <w:color w:val="auto"/>
              </w:rPr>
              <w:t>Accumulated Amortization</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Protego</w:t>
            </w:r>
          </w:p>
        </w:tc>
        <w:tc>
          <w:tcPr>
            <w:tcW w:w="280" w:type="dxa"/>
            <w:vAlign w:val="bottom"/>
            <w:tcBorders>
              <w:top w:val="single" w:sz="8" w:color="auto"/>
            </w:tcBorders>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Braveheart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Protego</w:t>
            </w:r>
          </w:p>
        </w:tc>
        <w:tc>
          <w:tcPr>
            <w:tcW w:w="24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Braveheart</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86"/>
              </w:rPr>
              <w:t>Protego</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Braveheart</w:t>
            </w: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Client Backlog</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8"/>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$ 12,840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$15,550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$ 12,840</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$15,550</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Client Relationships</w:t>
            </w:r>
          </w:p>
        </w:tc>
        <w:tc>
          <w:tcPr>
            <w:tcW w:w="140" w:type="dxa"/>
            <w:vAlign w:val="bottom"/>
          </w:tcPr>
          <w:p>
            <w:pPr>
              <w:spacing w:after="0"/>
              <w:rPr>
                <w:sz w:val="18"/>
                <w:szCs w:val="18"/>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9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9,330</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3,160</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3,240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Broker Dealer License</w:t>
            </w:r>
          </w:p>
        </w:tc>
        <w:tc>
          <w:tcPr>
            <w:tcW w:w="700" w:type="dxa"/>
            <w:vAlign w:val="bottom"/>
            <w:gridSpan w:val="2"/>
            <w:shd w:val="clear" w:color="auto" w:fill="CCEEFF"/>
          </w:tcPr>
          <w:p>
            <w:pPr>
              <w:jc w:val="center"/>
              <w:ind w:left="318"/>
              <w:spacing w:after="0"/>
              <w:rPr>
                <w:sz w:val="20"/>
                <w:szCs w:val="20"/>
                <w:color w:val="auto"/>
              </w:rPr>
            </w:pPr>
            <w:r>
              <w:rPr>
                <w:rFonts w:ascii="Arial" w:cs="Arial" w:eastAsia="Arial" w:hAnsi="Arial"/>
                <w:sz w:val="18"/>
                <w:szCs w:val="18"/>
                <w:color w:val="auto"/>
                <w:w w:val="85"/>
              </w:rPr>
              <w:t>2.75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Financial Services Authority License</w:t>
            </w:r>
          </w:p>
        </w:tc>
        <w:tc>
          <w:tcPr>
            <w:tcW w:w="140" w:type="dxa"/>
            <w:vAlign w:val="bottom"/>
          </w:tcPr>
          <w:p>
            <w:pPr>
              <w:spacing w:after="0"/>
              <w:rPr>
                <w:sz w:val="18"/>
                <w:szCs w:val="18"/>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9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Non-compete/Non-solicit Agreements</w:t>
            </w:r>
          </w:p>
        </w:tc>
        <w:tc>
          <w:tcPr>
            <w:tcW w:w="700" w:type="dxa"/>
            <w:vAlign w:val="bottom"/>
            <w:gridSpan w:val="2"/>
            <w:shd w:val="clear" w:color="auto" w:fill="CCEEFF"/>
          </w:tcPr>
          <w:p>
            <w:pPr>
              <w:jc w:val="center"/>
              <w:ind w:left="318"/>
              <w:spacing w:after="0"/>
              <w:rPr>
                <w:sz w:val="20"/>
                <w:szCs w:val="20"/>
                <w:color w:val="auto"/>
              </w:rPr>
            </w:pPr>
            <w:r>
              <w:rPr>
                <w:rFonts w:ascii="Arial" w:cs="Arial" w:eastAsia="Arial" w:hAnsi="Arial"/>
                <w:sz w:val="18"/>
                <w:szCs w:val="18"/>
                <w:color w:val="auto"/>
                <w:w w:val="85"/>
              </w:rPr>
              <w:t>2.75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32"/>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(2,078)</w:t>
            </w:r>
          </w:p>
        </w:tc>
        <w:tc>
          <w:tcPr>
            <w:tcW w:w="1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(2,167)</w:t>
            </w:r>
          </w:p>
        </w:tc>
        <w:tc>
          <w:tcPr>
            <w:tcW w:w="2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(569)</w:t>
            </w: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$ 20,176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$ 15,465</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18,574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As of December 31, 2007</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6"/>
          </w:tcPr>
          <w:p>
            <w:pPr>
              <w:ind w:left="120"/>
              <w:spacing w:after="0" w:line="142" w:lineRule="exact"/>
              <w:rPr>
                <w:sz w:val="20"/>
                <w:szCs w:val="20"/>
                <w:color w:val="auto"/>
              </w:rPr>
            </w:pPr>
            <w:r>
              <w:rPr>
                <w:rFonts w:ascii="Arial" w:cs="Arial" w:eastAsia="Arial" w:hAnsi="Arial"/>
                <w:sz w:val="14"/>
                <w:szCs w:val="14"/>
                <w:b w:val="1"/>
                <w:bCs w:val="1"/>
                <w:color w:val="auto"/>
                <w:w w:val="88"/>
              </w:rPr>
              <w:t>Remaining Useful Life in Years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gridSpan w:val="11"/>
          </w:tcPr>
          <w:p>
            <w:pPr>
              <w:ind w:left="160"/>
              <w:spacing w:after="0" w:line="142" w:lineRule="exact"/>
              <w:rPr>
                <w:sz w:val="20"/>
                <w:szCs w:val="20"/>
                <w:color w:val="auto"/>
              </w:rPr>
            </w:pPr>
            <w:r>
              <w:rPr>
                <w:rFonts w:ascii="Arial" w:cs="Arial" w:eastAsia="Arial" w:hAnsi="Arial"/>
                <w:sz w:val="14"/>
                <w:szCs w:val="14"/>
                <w:b w:val="1"/>
                <w:bCs w:val="1"/>
                <w:color w:val="auto"/>
              </w:rPr>
              <w:t>Gross Carrying Amount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gridSpan w:val="9"/>
          </w:tcPr>
          <w:p>
            <w:pPr>
              <w:jc w:val="right"/>
              <w:ind w:right="420"/>
              <w:spacing w:after="0" w:line="142" w:lineRule="exact"/>
              <w:rPr>
                <w:sz w:val="20"/>
                <w:szCs w:val="20"/>
                <w:color w:val="auto"/>
              </w:rPr>
            </w:pPr>
            <w:r>
              <w:rPr>
                <w:rFonts w:ascii="Arial" w:cs="Arial" w:eastAsia="Arial" w:hAnsi="Arial"/>
                <w:sz w:val="14"/>
                <w:szCs w:val="14"/>
                <w:b w:val="1"/>
                <w:bCs w:val="1"/>
                <w:color w:val="auto"/>
                <w:w w:val="89"/>
              </w:rPr>
              <w:t>Accumulated Amortization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Protego</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Braveheart</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Protego</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4"/>
              </w:rPr>
              <w:t>Braveheart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Protego</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Braveheart</w:t>
            </w:r>
          </w:p>
        </w:tc>
        <w:tc>
          <w:tcPr>
            <w:tcW w:w="5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Client Backlog</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278"/>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$2,710</w:t>
            </w: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$ 12,840</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$15,550</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$2,710</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$ 12,840</w:t>
            </w: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Client Relationships</w:t>
            </w:r>
          </w:p>
        </w:tc>
        <w:tc>
          <w:tcPr>
            <w:tcW w:w="980" w:type="dxa"/>
            <w:vAlign w:val="bottom"/>
            <w:gridSpan w:val="4"/>
          </w:tcPr>
          <w:p>
            <w:pPr>
              <w:jc w:val="center"/>
              <w:ind w:left="318"/>
              <w:spacing w:after="0"/>
              <w:rPr>
                <w:sz w:val="20"/>
                <w:szCs w:val="20"/>
                <w:color w:val="auto"/>
              </w:rPr>
            </w:pPr>
            <w:r>
              <w:rPr>
                <w:rFonts w:ascii="Arial" w:cs="Arial" w:eastAsia="Arial" w:hAnsi="Arial"/>
                <w:sz w:val="18"/>
                <w:szCs w:val="18"/>
                <w:color w:val="auto"/>
                <w:w w:val="85"/>
              </w:rPr>
              <w:t>0.25</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9,330</w:t>
            </w:r>
          </w:p>
        </w:tc>
        <w:tc>
          <w:tcPr>
            <w:tcW w:w="16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9,410</w:t>
            </w: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75</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1,606</w:t>
            </w: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Broker Dealer License</w:t>
            </w:r>
          </w:p>
        </w:tc>
        <w:tc>
          <w:tcPr>
            <w:tcW w:w="980" w:type="dxa"/>
            <w:vAlign w:val="bottom"/>
            <w:gridSpan w:val="4"/>
            <w:shd w:val="clear" w:color="auto" w:fill="CCEEFF"/>
          </w:tcPr>
          <w:p>
            <w:pPr>
              <w:jc w:val="center"/>
              <w:ind w:left="318"/>
              <w:spacing w:after="0"/>
              <w:rPr>
                <w:sz w:val="20"/>
                <w:szCs w:val="20"/>
                <w:color w:val="auto"/>
              </w:rPr>
            </w:pPr>
            <w:r>
              <w:rPr>
                <w:rFonts w:ascii="Arial" w:cs="Arial" w:eastAsia="Arial" w:hAnsi="Arial"/>
                <w:sz w:val="18"/>
                <w:szCs w:val="18"/>
                <w:color w:val="auto"/>
                <w:w w:val="85"/>
              </w:rPr>
              <w:t>3.75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Financial Services Authority License</w:t>
            </w:r>
          </w:p>
        </w:tc>
        <w:tc>
          <w:tcPr>
            <w:tcW w:w="140" w:type="dxa"/>
            <w:vAlign w:val="bottom"/>
          </w:tcPr>
          <w:p>
            <w:pPr>
              <w:spacing w:after="0"/>
              <w:rPr>
                <w:sz w:val="18"/>
                <w:szCs w:val="18"/>
                <w:color w:val="auto"/>
              </w:rPr>
            </w:pPr>
          </w:p>
        </w:tc>
        <w:tc>
          <w:tcPr>
            <w:tcW w:w="840" w:type="dxa"/>
            <w:vAlign w:val="bottom"/>
            <w:gridSpan w:val="3"/>
          </w:tcPr>
          <w:p>
            <w:pPr>
              <w:jc w:val="center"/>
              <w:ind w:left="138"/>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Non-compete/Non-solicit Agreements</w:t>
            </w:r>
          </w:p>
        </w:tc>
        <w:tc>
          <w:tcPr>
            <w:tcW w:w="980" w:type="dxa"/>
            <w:vAlign w:val="bottom"/>
            <w:gridSpan w:val="4"/>
            <w:shd w:val="clear" w:color="auto" w:fill="CCEEFF"/>
          </w:tcPr>
          <w:p>
            <w:pPr>
              <w:jc w:val="center"/>
              <w:ind w:left="318"/>
              <w:spacing w:after="0"/>
              <w:rPr>
                <w:sz w:val="20"/>
                <w:szCs w:val="20"/>
                <w:color w:val="auto"/>
              </w:rPr>
            </w:pPr>
            <w:r>
              <w:rPr>
                <w:rFonts w:ascii="Arial" w:cs="Arial" w:eastAsia="Arial" w:hAnsi="Arial"/>
                <w:sz w:val="18"/>
                <w:szCs w:val="18"/>
                <w:color w:val="auto"/>
                <w:w w:val="85"/>
              </w:rPr>
              <w:t>3.75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580" w:type="dxa"/>
            <w:vAlign w:val="bottom"/>
            <w:gridSpan w:val="3"/>
          </w:tcPr>
          <w:p>
            <w:pPr>
              <w:ind w:left="360"/>
              <w:spacing w:after="0"/>
              <w:rPr>
                <w:sz w:val="20"/>
                <w:szCs w:val="20"/>
                <w:color w:val="auto"/>
              </w:rPr>
            </w:pPr>
            <w:r>
              <w:rPr>
                <w:rFonts w:ascii="Arial" w:cs="Arial" w:eastAsia="Arial" w:hAnsi="Arial"/>
                <w:sz w:val="18"/>
                <w:szCs w:val="18"/>
                <w:color w:val="auto"/>
                <w:w w:val="90"/>
              </w:rPr>
              <w:t>(6)</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172</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(2)</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3,474</w:t>
            </w: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$ 22,432</w:t>
            </w:r>
          </w:p>
        </w:tc>
        <w:tc>
          <w:tcPr>
            <w:tcW w:w="1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25,906</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2,975</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$ 14,526</w:t>
            </w:r>
          </w:p>
        </w:tc>
        <w:tc>
          <w:tcPr>
            <w:tcW w:w="3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17,501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Expense associated with the amortization of intangibles was $1,882, $15,037, and $2,654 for the years ended December 31, 2008, December 31, 2007 and the period August 10, 2006 through December 31, 2006, respectively.</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Included in Goodwill at December 31, 2008 and 2007 was $341 of amounts related to the exchange of non-controlling interests pursuant to the IPO. Intangible assets related to the exchange of non-controlling interests pursuant to the IPO were $420 and $588 at December 31, 2008 and 2007, respectively. The intangible asset is net of $420 and $252 of accumulated amortization at December 31, 2008 and 2007,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has assessed whether there was any impairment of its Goodwill or Intangible Asset balances at November 30, 2008. Pursuant to the Company’s goodwill impairment test, for the years ended December 31, 2008 and 2007, the Company compared the fair value of each of its applicable reporting units to their corresponding carrying amounts, including goodwill, and determined that no impairment existed.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intangible assets above as of December 31, 2008, annual amortization of intangibles for each of the next four years is as follows: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8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4"/>
              </w:rPr>
              <w:t>2009</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1,481</w:t>
            </w:r>
          </w:p>
        </w:tc>
      </w:tr>
      <w:tr>
        <w:trPr>
          <w:trHeight w:val="216"/>
        </w:trPr>
        <w:tc>
          <w:tcPr>
            <w:tcW w:w="4680" w:type="dxa"/>
            <w:vAlign w:val="bottom"/>
          </w:tcPr>
          <w:p>
            <w:pPr>
              <w:jc w:val="right"/>
              <w:ind w:right="4232"/>
              <w:spacing w:after="0"/>
              <w:rPr>
                <w:sz w:val="20"/>
                <w:szCs w:val="20"/>
                <w:color w:val="auto"/>
              </w:rPr>
            </w:pPr>
            <w:r>
              <w:rPr>
                <w:rFonts w:ascii="Arial" w:cs="Arial" w:eastAsia="Arial" w:hAnsi="Arial"/>
                <w:sz w:val="18"/>
                <w:szCs w:val="18"/>
                <w:color w:val="auto"/>
                <w:w w:val="84"/>
              </w:rPr>
              <w:t>2010</w:t>
            </w:r>
          </w:p>
        </w:tc>
        <w:tc>
          <w:tcPr>
            <w:tcW w:w="4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1,481</w:t>
            </w:r>
          </w:p>
        </w:tc>
      </w:tr>
      <w:tr>
        <w:trPr>
          <w:trHeight w:val="216"/>
        </w:trPr>
        <w:tc>
          <w:tcPr>
            <w:tcW w:w="4680" w:type="dxa"/>
            <w:vAlign w:val="bottom"/>
            <w:shd w:val="clear" w:color="auto" w:fill="CCEEFF"/>
          </w:tcPr>
          <w:p>
            <w:pPr>
              <w:jc w:val="right"/>
              <w:ind w:right="4232"/>
              <w:spacing w:after="0"/>
              <w:rPr>
                <w:sz w:val="20"/>
                <w:szCs w:val="20"/>
                <w:color w:val="auto"/>
              </w:rPr>
            </w:pPr>
            <w:r>
              <w:rPr>
                <w:rFonts w:ascii="Arial" w:cs="Arial" w:eastAsia="Arial" w:hAnsi="Arial"/>
                <w:sz w:val="18"/>
                <w:szCs w:val="18"/>
                <w:color w:val="auto"/>
                <w:w w:val="84"/>
              </w:rPr>
              <w:t>2011</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1,343</w:t>
            </w:r>
          </w:p>
        </w:tc>
      </w:tr>
      <w:tr>
        <w:trPr>
          <w:trHeight w:val="222"/>
        </w:trPr>
        <w:tc>
          <w:tcPr>
            <w:tcW w:w="4680" w:type="dxa"/>
            <w:vAlign w:val="bottom"/>
          </w:tcPr>
          <w:p>
            <w:pPr>
              <w:jc w:val="right"/>
              <w:ind w:right="4232"/>
              <w:spacing w:after="0"/>
              <w:rPr>
                <w:sz w:val="20"/>
                <w:szCs w:val="20"/>
                <w:color w:val="auto"/>
              </w:rPr>
            </w:pPr>
            <w:r>
              <w:rPr>
                <w:rFonts w:ascii="Arial" w:cs="Arial" w:eastAsia="Arial" w:hAnsi="Arial"/>
                <w:sz w:val="18"/>
                <w:szCs w:val="18"/>
                <w:color w:val="auto"/>
                <w:w w:val="84"/>
              </w:rPr>
              <w:t>2012</w:t>
            </w:r>
          </w:p>
        </w:tc>
        <w:tc>
          <w:tcPr>
            <w:tcW w:w="44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1,108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 and Acquisition and Transition Costs</w:t>
      </w:r>
    </w:p>
    <w:p>
      <w:pPr>
        <w:spacing w:after="0" w:line="96"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ECP capital raising was deferred in the first half of 2008. As a result, the Company consolidated its private equity operations in New York, resulting in Special Charges of $4,132 for the twelve months ended December 31, 2008. These charges were in connection with the write-off of certain capitalized costs associated with ECP capital raising, employee severance, accelerated share-based vesting and other costs related to the closing of the Los Angeles office.</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Company has reflected $1,596 for the twelve months ended December 31, 2008, as Acquisition and Transition Costs incurred in connection with acquisitions in process. This expense reflects the change in accounting for deal-related costs required by SFAS 141(R).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Parties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remits payment for expenses on behalf of the Private Equity Funds and is reimbursed accordingly. During the twelve months ended December 31, 2008 and 2007 and the periods August 10, 2006 through December 31, 2006 and January 1, 2006 through August 9, 2006, the Company disbursed $1,144, $1,108, $108 and $830, respectively, on behalf of these entities.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Receivable from Employees and Related Parties on the Consolidated Statements of Financial Condition consisted of the following at December 31, 2008 and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Advances to Individuals Related to Employment Offers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Personal Expenses Paid on Behalf of Employees and Related Parties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 Due From Portfolio Companies of the Company’s Private Equity Funds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Reimbursable Expenses Relating to the Private Equity Funds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1,556</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Employees and Related Parties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3,278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80" w:type="dxa"/>
            <w:vAlign w:val="bottom"/>
            <w:gridSpan w:val="2"/>
            <w:vMerge w:val="restart"/>
          </w:tcPr>
          <w:p>
            <w:pPr>
              <w:jc w:val="right"/>
              <w:ind w:right="4192"/>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00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Payable to Employees and Related Parties on the Consolidated Statements of Financial Condition consisted of the following at December 31,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r>
      <w:tr>
        <w:trPr>
          <w:trHeight w:val="210"/>
        </w:trPr>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of Director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16"/>
        </w:trPr>
        <w:tc>
          <w:tcPr>
            <w:tcW w:w="10080" w:type="dxa"/>
            <w:vAlign w:val="bottom"/>
            <w:gridSpan w:val="2"/>
          </w:tcPr>
          <w:p>
            <w:pPr>
              <w:spacing w:after="0"/>
              <w:rPr>
                <w:sz w:val="20"/>
                <w:szCs w:val="20"/>
                <w:color w:val="auto"/>
              </w:rPr>
            </w:pPr>
            <w:r>
              <w:rPr>
                <w:rFonts w:ascii="Arial" w:cs="Arial" w:eastAsia="Arial" w:hAnsi="Arial"/>
                <w:sz w:val="18"/>
                <w:szCs w:val="18"/>
                <w:color w:val="auto"/>
              </w:rPr>
              <w:t>Amounts Due Pursuant to Tax Receivable Agreements(a)</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1,229</w:t>
            </w:r>
          </w:p>
        </w:tc>
        <w:tc>
          <w:tcPr>
            <w:tcW w:w="20" w:type="dxa"/>
            <w:vAlign w:val="bottom"/>
          </w:tcPr>
          <w:p>
            <w:pPr>
              <w:spacing w:after="0"/>
              <w:rPr>
                <w:sz w:val="18"/>
                <w:szCs w:val="18"/>
                <w:color w:val="auto"/>
              </w:rPr>
            </w:pPr>
          </w:p>
        </w:tc>
      </w:tr>
      <w:tr>
        <w:trPr>
          <w:trHeight w:val="216"/>
        </w:trPr>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 to the Shareholders of Braveheart</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3,195</w:t>
            </w:r>
          </w:p>
        </w:tc>
        <w:tc>
          <w:tcPr>
            <w:tcW w:w="20" w:type="dxa"/>
            <w:vAlign w:val="bottom"/>
          </w:tcPr>
          <w:p>
            <w:pPr>
              <w:spacing w:after="0"/>
              <w:rPr>
                <w:sz w:val="18"/>
                <w:szCs w:val="18"/>
                <w:color w:val="auto"/>
              </w:rPr>
            </w:pPr>
          </w:p>
        </w:tc>
      </w:tr>
      <w:tr>
        <w:trPr>
          <w:trHeight w:val="222"/>
        </w:trPr>
        <w:tc>
          <w:tcPr>
            <w:tcW w:w="10080" w:type="dxa"/>
            <w:vAlign w:val="bottom"/>
            <w:gridSpan w:val="2"/>
          </w:tcPr>
          <w:p>
            <w:pPr>
              <w:spacing w:after="0"/>
              <w:rPr>
                <w:sz w:val="20"/>
                <w:szCs w:val="20"/>
                <w:color w:val="auto"/>
              </w:rPr>
            </w:pPr>
            <w:r>
              <w:rPr>
                <w:rFonts w:ascii="Arial" w:cs="Arial" w:eastAsia="Arial" w:hAnsi="Arial"/>
                <w:sz w:val="18"/>
                <w:szCs w:val="18"/>
                <w:color w:val="auto"/>
              </w:rPr>
              <w:t>Payable to Employees and Related Parties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1,953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4,569</w:t>
            </w:r>
          </w:p>
        </w:tc>
      </w:tr>
      <w:tr>
        <w:trPr>
          <w:trHeight w:val="20"/>
        </w:trPr>
        <w:tc>
          <w:tcPr>
            <w:tcW w:w="116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40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Relates to the current portion of the Member exchange of Evercore LP partnership units for common shares of the Company. The long-term portion of $38,344 and $37,575 is disclosed in Amounts Due Pursuant to Tax Receivable Agreements on the Consolidated Statements of Financial Condition at December 31, 2008 and 2007, respectively.</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Pursuant to the acquisition of Braveheart, the Company issued $3,000 of interest-bearing notes to Braveheart’s shareholders. These notes bore interest at LIBOR plus 100 basis points and were due in 2010 but may have been redeemed by the holders at any time after October 31, 2007. These notes and related interest had a balance of $3,195 at December 31, 2007, and were reflected in Payable to Employees and Related Parties on the Consolidated Statements of Financial Condition. The notes were paid-in-full on April 3, 2008.</w:t>
      </w:r>
    </w:p>
    <w:p>
      <w:pPr>
        <w:spacing w:after="0" w:line="14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Investment Management Revenue includes income from related parties earned from the Company’s Private Equity Funds for portfolio company fees, management fees, expense reimbursements and realized and unrealized gains and losses of private equity fund investments. Total Investment Management revenues from related parties amounted to $11,202, $20,188, $5,359 and $17,229 for the twelve months ended December 31, 2008 and 2007 and the periods August 10, 2006 through December 31, 2006 and January 1, 2006 through August 9, 2006, respectively.</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earned no advisory fees from clients that have Senior Managing Directors as a member of their Board of Directors for the twelve months ended December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Marketable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amortized cost and estimated fair value of the Company’s Marketable Securities as of December 31, 2008 and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3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34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87"/>
              </w:rPr>
              <w:t>Gains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Losses</w:t>
            </w:r>
          </w:p>
        </w:tc>
        <w:tc>
          <w:tcPr>
            <w:tcW w:w="340" w:type="dxa"/>
            <w:vAlign w:val="bottom"/>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Fair Value</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98,979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$ 100,023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7,647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84"/>
              </w:rPr>
              <w:t>7,647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102,436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$ 103,480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7,647</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7,647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fourth quarter of 2008, the Company invested in corporate bonds, which were classified as available-for-sale securities within Marketable Securities on the Consolidated Statement of Condition at December 31, 2008. The Company had no realized gains and (losses) for the twelve months ended December 31, 2008. Since the Company has the ability and intent to hold available-for-sale securities until a recovery of fair value to an amount approximating its amortized cost, which may be maturity, it does not consider such unrealized loss positions to be other-than-temporarily impaired at December 31, 2008.</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bond maturities as of December 31, 2008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December 31, 2008</w:t>
            </w:r>
          </w:p>
        </w:tc>
      </w:tr>
      <w:tr>
        <w:trPr>
          <w:trHeight w:val="129"/>
        </w:trPr>
        <w:tc>
          <w:tcPr>
            <w:tcW w:w="76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Amortized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1"/>
        </w:trPr>
        <w:tc>
          <w:tcPr>
            <w:tcW w:w="7660" w:type="dxa"/>
            <w:vAlign w:val="bottom"/>
          </w:tcPr>
          <w:p>
            <w:pPr>
              <w:spacing w:after="0"/>
              <w:rPr>
                <w:sz w:val="14"/>
                <w:szCs w:val="14"/>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$ 17,013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16,921</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640" w:type="dxa"/>
            <w:vAlign w:val="bottom"/>
          </w:tcPr>
          <w:p>
            <w:pPr>
              <w:jc w:val="right"/>
              <w:spacing w:after="0"/>
              <w:rPr>
                <w:sz w:val="20"/>
                <w:szCs w:val="20"/>
                <w:color w:val="auto"/>
              </w:rPr>
            </w:pPr>
            <w:r>
              <w:rPr>
                <w:rFonts w:ascii="Arial" w:cs="Arial" w:eastAsia="Arial" w:hAnsi="Arial"/>
                <w:sz w:val="18"/>
                <w:szCs w:val="18"/>
                <w:color w:val="auto"/>
              </w:rPr>
              <w:t>81,255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82,355</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10 years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$ 98,979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100,023</w:t>
            </w:r>
          </w:p>
        </w:tc>
      </w:tr>
      <w:tr>
        <w:trPr>
          <w:trHeight w:val="20"/>
        </w:trPr>
        <w:tc>
          <w:tcPr>
            <w:tcW w:w="7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had $3,457 and $3,890 of securities managed by EAM as of December 31, 2008 and 2007, respectively. These investments are reflected as Marketable Securities on the Consolidated Statements of Financial Condition and are stated at quoted market value with realized and unrealized gains and losses recorded in earnings. Also included in Marketable Securities are $3,757 of EAM Fund Investments as of December 31, 2007. These investments resulted in net unrealized gains/(losses) and dividend income of $(4,317), $(2,247), $515 and $(160) for the twelve months ended December 31, 2008 and 2007 and the periods August 10, 2006 through December 31, 2006 and January 1, 2006 through August 9, 2006, respectively, that are included on the Consolidated/Combined Statements of Operations in Investment Management Revenue.</w:t>
      </w:r>
    </w:p>
    <w:p>
      <w:pPr>
        <w:spacing w:after="0" w:line="19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Note 8 – Financial Instruments Owned and Pledged as Collateral at Fair Value, Securities Purchased Under Agreements to Resell and Securities Sold Under Agreements to Repurchase</w:t>
      </w:r>
    </w:p>
    <w:p>
      <w:pPr>
        <w:spacing w:after="0" w:line="4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Company, through PCB, enters into repurchase agreements with clients seeking overnight money market returns whereby PCB transfers to the clients Mexican government securities in exchange for cash and concurrently agrees to repurchase the securities at a future date for an amount equal to the cash exchanged plus a stipulated premium or interest factor. PCB deploys the cash received from, and acquires the securities deliverable to, clients under these repurchase arrangements by purchasing securities in the open market, which the Company reflects as Financial Instruments Owned and Pledged as Collateral at Fair Value on the Consolidated Statements of Financial Condition, or by entering into reverse repurchase agreements with unrelated third parties. The Company accounts for these repurchase and reverse repurchase agreements as collateralized financing transactions. The Company records a liability on its Consolidated Statements of Financial Condition in relation to repurchase transactions executed with clients as Securities Sold Under Agreements to Repurchase. The Company records as assets on its Consolidated Statements of Financial Condition, Financial Instruments Owned and Pledged as Collateral at Fair Value (where the Company has acquired the securities deliverable to clients under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repurchase arrangements by purchasing securities in the open market) and Securities Purchased Under Agreements to Resell (where the Company has acquired the securities deliverable to clients under these repurchase agreements by entering into reverse repurchase agreements with unrelated third parties). These Mexican government securities have an estimated average time to maturity of approximately 3.0 years and are pledged as collateral against repurchase agreements which are collateralized financing agreements. Generally, collateral is posted equal to the contract value at inception and is subject to market changes. These repurchase agreements are primarily with institutional customer accounts managed by PCB, are generally in overnight maturities and permit the counterparty to pledge the securities.</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December 31, 2008 and 2007, a summary of the Company’s assets, liabilities and collateral received or pledged related to these transactions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 2008</w:t>
            </w:r>
          </w:p>
        </w:tc>
        <w:tc>
          <w:tcPr>
            <w:tcW w:w="220" w:type="dxa"/>
            <w:vAlign w:val="bottom"/>
          </w:tcPr>
          <w:p>
            <w:pPr>
              <w:spacing w:after="0"/>
              <w:rPr>
                <w:sz w:val="14"/>
                <w:szCs w:val="14"/>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29"/>
        </w:trPr>
        <w:tc>
          <w:tcPr>
            <w:tcW w:w="6200" w:type="dxa"/>
            <w:vAlign w:val="bottom"/>
          </w:tcPr>
          <w:p>
            <w:pPr>
              <w:spacing w:after="0"/>
              <w:rPr>
                <w:sz w:val="11"/>
                <w:szCs w:val="11"/>
                <w:color w:val="auto"/>
              </w:rPr>
            </w:pPr>
          </w:p>
        </w:tc>
        <w:tc>
          <w:tcPr>
            <w:tcW w:w="120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78"/>
              </w:rPr>
              <w:t>Asset</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88"/>
              </w:rPr>
              <w:t>Market Value of</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3"/>
              </w:rPr>
              <w:t>Asset</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88"/>
              </w:rPr>
              <w:t>Market Value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(Liability)</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Collateral Received</w:t>
            </w:r>
          </w:p>
        </w:tc>
        <w:tc>
          <w:tcPr>
            <w:tcW w:w="22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(Liability)</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Collateral Received</w:t>
            </w: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or (Pledged)</w:t>
            </w:r>
          </w:p>
        </w:tc>
        <w:tc>
          <w:tcPr>
            <w:tcW w:w="22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Balance</w:t>
            </w:r>
          </w:p>
        </w:tc>
        <w:tc>
          <w:tcPr>
            <w:tcW w:w="10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or (Pledged)</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Financial Instruments Owned and Pledged as Collateral at Fair Value</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$ 191,507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$ 226,868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Purchased Under Agreements to Resell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92,580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58,834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$ 284,277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$ 285,702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(284,745)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(284,086)</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(285,864)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(285,508)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Investments</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Company’s investments reported in the Consolidated Statements of Financial Condition consist of investments in Private Equity Funds and the Company’s equity interest in EAM, Pan and HighView.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Private Equity Funds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Company’s investments include investments in ECP II, the Discovery Fund and EMCP II. Portfolio holdings of the Private Equity Funds are fair valued as discussed in Note 2—Significant Accounting Policies. Accordingly, the Company reflects its pro rata share of the unrealized gains and losses occurring from changes in fair value. Additionally, the Company reflects its pro rata share of unrealized gains, losses and carried interest associated with any investment realizations.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has concluded that EP II L.L.C., the general partner of ECP II, is a variable interest entity pursuant to FIN 46 (R). The Company owns 8%-9% of the carried interest earned by the general partner of ECP II. The Company’s assessment of the design of EP II L.L.C. resulted in the determination that the Company is not acting as an agent for other members of the general partner and is a passive holder of interests in the fund, evidenced by the fact that the Company is a non-voting, non-managing member of the general partner and accordingly, has no authority in directing the management operations of the general partner. Furthermore, the Company will not absorb the majority of the expected losses or receive a majority of the expected residual returns, should they occur. Accordingly, the Company has concluded that it is not the primary beneficiary of EP II L.L.C..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investment in the Private Equity Funds as of December 31, 2008 and 2007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ECP II</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$12,529</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$ 12,507</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Discovery Fund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1,803</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EMCP II</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5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Total Private Equity Funds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15,839</w:t>
            </w:r>
          </w:p>
        </w:tc>
        <w:tc>
          <w:tcPr>
            <w:tcW w:w="5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$ 14,815</w:t>
            </w: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Net realized and unrealized gains on Private Equity Fund investments, including incentive fees, were $1,664, $5,580, $1,887 and $4,943 for the twelve months ended December 31, 2008 and 2007 and the periods August 10, 2006 through December 31, 2006 and January 1, 2006 through August 9, 2006, respectively. The Company may be obligated to repay certain carried interest previously recorded in the event that the investments perform poorly on both a realized and unrealized basis. As of December 31, 2008, the Company had approximately $4,304 of previously recognized carried interest that may be subject to repayment.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Equity 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equity investments as of December 31, 2008 and 2007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4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100" w:type="dxa"/>
            <w:vAlign w:val="bottom"/>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EAM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$2,816</w:t>
            </w:r>
          </w:p>
        </w:tc>
        <w:tc>
          <w:tcPr>
            <w:tcW w:w="9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90"/>
              </w:rPr>
              <w:t>$1,468</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Pan</w:t>
            </w:r>
          </w:p>
        </w:tc>
        <w:tc>
          <w:tcPr>
            <w:tcW w:w="500" w:type="dxa"/>
            <w:vAlign w:val="bottom"/>
          </w:tcPr>
          <w:p>
            <w:pPr>
              <w:jc w:val="right"/>
              <w:spacing w:after="0"/>
              <w:rPr>
                <w:sz w:val="20"/>
                <w:szCs w:val="20"/>
                <w:color w:val="auto"/>
              </w:rPr>
            </w:pPr>
            <w:r>
              <w:rPr>
                <w:rFonts w:ascii="Arial" w:cs="Arial" w:eastAsia="Arial" w:hAnsi="Arial"/>
                <w:sz w:val="18"/>
                <w:szCs w:val="18"/>
                <w:color w:val="auto"/>
              </w:rPr>
              <w:t>4,989</w:t>
            </w:r>
          </w:p>
        </w:tc>
        <w:tc>
          <w:tcPr>
            <w:tcW w:w="4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HighView</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Total Equity Investments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9,000</w:t>
            </w:r>
          </w:p>
        </w:tc>
        <w:tc>
          <w:tcPr>
            <w:tcW w:w="980" w:type="dxa"/>
            <w:vAlign w:val="bottom"/>
            <w:gridSpan w:val="2"/>
          </w:tcPr>
          <w:p>
            <w:pPr>
              <w:jc w:val="center"/>
              <w:ind w:left="3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1,468</w:t>
            </w:r>
          </w:p>
        </w:tc>
      </w:tr>
      <w:tr>
        <w:trPr>
          <w:trHeight w:val="20"/>
        </w:trPr>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EAM</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Pursuant to the Amended and Restated Limited Liability Company Agreement, as of April 1, 2008, the Company holds a 32.7% interest in EAM that is accounted for under the equity method. SLMN Holdings LLC holds the remaining 67.3%. The investment resulted in unrealized losses of $252, $905, $412, and $299 for the twelve months ended December 31, 2008 and 2007 and the periods August 10, 2006 through December 31, 2006 and January 1, 2006 through August 9, 2006, respectively.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concluded that EAM is a variable interest entity and has determined that as of December 31, 2008, EAM should not be consolidated pursuant to FIN 46 (R). The Company’s assessment of the design of EAM resulted in the determination that EAM would not have sufficient equity at risk to permit the entity to finance its activities without additional subordinated financial support. Pursuant to the Agreement with EAM, the Company does not absorb a majority of the expected losses or receive a majority of the expected residual returns, should they occur and the Company does not effectively exert control over the direction of EAM as a result of the structure of EAM’s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first quarter of 2009, the Company increased its ownership in EAM to 51% and will consolidate its investment in EAM effective April 1,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part of this agreement, EAM has released the Company from all non-compete arrangements.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third quarter of 2008, the Company made an equity method investment of $4,158 in Pan and maintains a 50% interest at December 31, 2008. This investment resulted in unrealized losses of $371 for the twelve months ended December 31,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HighView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the fourth quarter of 2008, the Company made an equity method investment of $1,874 in HighView and maintains a 25% interest at December 31, 2008.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investment resulted in unrealized losses of $679 for the twelve months ended December 31, 2008.</w:t>
      </w:r>
    </w:p>
    <w:p>
      <w:pPr>
        <w:spacing w:after="0" w:line="16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Company’s investments in Private Equity Funds, which consist of general partner interests and the Company’s equity interests in EAM, Pan and HighView, are relatively high-risk and illiquid assets. Realized and unrealized gains and losses on equity method investments are included on the Consolidated/Combined Statements of Operations in Investment Management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adopted SFAS 157 as of January 1, 2008, which among other matters, requires enhanced disclosures about investments that are measured and reported at fair value. The adoption did not have a material impact on the results of the Company. SFAS 157 establishes a hierarchal disclosure framework which prioritizes and ranks the level of market price observability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measured and reported at fair value are classified and disclosed in one of the following categories:</w:t>
      </w:r>
    </w:p>
    <w:p>
      <w:pPr>
        <w:spacing w:after="0" w:line="90" w:lineRule="exact"/>
        <w:rPr>
          <w:sz w:val="20"/>
          <w:szCs w:val="20"/>
          <w:color w:val="auto"/>
        </w:rPr>
      </w:pPr>
    </w:p>
    <w:p>
      <w:pPr>
        <w:ind w:left="460" w:right="40" w:firstLine="438"/>
        <w:spacing w:after="0" w:line="298" w:lineRule="auto"/>
        <w:rPr>
          <w:sz w:val="20"/>
          <w:szCs w:val="20"/>
          <w:color w:val="auto"/>
        </w:rPr>
      </w:pPr>
      <w:r>
        <w:rPr>
          <w:rFonts w:ascii="Arial" w:cs="Arial" w:eastAsia="Arial" w:hAnsi="Arial"/>
          <w:sz w:val="16"/>
          <w:szCs w:val="16"/>
          <w:color w:val="auto"/>
        </w:rPr>
        <w:t>Level I – Quoted prices are available in active markets for identical investments as of the reporting date. The type of investments included in Level I include listed equities and listed derivatives. As required by SFAS 157, the Company does not adjust the quoted price for these investments, even in situations where Evercore holds a large position and a sale could reasonably impact the quoted price. Level I investments include financial instruments owned and pledged as collateral and the Company’s investments in equity securities of $191,507 and $3,457, respectively, as of December 31, 2008.</w:t>
      </w:r>
    </w:p>
    <w:p>
      <w:pPr>
        <w:spacing w:after="0" w:line="32"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color w:val="auto"/>
        </w:rPr>
        <w:t>Level II – Pricing inputs are other than quoted prices in active markets, which are either directly or indirectly observable as of the reporting date, and fair value is determined through the use of models or other valuation methodologies. Level II investments include the Company’s investments in corporate bonds of $100,023 as of December 31, 2008. The estimated fair values of the corporate bonds are based on quoted market prices provided by external pricing services.</w:t>
      </w:r>
    </w:p>
    <w:p>
      <w:pPr>
        <w:spacing w:after="0" w:line="62"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into the determination of fair value require significant management judgment or estimation. The Company did not have any Level III investments as of December 31, 2008.</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Furniture, Equipment and Leasehold Improvements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7,219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Software</w:t>
            </w:r>
          </w:p>
        </w:tc>
        <w:tc>
          <w:tcPr>
            <w:tcW w:w="2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14,089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(5,944)</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Furniture, Equipment and Leasehold Improvements, Net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Depreciation and amortization expense for Furniture, Equipment and Leasehold Improvements totaled $2,307, $2,384, $580 and $666 for the twelve months ended December 31, 2008 and 2007 and the periods August 10, 2006 through December 31, 2006 and January 1, 2006 through August 9, 2006,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Issuance of Notes Payable and Warrants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21, 2008, the Company entered into a Purchase Agreement with Mizuho Corporate Bank, Ltd. (“Mizuho”) pursuant to which Mizuho purchased from the Company Senior Notes due 2020 with a 5.20% coupon and warrants to purchase 5,454,545 shares of Evercore Class A Common Stock at $22.00 per share (the “Warrants”) expiring in 2020. Based on their relative fair value at issuance, plus accretion, the Senior Notes and Warrants were reflected in Notes Payable and Additional Paid-In-Capital on the Consolidated Statement of Financial Condition at $95,263 and $23,708, respectively. The Senior Notes have an effective yield of 7.94%.</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holder of the Senior Notes may require the Company to purchase, for cash, all or any portion of the holder’s Senior Notes upon a change of control of the Company for a price equal to the aggregate accreted amount of such Senior Notes, (the “Accreted Amount”), plus accrued and unpaid interest. Senior Notes held by Mizuho will be redeemable at the Accreted Amount at the option of the Company at any time within 90 days following the date on which Mizuho notifies the Company that it is terminating their new strategic alliance agreement (“Strategic Alliance Agreement”). Senior Notes held by any other holder than Mizuho will be redeemable at the Accreted Amount (plus accrued and unpaid interest) at the option of the Company at any time beginning on the third anniversary of closing. In the event of a default under the indenture, the trustee or holders of 33 1/3% of the Senior Notes may declare that the Accreted Amount is immediately due and payable.</w:t>
      </w:r>
    </w:p>
    <w:p>
      <w:pPr>
        <w:spacing w:after="0" w:line="14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Pursuant to the agreement, Mizuho may not transfer the Senior Notes or Warrants until August 16, 2012 or, if the Strategic Alliance Agreement is terminated, the later of one year following such termination and the third anniversary of the closing of the purchase of the Senior Notes and Warrants. The Company has a right of first offer on any proposed transfer by Mizuho of the Warrants, Common Stock purchased in the open market or acquired by exercise of the Warrants and associated Common Stock issued as dividends.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exercise price for the Warrants is payable, at the option of the holder of the Warrants, either in cash or by tender of Senior Notes at the Accreted Amount, at any point in time.</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As of December 31, 2008, the future payments required on the Senior Notes are as follows: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7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2010</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2012</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Thereafter</w:t>
            </w:r>
          </w:p>
        </w:tc>
        <w:tc>
          <w:tcPr>
            <w:tcW w:w="1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163,680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194,880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Defined Contribution Retirement Plan </w:t>
      </w:r>
      <w:r>
        <w:rPr>
          <w:rFonts w:ascii="Arial" w:cs="Arial" w:eastAsia="Arial" w:hAnsi="Arial"/>
          <w:sz w:val="18"/>
          <w:szCs w:val="18"/>
          <w:color w:val="auto"/>
        </w:rPr>
        <w:t>– The Company, through a subsidiary, provides certain retirement benefits to employees through a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plan. The Evercore Partners Services East L.L.C. Retirement Plan (the “Plan”) is a defined contribution plan with a salary deferral feature under Section 401(k) of the Internal Revenue Code. It also includes a discretionary profit sharing feature. The Plan was formed on February 1, 1996 and subsequently amended. The Plan year ends on December 31 of each year. The Company, at its sole discretion, determines the amount, if any, of profit to be contributed to the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made no contributions for the twelve months ended December 31, 2008, 2007 and 2006.</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Evercore Europe Defined Contribution Benefit Plan </w:t>
      </w:r>
      <w:r>
        <w:rPr>
          <w:rFonts w:ascii="Arial" w:cs="Arial" w:eastAsia="Arial" w:hAnsi="Arial"/>
          <w:sz w:val="16"/>
          <w:szCs w:val="16"/>
          <w:color w:val="auto"/>
        </w:rPr>
        <w:t>– Evercore Europe established the Evercore Partners Limited Group Personal Pension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“Evercore Europe Plan”), a defined contribution benefit plan, in November 2006 for Evercore Europe employees. The Evercore Europe Plan has a salary deferral feature as permitted under existing tax guidelines for HM Customs and Revenue, the Inland Revenue Service in the United Kingdom. Evercore Europe employees must elect to participate in the plan, and Evercore Europe has a minimum annualized contribution of 15% to 50% of an employee’s salary for all employees who participate, depending on the respective employee’s level within the Company.</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Evercore Europe employees are also eligible to contribute up to 10% of their salary to the Evercore Europe Plan. Under the terms of the Evercore Europe Plan, if an employee contributes a minimum of 7.5% to 10% of their salary to the plan, Evercore Europe must make a matching contribution of 5% to 10% of the employee’s salary depending on the employee’s level within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Evercore Europe Plan made contributions for the twelve months ended December 31, 2008 and 2007 totaling $1,494 and $1,069,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Stockholders’ Equity</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2008, the Company purchased 466,843 Class A common shares from employees and the former shareholders of Braveheart at market values ranging from $8.16 to $18.44 per share. The result was an increase in Treasury Stock of $7,082 on the Company’s Consolidated Statement of Financial Condition as of December 31,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former shareholders of Braveheart received 431,607 Class A common shares during the first quarter of 2008 in conjunction with the Braveheart sale and purchase agreement, resulting in compensation expense of $7,452 and an increase to Common Stock and Additional Paid-In-Capital of $4 and $7,448, respectively, in the Consolidated Statement of Financial Condition as of December 31, 2008.</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2008, 278,946 Evercore LP partnership units were gifted to various charities and converted into Class A common shares, resulting in an increase to Common Stock and Additional Paid-In-Capital of $3 and $1,275, respectively, in the Consolidated Statement of Financial Condition as of December 31, 2008.</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21, 2008, the Company issued warrants to purchase 5,454,545 shares of Evercore Class A Common Stock, resulting in an increase to Additional Paid-In-Capital of $23,708, in the Consolidated Statement of Financial Condition as of December 31, 2008. See Note 12 of the consolidated/combined financial statements for further information.</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twelve months ended December 31, 2008, the Company declared and paid dividends of $0.48 per share, totaling $6,239. The Company’s Board of Directors declared on February 3, 2009, a quarterly cash dividend of $0.12 per share, to the holders of Class A common stock as of February 27, 2009, which will be paid on March 13,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Minority Interest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Minority Interest recorded in the consolidated financial statements of the Successor Company relates to a 54% interest of the Members in Evercore LP, a 30% interest in PCB not owned by the Company and a 29% interest in EWM not owned by the Company.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Minority interest ownership was $25,808 and $46,339 as of December 31, 2008 and 2007, respectively. Changes in the minority ownership during 2008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$ 46,339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$ 36,918</w:t>
            </w:r>
          </w:p>
        </w:tc>
        <w:tc>
          <w:tcPr>
            <w:tcW w:w="6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Adoption of FIN 48</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(671)</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(32,841)</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Distributions to partners</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(16,578)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(47,218)</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Exchange of Evercore LP partnership units for Class A common shares</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(9,679)</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Vesting of additional Evercore LP partnership units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99,453</w:t>
            </w:r>
          </w:p>
        </w:tc>
        <w:tc>
          <w:tcPr>
            <w:tcW w:w="6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PCB and EWM</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18"/>
                <w:szCs w:val="18"/>
                <w:color w:val="auto"/>
              </w:rPr>
            </w:pP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Ending Balance</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$ 25,808</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$ 46,339</w:t>
            </w:r>
          </w:p>
        </w:tc>
        <w:tc>
          <w:tcPr>
            <w:tcW w:w="6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Minority interest recorded on the combined financial statements of the Predecessor Company relates to the minority interest of an unrelated third party in EVM, the general partner of EVP. EVM was owned by the Founding Members, an unrelated third party, which owned approximately 53% and Evercore Venture Partners L.L.C., which owned approximately 47%. Evercore Venture Partners L.L.C. is under common ownership of the Company and is the managing member of EVM. As a result, the Company included in its Combined Statements of Operations all of the net income of EVM with an appropriate minority interest of approximately 53%.</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Net Income (Loss) Per Share</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income per share information is not applicable for reporting periods prior to August 10, 2006. The calculations of basic and diluted net income (loss) per share amounts for the twelve months ended December 31, 2008 and 2007 and the period August 10, 2006 through December 31, 2006, are described and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4"/>
          </w:tcPr>
          <w:p>
            <w:pPr>
              <w:ind w:left="380"/>
              <w:spacing w:after="0"/>
              <w:rPr>
                <w:sz w:val="20"/>
                <w:szCs w:val="20"/>
                <w:color w:val="auto"/>
              </w:rPr>
            </w:pPr>
            <w:r>
              <w:rPr>
                <w:rFonts w:ascii="Arial" w:cs="Arial" w:eastAsia="Arial" w:hAnsi="Arial"/>
                <w:sz w:val="14"/>
                <w:szCs w:val="14"/>
                <w:b w:val="1"/>
                <w:bCs w:val="1"/>
                <w:color w:val="auto"/>
                <w:w w:val="91"/>
              </w:rPr>
              <w:t>For the Twelve Months Ended</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For the Period</w:t>
            </w: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4"/>
              </w:rPr>
              <w:t>August 10, 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2008</w:t>
            </w:r>
          </w:p>
        </w:tc>
        <w:tc>
          <w:tcPr>
            <w:tcW w:w="380" w:type="dxa"/>
            <w:vAlign w:val="bottom"/>
          </w:tcPr>
          <w:p>
            <w:pPr>
              <w:spacing w:after="0"/>
              <w:rPr>
                <w:sz w:val="14"/>
                <w:szCs w:val="14"/>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77"/>
              </w:rPr>
              <w:t>(share</w:t>
            </w: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December 31, 2007</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10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88"/>
              </w:rPr>
              <w:t>amounts in thousands)</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 of Class A Common Stock</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Numerator:</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Net income (loss) available for Class A common stockholders</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(4,713)</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8"/>
              </w:rPr>
              <w:t>(34,495)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Denominator:</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Weighted average shares of Class A common stock outstanding,</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including vested RSUs</w:t>
            </w:r>
          </w:p>
        </w:tc>
        <w:tc>
          <w:tcPr>
            <w:tcW w:w="7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10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Basic Net Income (Loss) Per Share of Class A Common Stock</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(0.36)</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6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Diluted Net Income (Loss) Per Share of Class A Common Stock</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Numerator:</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Net income (loss) available for Class A common stockholders</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(4,713)</w:t>
            </w:r>
          </w:p>
        </w:tc>
        <w:tc>
          <w:tcPr>
            <w:tcW w:w="1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8"/>
              </w:rPr>
              <w:t>(34,495)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Add (deduct)—dilutive effect of:</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Minority Interest related to the assumed exchange of</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Members’ Evercore LP partnership units for Class A</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common shares</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1"/>
              </w:rPr>
              <w:t>(a)</w:t>
            </w:r>
          </w:p>
        </w:tc>
        <w:tc>
          <w:tcPr>
            <w:tcW w:w="0" w:type="dxa"/>
            <w:vAlign w:val="bottom"/>
          </w:tcPr>
          <w:p>
            <w:pPr>
              <w:spacing w:after="0"/>
              <w:rPr>
                <w:sz w:val="1"/>
                <w:szCs w:val="1"/>
                <w:color w:val="auto"/>
              </w:rPr>
            </w:pPr>
          </w:p>
        </w:tc>
      </w:tr>
      <w:tr>
        <w:trPr>
          <w:trHeight w:val="208"/>
        </w:trPr>
        <w:tc>
          <w:tcPr>
            <w:tcW w:w="5320" w:type="dxa"/>
            <w:vAlign w:val="bottom"/>
          </w:tcPr>
          <w:p>
            <w:pPr>
              <w:ind w:left="880"/>
              <w:spacing w:after="0"/>
              <w:rPr>
                <w:sz w:val="20"/>
                <w:szCs w:val="20"/>
                <w:color w:val="auto"/>
              </w:rPr>
            </w:pPr>
            <w:r>
              <w:rPr>
                <w:rFonts w:ascii="Arial" w:cs="Arial" w:eastAsia="Arial" w:hAnsi="Arial"/>
                <w:sz w:val="18"/>
                <w:szCs w:val="18"/>
                <w:color w:val="auto"/>
              </w:rPr>
              <w:t>Associated corporate taxes related to the assumed</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1080"/>
              <w:spacing w:after="0"/>
              <w:rPr>
                <w:sz w:val="20"/>
                <w:szCs w:val="20"/>
                <w:color w:val="auto"/>
              </w:rPr>
            </w:pPr>
            <w:r>
              <w:rPr>
                <w:rFonts w:ascii="Arial" w:cs="Arial" w:eastAsia="Arial" w:hAnsi="Arial"/>
                <w:sz w:val="18"/>
                <w:szCs w:val="18"/>
                <w:color w:val="auto"/>
              </w:rPr>
              <w:t>elimination of Minority Interest described above</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(a)</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gridSpan w:val="2"/>
          </w:tcPr>
          <w:p>
            <w:pPr>
              <w:jc w:val="right"/>
              <w:ind w:right="960"/>
              <w:spacing w:after="0"/>
              <w:rPr>
                <w:sz w:val="20"/>
                <w:szCs w:val="20"/>
                <w:color w:val="auto"/>
              </w:rPr>
            </w:pPr>
            <w:r>
              <w:rPr>
                <w:rFonts w:ascii="Arial" w:cs="Arial" w:eastAsia="Arial" w:hAnsi="Arial"/>
                <w:sz w:val="18"/>
                <w:szCs w:val="18"/>
                <w:color w:val="auto"/>
              </w:rPr>
              <w:t>(a)</w:t>
            </w:r>
          </w:p>
        </w:tc>
        <w:tc>
          <w:tcPr>
            <w:tcW w:w="80" w:type="dxa"/>
            <w:vAlign w:val="bottom"/>
          </w:tcPr>
          <w:p>
            <w:pPr>
              <w:spacing w:after="0"/>
              <w:rPr>
                <w:sz w:val="19"/>
                <w:szCs w:val="19"/>
                <w:color w:val="auto"/>
              </w:rPr>
            </w:pP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w w:val="81"/>
              </w:rPr>
              <w:t>(a)</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Associated Interest Expense pursuant to conversion of</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Warrants Issued</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(b)</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w w:val="95"/>
              </w:rPr>
              <w:t>Diluted Net Income (Loss) available for Class A common stockholders</w:t>
            </w:r>
          </w:p>
        </w:tc>
        <w:tc>
          <w:tcPr>
            <w:tcW w:w="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(4,713)</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60"/>
              <w:spacing w:after="0"/>
              <w:rPr>
                <w:sz w:val="20"/>
                <w:szCs w:val="20"/>
                <w:color w:val="auto"/>
              </w:rPr>
            </w:pPr>
            <w:r>
              <w:rPr>
                <w:rFonts w:ascii="Arial" w:cs="Arial" w:eastAsia="Arial" w:hAnsi="Arial"/>
                <w:sz w:val="18"/>
                <w:szCs w:val="18"/>
                <w:color w:val="auto"/>
                <w:w w:val="98"/>
              </w:rPr>
              <w:t>(34,495)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440"/>
              <w:spacing w:after="0"/>
              <w:rPr>
                <w:sz w:val="20"/>
                <w:szCs w:val="20"/>
                <w:color w:val="auto"/>
              </w:rPr>
            </w:pPr>
            <w:r>
              <w:rPr>
                <w:rFonts w:ascii="Arial" w:cs="Arial" w:eastAsia="Arial" w:hAnsi="Arial"/>
                <w:sz w:val="18"/>
                <w:szCs w:val="18"/>
                <w:color w:val="auto"/>
                <w:w w:val="94"/>
              </w:rPr>
              <w:t>Weighted average shares of Class A common stock outstanding,</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660"/>
              <w:spacing w:after="0"/>
              <w:rPr>
                <w:sz w:val="20"/>
                <w:szCs w:val="20"/>
                <w:color w:val="auto"/>
              </w:rPr>
            </w:pPr>
            <w:r>
              <w:rPr>
                <w:rFonts w:ascii="Arial" w:cs="Arial" w:eastAsia="Arial" w:hAnsi="Arial"/>
                <w:sz w:val="18"/>
                <w:szCs w:val="18"/>
                <w:color w:val="auto"/>
              </w:rPr>
              <w:t>including vested RSUs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13,072</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10,219</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Add—dilutive effect of:</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880"/>
              <w:spacing w:after="0"/>
              <w:rPr>
                <w:sz w:val="20"/>
                <w:szCs w:val="20"/>
                <w:color w:val="auto"/>
              </w:rPr>
            </w:pPr>
            <w:r>
              <w:rPr>
                <w:rFonts w:ascii="Arial" w:cs="Arial" w:eastAsia="Arial" w:hAnsi="Arial"/>
                <w:sz w:val="18"/>
                <w:szCs w:val="18"/>
                <w:color w:val="auto"/>
                <w:w w:val="95"/>
              </w:rPr>
              <w:t>Assumed exchange of Members’ Evercore LP partnership</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1080"/>
              <w:spacing w:after="0"/>
              <w:rPr>
                <w:sz w:val="20"/>
                <w:szCs w:val="20"/>
                <w:color w:val="auto"/>
              </w:rPr>
            </w:pPr>
            <w:r>
              <w:rPr>
                <w:rFonts w:ascii="Arial" w:cs="Arial" w:eastAsia="Arial" w:hAnsi="Arial"/>
                <w:sz w:val="18"/>
                <w:szCs w:val="18"/>
                <w:color w:val="auto"/>
              </w:rPr>
              <w:t>units for Class A common shares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(a)</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gridSpan w:val="2"/>
          </w:tcPr>
          <w:p>
            <w:pPr>
              <w:jc w:val="right"/>
              <w:ind w:right="960"/>
              <w:spacing w:after="0"/>
              <w:rPr>
                <w:sz w:val="20"/>
                <w:szCs w:val="20"/>
                <w:color w:val="auto"/>
              </w:rPr>
            </w:pPr>
            <w:r>
              <w:rPr>
                <w:rFonts w:ascii="Arial" w:cs="Arial" w:eastAsia="Arial" w:hAnsi="Arial"/>
                <w:sz w:val="18"/>
                <w:szCs w:val="18"/>
                <w:color w:val="auto"/>
              </w:rPr>
              <w:t>(a)</w:t>
            </w:r>
          </w:p>
        </w:tc>
        <w:tc>
          <w:tcPr>
            <w:tcW w:w="80" w:type="dxa"/>
            <w:vAlign w:val="bottom"/>
          </w:tcPr>
          <w:p>
            <w:pPr>
              <w:spacing w:after="0"/>
              <w:rPr>
                <w:sz w:val="19"/>
                <w:szCs w:val="19"/>
                <w:color w:val="auto"/>
              </w:rPr>
            </w:pP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w w:val="81"/>
              </w:rPr>
              <w:t>(a)</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Additional shares of the Company’s common stock</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5"/>
              </w:rPr>
              <w:t>assumed to be issued pursuant to non-vested restricted</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5"/>
              </w:rPr>
              <w:t>stock, RSUs and certain Evercore LP partnership units,</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as calculated using the treasury stock method</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(c)</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(c)</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880"/>
              <w:spacing w:after="0"/>
              <w:rPr>
                <w:sz w:val="20"/>
                <w:szCs w:val="20"/>
                <w:color w:val="auto"/>
              </w:rPr>
            </w:pPr>
            <w:r>
              <w:rPr>
                <w:rFonts w:ascii="Arial" w:cs="Arial" w:eastAsia="Arial" w:hAnsi="Arial"/>
                <w:sz w:val="18"/>
                <w:szCs w:val="18"/>
                <w:color w:val="auto"/>
              </w:rPr>
              <w:t>Assumed conversion of Warrants Issued</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(b)</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weighted average shares of Class A common stock</w:t>
            </w:r>
          </w:p>
        </w:tc>
        <w:tc>
          <w:tcPr>
            <w:tcW w:w="7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outstanding</w:t>
            </w:r>
          </w:p>
        </w:tc>
        <w:tc>
          <w:tcPr>
            <w:tcW w:w="7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10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 of Class A Common Stock</w:t>
            </w:r>
          </w:p>
        </w:tc>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vMerge w:val="continue"/>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(0.36)</w:t>
            </w: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60"/>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8"/>
                <w:szCs w:val="18"/>
                <w:color w:val="auto"/>
              </w:rPr>
              <w:t>88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340" w:right="60" w:hanging="332"/>
        <w:spacing w:after="0" w:line="29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twelve months ended December 31, 2008 and 2007 and the period August 10, 2006 through December 31, 2006, the Evercore LP partnership units (which represent the right to receive shares of Class A common stock upon exchange) were antidilutive and consequently the effect of their exchange into shares of Class A common stock has been excluded from the calculation of diluted net income (loss) per share of Class A common stock. The units that would have been included in the computation of diluted net income (loss) per share of Class A common stock if the effect would have been dilutive were 15,134, 14,655 and 13,548 for the twelve months ended December 31, 2008 and 2007 and the period August 10, 2006 through December 31, 2006, respectively. For the period August 10, 2006 through December 31, 2006, antidilution is the result of vested RSUs impacting both basic and diluted earnings (loss) per share but not impacting the minority interest ownership calculation.</w:t>
      </w:r>
    </w:p>
    <w:p>
      <w:pPr>
        <w:spacing w:after="0" w:line="37" w:lineRule="exact"/>
        <w:rPr>
          <w:rFonts w:ascii="Arial" w:cs="Arial" w:eastAsia="Arial" w:hAnsi="Arial"/>
          <w:sz w:val="16"/>
          <w:szCs w:val="16"/>
          <w:color w:val="auto"/>
        </w:rPr>
      </w:pPr>
    </w:p>
    <w:p>
      <w:pPr>
        <w:ind w:left="340" w:right="40" w:hanging="332"/>
        <w:spacing w:after="0" w:line="29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During 2008, the Warrants were antidilutive and consequently the additional shares have been excluded from the calculation of diluted net income per share of Class A common stock. The additional shares that would have been included in the computation of diluted net income per share of Class A common stock if the effect would have been dilutive were 5,454,545 for the twelve months ended December 31, 2008 reduced for the impact of the Treasury Stock Method, if applicable. FASB 128, </w:t>
      </w:r>
      <w:r>
        <w:rPr>
          <w:rFonts w:ascii="Arial" w:cs="Arial" w:eastAsia="Arial" w:hAnsi="Arial"/>
          <w:sz w:val="16"/>
          <w:szCs w:val="16"/>
          <w:i w:val="1"/>
          <w:iCs w:val="1"/>
          <w:color w:val="auto"/>
        </w:rPr>
        <w:t>Earnings per Share</w:t>
      </w:r>
      <w:r>
        <w:rPr>
          <w:rFonts w:ascii="Arial" w:cs="Arial" w:eastAsia="Arial" w:hAnsi="Arial"/>
          <w:sz w:val="16"/>
          <w:szCs w:val="16"/>
          <w:color w:val="auto"/>
        </w:rPr>
        <w:t>, requires that the dilutive effect of warrants with multiple conversion alternatives be determined based on the alternative which is most advantageous to the holder of the exchangeable Senior Notes and Warrants. This will generally occur when the market value of the Company’s stock exceeds the exercise price of the Warrants, requiring dilution to be determined using the Treasury Stock Method. In certain limited circumstances the dilutive effect of conversion would be calculated using the If-Converted Method.</w:t>
      </w:r>
    </w:p>
    <w:p>
      <w:pPr>
        <w:spacing w:after="0" w:line="37" w:lineRule="exact"/>
        <w:rPr>
          <w:rFonts w:ascii="Arial" w:cs="Arial" w:eastAsia="Arial" w:hAnsi="Arial"/>
          <w:sz w:val="16"/>
          <w:szCs w:val="16"/>
          <w:color w:val="auto"/>
        </w:rPr>
      </w:pPr>
    </w:p>
    <w:p>
      <w:pPr>
        <w:ind w:left="340" w:right="40" w:hanging="332"/>
        <w:spacing w:after="0" w:line="291"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the twelve months ended December 31, 2008 and 2007, the additional shares of the Company’s common stock assumed to be issued pursuant to non-vested restricted stock, RSUs and certain Evercore LP partnership units as calculated using the treasury stock method were antidilutive and consequently the additional shares have been excluded from the calculation of diluted net loss per share of Class A common stock. The additional shares that would have been included in the computation of diluted net loss per share of Class A common stock if the effect would have been dilutive were 216 and 154 for the twelve months ended December 31, 2008 and 2007, respectively. Antidilution is the result of the Company having a loss for the twelve months ended December 31, 2008 and 2007, respectively.</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shares of Class B common stock have no right to receive dividends or a distribution on liquidation or winding up of Evercore Partners Inc. The shares of Class B common stock do not share in the earnings of Evercore Partners Inc. and no earnings are allocable to such class. Accordingly, basic and diluted net income (loss) per share of Class B common stock have not been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Stock-Based Compensation</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Effective January 1, 2006, the Company adopted SFAS 123(R), which requires the measurement and recognition of compensation expense for all stock-based payment awards made to employees and directors including employee stock options and other forms of equity compensation based on estimated fair values.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2006 Stock Incentive Plan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2006 the Company’s stockholders and board of directors adopted the Evercore Partners Inc. 2006 Stock Incentive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Plan”). The 2006 Plan permits the Company to grant to key employees, directors and consultants incentive stock options, non-qualified stock options, stock appreciation rights, restricted stock, RSUs and other awards based on the Company’s Class A common stock. The total number of shares of Class A common stock which may be issued under the 2006 Plan is 20,000,000 and the Company intends to use newly-issued shares of Class A common stock to satisfy any awards under the 2006 Plan. Shares of Class A common stock underlying any award granted under the 2006 Plan that expire, terminate or are cancelled or satisfied for any reason without being settled in stock again become available for awards under the 2006 Plan. The total shares available to be granted in the future under the 2006 Plan were 13,394,307 and 15,428,193 as of December 31, 2008 and 2007, respectively.</w:t>
      </w:r>
    </w:p>
    <w:p>
      <w:pPr>
        <w:spacing w:after="0" w:line="112"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i w:val="1"/>
          <w:iCs w:val="1"/>
          <w:color w:val="auto"/>
        </w:rPr>
        <w:t xml:space="preserve">Equity Grants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Evercore LP Partnership Units</w:t>
      </w:r>
      <w:r>
        <w:rPr>
          <w:rFonts w:ascii="Arial" w:cs="Arial" w:eastAsia="Arial" w:hAnsi="Arial"/>
          <w:sz w:val="18"/>
          <w:szCs w:val="18"/>
          <w:color w:val="auto"/>
        </w:rPr>
        <w:t>. At the time of the Reorganization, Members and certain trusts benefiting certain of their families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13,547,797 vested and 9,589,032 unvested Evercore LP partnership units. The Evercore LP partnership units are exchangeable into Class A common stock of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a one-for-one basis once vested. During the twelve months ended December 31, 2007, 4,735,867 Evercore LP partnership units vested when the Company’s Founding Members and the chairman of Protego, and trusts benefiting their families and permitted transferees, collectively, ceased to beneficially own at least 90% of the aggregate Evercore LP partnership units owned by them on the date the Reorganization was effected. The Company recorded $99,453 in compensation expense during 2007, which represented the value of the 4,735,867 Evercore LP partnership units at the date of the Reorganization. In addition, the Company entered into a severance agreement with an employee which modified the award terms, that resulted in an expense of $2,275 in 2007. The remaining unvested Evercore LP partnership units will vest upon the earliest to occur of the following events:</w:t>
      </w:r>
    </w:p>
    <w:p>
      <w:pPr>
        <w:spacing w:after="0" w:line="39" w:lineRule="exact"/>
        <w:rPr>
          <w:sz w:val="20"/>
          <w:szCs w:val="20"/>
          <w:color w:val="auto"/>
        </w:rPr>
      </w:pPr>
    </w:p>
    <w:p>
      <w:pPr>
        <w:ind w:left="900" w:right="82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when the Founding Members and chairman of Protego, and trusts benefiting their families and permitted transferees, collectively, cease to beneficially own at least 50% of the aggregate Evercore LP partnership units owned by them at the time of the Reorganization;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change of control of the Company; or</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two of the Founding Members and the chairman of Protego are not employed by, or do not serve as a director of, Evercore Partners Inc. or one of its affiliates within a 10-year period following the IPO.</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100% of the unvested Evercore LP partnership units will vest if such Member dies or becomes disabled while employed by the Company. The Company’s Equity Committee, which is comprised of Messrs. Altman and Aspe, may also accelerate vesting of unvested Evercore LP partnership units at any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Beutner, one of the Founding Members, announced his retirement from the Company on May 1, 2008. Management has assessed the impact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Beutner’s retirement on the Evercore LP partnership unit vesting events discussed above and has concluded that no such condition has become probable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time. Management has concluded that, at the current time, the disassociation of Mr. Altman or Mr. Aspe with the Company within ten years subsequent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IPO date is not probable. There have not been any stated changes in the intentions of either Mr. Altman or Mr. Aspe to terminate their employment or current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roles and functions with the Company.</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Equity Grants – Restricted Stock and RSUs</w:t>
      </w:r>
      <w:r>
        <w:rPr>
          <w:rFonts w:ascii="Arial" w:cs="Arial" w:eastAsia="Arial" w:hAnsi="Arial"/>
          <w:sz w:val="16"/>
          <w:szCs w:val="16"/>
          <w:color w:val="auto"/>
        </w:rPr>
        <w:t>. At the time of the IPO, and pursuant to the 2006 Plan, the Company granted to the Company’s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2,286,055 RSUs, which are convertible into Class A common stock on a one-for-one basis once vested. At the time of the IPO 207,116 of the RSUs fully-vested and, as a result, the Company recorded compensation expense at the time of the IPO equal to the value of these fully-vested RSUs. The remaining unvested RSUs have the same vesting requirements as the unvested Evercore LP partnership units described above.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the Company’s four outside directors at the date of the IPO received a one-time award of 2,381 RSUs upon their initial appointment to the Board.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RSUs were issued pursuant to the 2006 Plan and vested in 2008, and were amortized into compensation expense, over two years.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Subsequent to the IPO, the Company granted new and existing employees RSUs and restricted stock. Certain of these awards vest upon the same terms as the Evercore LP partnership units issued at the time of the Reorganization and the RSUs issued at the time of the IPO (“Event-based Awards”) and certain of these awards are Service-based Awards.</w:t>
      </w:r>
    </w:p>
    <w:p>
      <w:pPr>
        <w:spacing w:after="0" w:line="14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During 2008, pursuant to the 2006 Plan, the Company granted employees 440,925 Evercore LP units and 60,193 RSUs that are Event-based Awards and 75,000 shares of restricted stock and 2,065,743 RSUs that are Service-based Awards. These awards had grant date fair values of $9.70 to $21.33 per share. During 2008, no Event-based Awards vested. Compensation expense related to Service-based Awards was $29,380 for the twelve months ended December 31, 2008.</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2007, pursuant to the 2006 Plan, the Company granted employees 90,606 shares of restricted stock and 90,479 RSUs that are Event-based Awards and 475,810 shares of restricted stock and 1,873,447 RSUs that are Service-based Awards. These awards had grant date fair values of $21.12 to $33.64 per share. During 2007, 1,127,830 Event-based Awards vested and the Company recorded $25,570 in compensation expense. Compensation expense related to Service-based Awards was $9,539 for the twelve months ended December 31, 2007.</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recorded stock compensation expense of approximately $4,349 during the period August 10, 2006 through December 31, 2006 related to the grant of 207,116 vested RSUs granted to employees at the date of the IPO and valued at the IPO price of $21.00 per share. Stock compensation expense is included in Employee Compensation and Benefits in the Consolidated Statement of Income. The total income tax benefit related to stock-based compensation arrangements recognized in the Company’s Consolidated Statement of Income for the period August 10, 2006 through December 31, 2006 was $583.</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first quarter of 2009, as part of the 2008 bonus awards, the Company granted to certain employees 733,678 unvested RSUs pursuant to the 2006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activity related to stock-based compensation awards during the twelve months ended December 31, 2008: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Event-based Awards</w:t>
            </w:r>
          </w:p>
        </w:tc>
        <w:tc>
          <w:tcPr>
            <w:tcW w:w="220" w:type="dxa"/>
            <w:vAlign w:val="bottom"/>
          </w:tcPr>
          <w:p>
            <w:pPr>
              <w:spacing w:after="0"/>
              <w:rPr>
                <w:sz w:val="14"/>
                <w:szCs w:val="14"/>
                <w:color w:val="auto"/>
              </w:rPr>
            </w:pPr>
          </w:p>
        </w:tc>
        <w:tc>
          <w:tcPr>
            <w:tcW w:w="20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Service-based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Grant Date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Grant Date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Average Fair</w:t>
            </w:r>
          </w:p>
        </w:tc>
        <w:tc>
          <w:tcPr>
            <w:tcW w:w="22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Average 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2008</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5,656,917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119,165</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2,355,953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501,118</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8,344</w:t>
            </w:r>
          </w:p>
        </w:tc>
        <w:tc>
          <w:tcPr>
            <w:tcW w:w="300" w:type="dxa"/>
            <w:vAlign w:val="bottom"/>
          </w:tcPr>
          <w:p>
            <w:pPr>
              <w:spacing w:after="0"/>
              <w:rPr>
                <w:sz w:val="18"/>
                <w:szCs w:val="18"/>
                <w:color w:val="auto"/>
              </w:rPr>
            </w:pP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2,140,743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(581,077)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(12,203)</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(26,898)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Vested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(812,011)</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5,576,958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115,306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3,657,787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of December 31, 2008, the total compensation cost related to unvested Service-based Awards not yet recognized was $53,066. The ultimate amount of such expense is dependent upon the actual number of Service-based Awards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 The weighted-average period over which this compensation cost is expected to be recognized is 30 months. Management has concluded that at the current time it is not probable that the conditions relating to the vesting of unvested Event-based Awards will be achieved or satisfied.</w:t>
      </w:r>
    </w:p>
    <w:p>
      <w:pPr>
        <w:spacing w:after="0" w:line="14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During the fourth quarter of 2008, the Company issued Performance-based equity awards having a value of $1,000. The delivery of such awards is conditioned on the grantees satisfying certain vesting and other performance requirements outlined in the award agreements. Management has concluded that at the current time it is not probable that the conditions relating to the vesting of unvested Performance-based awards will be achieved or satisfied.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income tax benefit related to stock-based compensation arrangements recognized in the Company’s Consolidated Statements of Operations for the twelve months ended December 31, 2008 and 2007, was $6,185 and $6,829,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Operating Leases </w:t>
      </w:r>
      <w:r>
        <w:rPr>
          <w:rFonts w:ascii="Arial" w:cs="Arial" w:eastAsia="Arial" w:hAnsi="Arial"/>
          <w:sz w:val="16"/>
          <w:szCs w:val="16"/>
          <w:color w:val="auto"/>
        </w:rPr>
        <w:t>– The Company leases office space under non-cancelable lease agreements, which expire on various dates through 2023.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reflects lease expense over the lease terms on a straight-line basis. Occupancy lease agreements, in addition to base rentals, generally are subject to escalation provisions based on certain costs incurred by the landlord. Occupancy and Equipment Rental on the Consolidated/Combined Statements of Operations includes occupancy rental expense relating to operating leases of $9,308, $10,344, $1,398 and $1,747 for the twelve months ended December 31, 2008 and 2007 and the periods August 10, 2006 through December 31, 2006 and January 1, 2006 through August 9, 2006,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conjunction with the leases of office space in New York and San Francisco, the Company has entered into unsecured letters of credit of $4,880.</w:t>
      </w:r>
    </w:p>
    <w:p>
      <w:pPr>
        <w:spacing w:after="0" w:line="194"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Company has entered into various operating leases for the use of certain office equipment. Rental expense for office equipment totaled $303, $480, $46 and $74 for the twelve months ended December 31, 2008 and 2007 and the periods August 10, 2006 through December 31, 2006 and January 1, 2006 through August 9, 2006, respectively. Rental expense for office equipment is included in Occupancy and Equipment Rental on the Consolidated/Combined Statements of Operations.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w w:val="89"/>
              </w:rPr>
              <w:t>As of December 31, 2008, the approximate aggregate minimum future payments required on the operating leases are as follows: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158,154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January 2009, the Company agreed to lease 5,632 square feet of office space at One Post Office Square, Boston, Massachusetts.</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Capital Leases </w:t>
      </w:r>
      <w:r>
        <w:rPr>
          <w:rFonts w:ascii="Arial" w:cs="Arial" w:eastAsia="Arial" w:hAnsi="Arial"/>
          <w:sz w:val="15"/>
          <w:szCs w:val="15"/>
          <w:color w:val="auto"/>
        </w:rPr>
        <w:t>– The Company has entered into various capital leases for office equipment. As of December 31, 2008, the leases had an aggregate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balance of $118. Interest expense on capital leases for the twelve months ended December 31, 2008, 2007 and 2006 was $2, $9 and $20, respectively.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net investment in these leases, which is included in Furniture, Equipment and Leasehold Improvements, Net, as of December 31, 2008 and 2007, was $118 and $84, respectively.</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2"/>
                <w:szCs w:val="12"/>
                <w:color w:val="auto"/>
              </w:rPr>
            </w:pPr>
          </w:p>
        </w:tc>
        <w:tc>
          <w:tcPr>
            <w:tcW w:w="4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Capitalized Office Equipment Leases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$ 445</w:t>
            </w:r>
          </w:p>
        </w:tc>
        <w:tc>
          <w:tcPr>
            <w:tcW w:w="8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20" w:type="dxa"/>
            <w:vAlign w:val="bottom"/>
            <w:gridSpan w:val="2"/>
          </w:tcPr>
          <w:p>
            <w:pPr>
              <w:jc w:val="right"/>
              <w:ind w:right="672"/>
              <w:spacing w:after="0"/>
              <w:rPr>
                <w:sz w:val="20"/>
                <w:szCs w:val="20"/>
                <w:color w:val="auto"/>
              </w:rPr>
            </w:pPr>
            <w:r>
              <w:rPr>
                <w:rFonts w:ascii="Arial" w:cs="Arial" w:eastAsia="Arial" w:hAnsi="Arial"/>
                <w:sz w:val="18"/>
                <w:szCs w:val="18"/>
                <w:color w:val="auto"/>
              </w:rPr>
              <w:t>(327)</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$ 118</w:t>
            </w:r>
          </w:p>
        </w:tc>
        <w:tc>
          <w:tcPr>
            <w:tcW w:w="8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560" w:type="dxa"/>
            <w:vAlign w:val="bottom"/>
            <w:gridSpan w:val="4"/>
          </w:tcPr>
          <w:p>
            <w:pPr>
              <w:jc w:val="right"/>
              <w:ind w:right="672"/>
              <w:spacing w:after="0"/>
              <w:rPr>
                <w:sz w:val="20"/>
                <w:szCs w:val="20"/>
                <w:color w:val="auto"/>
              </w:rPr>
            </w:pPr>
            <w:r>
              <w:rPr>
                <w:rFonts w:ascii="Arial" w:cs="Arial" w:eastAsia="Arial" w:hAnsi="Arial"/>
                <w:sz w:val="18"/>
                <w:szCs w:val="18"/>
                <w:color w:val="auto"/>
                <w:w w:val="87"/>
              </w:rPr>
              <w:t>As of December 31, 2008, the approximate aggregate minimum future payments required on the capital leases are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Interest Discount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Total Present Value of Future Minimum Lease Payments</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Long-term Portion</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20" w:firstLine="456"/>
        <w:spacing w:after="0" w:line="335" w:lineRule="auto"/>
        <w:rPr>
          <w:sz w:val="20"/>
          <w:szCs w:val="20"/>
          <w:color w:val="auto"/>
        </w:rPr>
      </w:pPr>
      <w:r>
        <w:rPr>
          <w:rFonts w:ascii="Arial" w:cs="Arial" w:eastAsia="Arial" w:hAnsi="Arial"/>
          <w:sz w:val="15"/>
          <w:szCs w:val="15"/>
          <w:b w:val="1"/>
          <w:bCs w:val="1"/>
          <w:i w:val="1"/>
          <w:iCs w:val="1"/>
          <w:color w:val="auto"/>
        </w:rPr>
        <w:t xml:space="preserve">Other Commitments </w:t>
      </w:r>
      <w:r>
        <w:rPr>
          <w:rFonts w:ascii="Arial" w:cs="Arial" w:eastAsia="Arial" w:hAnsi="Arial"/>
          <w:sz w:val="15"/>
          <w:szCs w:val="15"/>
          <w:color w:val="auto"/>
        </w:rPr>
        <w:t>– As of December 31, 2008, the Company has unfunded commitments for capital contributions of $11,310 to the Private Equity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Funds. These commitments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88"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On July 21, 2008, the Company committed to purchase preferred capital of approximately $10,000 to Pan, an asset management firm. The capital is expected to be drawn down as needed over a period of seven years, subject to the Board’s approval. As of December 31, 2008, the Company had $5,117 of remaining capital committed to Pan.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8, 2008, the Company committed capital, subject to certain conditions, of $150,000 to HighView, a newly-created asset management firm.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Capital is expected to be drawn down as needed over a period of four to five years.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PCB maintains a line of credit with BBVA Bancomer to fund its trading activities on an intra-day and overnight basis. The intra-day facility is approximately $7,200 and secured with trading securities. No interest is charged on the intra-day facility. The overnight facility is charged the Inter-Bank Balance Interest Rate plus 10 basis points and is secured with trading securities. There have been no significant draw downs on PCB’s line of credit since August 10, 2006. The line of credit is renewable annually.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normal course of business, from time to time the Company and its affiliates may be involved in judicial, regulatory and arbitration proceedings concerning matters arising in connection with the conduct of its businesses, and, in the past, the Company and its affiliates have been named as a defendant in civil litigation matters involving present or former clients or competitors. In addition, Mexican, United Kingdom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or its directors, officers or employees.</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The Company contests liability and/or the amount of damages as appropriate. In view of the inherent difficulty of predicting the outcome of such matters, particularly in cases where claimants seek substantial or indeterminate damages or where investigations and proceedings are in the early stages, the Company cannot predict with certainty the loss or range of loss, if any, related to such matters, how or if such matters will be resolved, when they will ultimately be resolved, or what the eventual settlement, fine, penalty or other relief, if any, might be. Subject to the foregoing, and except for the pending matter described in the paragraphs below, the Company believes, based on current knowledge and after consultation with counsel, that the outcome of the pending matters will not have a material adverse effect on the consolidated financial condition of the Company, although the outcome of such matters could be material to the Company’s operating results and cash flows for a particular future period, depending on, among other things, the level of the Company’s revenues or income for such period. Legal reserves are established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Once established, reserves are adjusted when there is more information available or when an event occurs requiring a change.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Regulatory Authorities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EGL is a U.S. registered broker-dealer and is subject to the net capital requirements of Rule 15c3-1 under the Exchange Act. Rule 15c3-1 requires the maintenance of net capital, as defined, which shall be the greater of $5 or 6 2/3% of aggregate indebtedness, as defined. EGL’s regulatory net capital as of December 31, 2008 and 2007 was $32,905 and $16,937, respectively, which exceeded the minimum net capital requirement by $32,662 and $15,718, respectively. Certain other non-U.S. subsidiaries are subject to various securities and banking regulations and capital adequacy requirements promulgated by the regulatory and exchange authorities of the countries in which they operate. These subsidiaries have consistently operated in excess of their local capital adequacy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Prior to August 10, 2006, the Company had not been subject to U.S. federal income tax, but had been subject to the New York City UBT and New York City general corporate tax on its U.S. earnings, and certain non-income tax fees in other jurisdictions where the Company had registered offices and conducted business. As a result of the Reorganization and IPO, the operating business entities of the Company were restructured and a portion of the Company’s income is subject to U.S. federal, state, local and foreign income taxes and is taxed at the prevailing corporate tax rates. Taxes Payable as of December 31, 2008 and 2007, were $92 and $3,961,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the provision for income taxes reflected on the Consolidated/Combined Statements of Operations for the twelve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and 2007 and the periods August 10, 2006 through December 31, 2006 and January 1, 2006 through August 9, 2006 consist of:</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i w:val="1"/>
                <w:iCs w:val="1"/>
                <w:color w:val="auto"/>
                <w:w w:val="87"/>
              </w:rPr>
              <w:t>Consolidated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6"/>
              </w:rPr>
              <w:t>For the Period</w:t>
            </w: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i w:val="1"/>
                <w:iCs w:val="1"/>
                <w:color w:val="auto"/>
                <w:w w:val="81"/>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gridSpan w:val="5"/>
          </w:tcPr>
          <w:p>
            <w:pPr>
              <w:jc w:val="right"/>
              <w:ind w:right="1200"/>
              <w:spacing w:after="0" w:line="142" w:lineRule="exact"/>
              <w:rPr>
                <w:sz w:val="20"/>
                <w:szCs w:val="20"/>
                <w:color w:val="auto"/>
              </w:rPr>
            </w:pPr>
            <w:r>
              <w:rPr>
                <w:rFonts w:ascii="Arial" w:cs="Arial" w:eastAsia="Arial" w:hAnsi="Arial"/>
                <w:sz w:val="14"/>
                <w:szCs w:val="14"/>
                <w:b w:val="1"/>
                <w:bCs w:val="1"/>
                <w:color w:val="auto"/>
              </w:rPr>
              <w:t>For the Twelve Months Ended</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2"/>
          </w:tcPr>
          <w:p>
            <w:pPr>
              <w:jc w:val="center"/>
              <w:ind w:right="972"/>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10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jc w:val="center"/>
              <w:ind w:right="952"/>
              <w:spacing w:after="0" w:line="149" w:lineRule="exact"/>
              <w:rPr>
                <w:sz w:val="20"/>
                <w:szCs w:val="20"/>
                <w:color w:val="auto"/>
              </w:rPr>
            </w:pPr>
            <w:r>
              <w:rPr>
                <w:rFonts w:ascii="Arial" w:cs="Arial" w:eastAsia="Arial" w:hAnsi="Arial"/>
                <w:sz w:val="14"/>
                <w:szCs w:val="14"/>
                <w:b w:val="1"/>
                <w:bCs w:val="1"/>
                <w:color w:val="auto"/>
                <w:w w:val="86"/>
              </w:rPr>
              <w:t>through</w:t>
            </w:r>
          </w:p>
        </w:tc>
        <w:tc>
          <w:tcPr>
            <w:tcW w:w="1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2007</w:t>
            </w:r>
          </w:p>
        </w:tc>
        <w:tc>
          <w:tcPr>
            <w:tcW w:w="440" w:type="dxa"/>
            <w:vAlign w:val="bottom"/>
          </w:tcPr>
          <w:p>
            <w:pPr>
              <w:spacing w:after="0"/>
              <w:rPr>
                <w:sz w:val="14"/>
                <w:szCs w:val="14"/>
                <w:color w:val="auto"/>
              </w:rPr>
            </w:pPr>
          </w:p>
        </w:tc>
        <w:tc>
          <w:tcPr>
            <w:tcW w:w="2040" w:type="dxa"/>
            <w:vAlign w:val="bottom"/>
            <w:gridSpan w:val="3"/>
          </w:tcPr>
          <w:p>
            <w:pPr>
              <w:jc w:val="center"/>
              <w:ind w:right="872"/>
              <w:spacing w:after="0"/>
              <w:rPr>
                <w:sz w:val="20"/>
                <w:szCs w:val="20"/>
                <w:color w:val="auto"/>
              </w:rPr>
            </w:pPr>
            <w:r>
              <w:rPr>
                <w:rFonts w:ascii="Arial" w:cs="Arial" w:eastAsia="Arial" w:hAnsi="Arial"/>
                <w:sz w:val="14"/>
                <w:szCs w:val="14"/>
                <w:b w:val="1"/>
                <w:bCs w:val="1"/>
                <w:color w:val="auto"/>
                <w:w w:val="87"/>
              </w:rPr>
              <w:t>December 31, 2006</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August 9,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SUCCESSOR</w:t>
            </w:r>
          </w:p>
        </w:tc>
        <w:tc>
          <w:tcPr>
            <w:tcW w:w="9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SUCCESSOR</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SUCCESSOR</w:t>
            </w:r>
          </w:p>
        </w:tc>
        <w:tc>
          <w:tcPr>
            <w:tcW w:w="94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3,425</w:t>
            </w:r>
          </w:p>
        </w:tc>
        <w:tc>
          <w:tcPr>
            <w:tcW w:w="9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6,683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1,954</w:t>
            </w:r>
          </w:p>
        </w:tc>
        <w:tc>
          <w:tcPr>
            <w:tcW w:w="94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State and Local</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18,325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(427)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right"/>
              <w:ind w:right="812"/>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and Local</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(5,924)</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2"/>
          </w:tcPr>
          <w:p>
            <w:pPr>
              <w:jc w:val="right"/>
              <w:ind w:right="812"/>
              <w:spacing w:after="0"/>
              <w:rPr>
                <w:sz w:val="20"/>
                <w:szCs w:val="20"/>
                <w:color w:val="auto"/>
              </w:rPr>
            </w:pPr>
            <w:r>
              <w:rPr>
                <w:rFonts w:ascii="Arial" w:cs="Arial" w:eastAsia="Arial" w:hAnsi="Arial"/>
                <w:sz w:val="18"/>
                <w:szCs w:val="18"/>
                <w:color w:val="auto"/>
              </w:rPr>
              <w:t>(1,506)</w:t>
            </w: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9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The effective tax rate for the twelve months ended December 31, 2008 was (1.9%) compared to (22.6%) for the twelve months ended December 31, 2007. The effective tax rates for the period August 10, 2006 through December 31, 2006 was 23.4% and for the period January 1, 2006 through August 9, 2006 was 3.5%. A reconciliation between the statutory federal income tax rate and the Company’s effective tax rate for the twelve months ended December 31, 2008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2007 and the periods August 10, 2006 through December 31, 2006 and January 1, 2006 through August 9, 2006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180" w:type="dxa"/>
            <w:vAlign w:val="bottom"/>
            <w:gridSpan w:val="5"/>
          </w:tcPr>
          <w:p>
            <w:pPr>
              <w:jc w:val="right"/>
              <w:ind w:right="1720"/>
              <w:spacing w:after="0"/>
              <w:rPr>
                <w:sz w:val="20"/>
                <w:szCs w:val="20"/>
                <w:color w:val="auto"/>
              </w:rPr>
            </w:pPr>
            <w:r>
              <w:rPr>
                <w:rFonts w:ascii="Arial" w:cs="Arial" w:eastAsia="Arial" w:hAnsi="Arial"/>
                <w:sz w:val="14"/>
                <w:szCs w:val="14"/>
                <w:b w:val="1"/>
                <w:bCs w:val="1"/>
                <w:color w:val="auto"/>
              </w:rPr>
              <w:t>For the Twelve Months Ended</w:t>
            </w:r>
          </w:p>
        </w:tc>
        <w:tc>
          <w:tcPr>
            <w:tcW w:w="2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For the Period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100" w:type="dxa"/>
            <w:vAlign w:val="bottom"/>
            <w:tcBorders>
              <w:top w:val="single" w:sz="8" w:color="auto"/>
            </w:tcBorders>
            <w:gridSpan w:val="2"/>
          </w:tcPr>
          <w:p>
            <w:pPr>
              <w:jc w:val="right"/>
              <w:ind w:right="1100"/>
              <w:spacing w:after="0" w:line="129" w:lineRule="exact"/>
              <w:rPr>
                <w:sz w:val="20"/>
                <w:szCs w:val="20"/>
                <w:color w:val="auto"/>
              </w:rPr>
            </w:pPr>
            <w:r>
              <w:rPr>
                <w:rFonts w:ascii="Arial" w:cs="Arial" w:eastAsia="Arial" w:hAnsi="Arial"/>
                <w:sz w:val="14"/>
                <w:szCs w:val="14"/>
                <w:b w:val="1"/>
                <w:bCs w:val="1"/>
                <w:color w:val="auto"/>
                <w:w w:val="91"/>
              </w:rPr>
              <w:t>August 10, 2006</w:t>
            </w: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00" w:type="dxa"/>
            <w:vAlign w:val="bottom"/>
            <w:gridSpan w:val="2"/>
          </w:tcPr>
          <w:p>
            <w:pPr>
              <w:jc w:val="right"/>
              <w:ind w:right="1320"/>
              <w:spacing w:after="0" w:line="149" w:lineRule="exact"/>
              <w:rPr>
                <w:sz w:val="20"/>
                <w:szCs w:val="20"/>
                <w:color w:val="auto"/>
              </w:rPr>
            </w:pPr>
            <w:r>
              <w:rPr>
                <w:rFonts w:ascii="Arial" w:cs="Arial" w:eastAsia="Arial" w:hAnsi="Arial"/>
                <w:sz w:val="14"/>
                <w:szCs w:val="14"/>
                <w:b w:val="1"/>
                <w:bCs w:val="1"/>
                <w:color w:val="auto"/>
              </w:rPr>
              <w:t>through</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December 31, 2008</w:t>
            </w:r>
          </w:p>
        </w:tc>
        <w:tc>
          <w:tcPr>
            <w:tcW w:w="620" w:type="dxa"/>
            <w:vAlign w:val="bottom"/>
          </w:tcPr>
          <w:p>
            <w:pPr>
              <w:spacing w:after="0"/>
              <w:rPr>
                <w:sz w:val="14"/>
                <w:szCs w:val="14"/>
                <w:color w:val="auto"/>
              </w:rPr>
            </w:pPr>
          </w:p>
        </w:tc>
        <w:tc>
          <w:tcPr>
            <w:tcW w:w="21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5"/>
              </w:rPr>
              <w:t>December 31, 2007</w:t>
            </w:r>
          </w:p>
        </w:tc>
        <w:tc>
          <w:tcPr>
            <w:tcW w:w="21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5"/>
              </w:rPr>
              <w:t>December 31, 2006</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August 9, 2006</w:t>
            </w:r>
          </w:p>
        </w:tc>
        <w:tc>
          <w:tcPr>
            <w:tcW w:w="0" w:type="dxa"/>
            <w:vAlign w:val="bottom"/>
          </w:tcPr>
          <w:p>
            <w:pPr>
              <w:spacing w:after="0"/>
              <w:rPr>
                <w:sz w:val="1"/>
                <w:szCs w:val="1"/>
                <w:color w:val="auto"/>
              </w:rPr>
            </w:pPr>
          </w:p>
        </w:tc>
      </w:tr>
      <w:tr>
        <w:trPr>
          <w:trHeight w:val="201"/>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Reconciliation of Federal Statutory Tax</w:t>
            </w:r>
          </w:p>
        </w:tc>
        <w:tc>
          <w:tcPr>
            <w:tcW w:w="10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Rates</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U.S. Statutory Tax Rate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2720" w:type="dxa"/>
            <w:vAlign w:val="bottom"/>
            <w:gridSpan w:val="3"/>
          </w:tcPr>
          <w:p>
            <w:pPr>
              <w:jc w:val="right"/>
              <w:ind w:right="860"/>
              <w:spacing w:after="0"/>
              <w:rPr>
                <w:sz w:val="20"/>
                <w:szCs w:val="20"/>
                <w:color w:val="auto"/>
              </w:rPr>
            </w:pPr>
            <w:r>
              <w:rPr>
                <w:rFonts w:ascii="Arial" w:cs="Arial" w:eastAsia="Arial" w:hAnsi="Arial"/>
                <w:sz w:val="18"/>
                <w:szCs w:val="18"/>
                <w:color w:val="auto"/>
              </w:rPr>
              <w:t>35.0%</w:t>
            </w:r>
          </w:p>
        </w:tc>
        <w:tc>
          <w:tcPr>
            <w:tcW w:w="2100" w:type="dxa"/>
            <w:vAlign w:val="bottom"/>
            <w:gridSpan w:val="2"/>
          </w:tcPr>
          <w:p>
            <w:pPr>
              <w:jc w:val="right"/>
              <w:ind w:right="860"/>
              <w:spacing w:after="0"/>
              <w:rPr>
                <w:sz w:val="20"/>
                <w:szCs w:val="20"/>
                <w:color w:val="auto"/>
              </w:rPr>
            </w:pPr>
            <w:r>
              <w:rPr>
                <w:rFonts w:ascii="Arial" w:cs="Arial" w:eastAsia="Arial" w:hAnsi="Arial"/>
                <w:sz w:val="18"/>
                <w:szCs w:val="18"/>
                <w:color w:val="auto"/>
              </w:rPr>
              <w:t>35.0%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Due to State and</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Local Taxes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7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(4.2)%</w:t>
            </w:r>
          </w:p>
        </w:tc>
        <w:tc>
          <w:tcPr>
            <w:tcW w:w="21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8"/>
        </w:trPr>
        <w:tc>
          <w:tcPr>
            <w:tcW w:w="4000" w:type="dxa"/>
            <w:vAlign w:val="bottom"/>
          </w:tcPr>
          <w:p>
            <w:pPr>
              <w:ind w:left="440"/>
              <w:spacing w:after="0"/>
              <w:rPr>
                <w:sz w:val="20"/>
                <w:szCs w:val="20"/>
                <w:color w:val="auto"/>
              </w:rPr>
            </w:pPr>
            <w:r>
              <w:rPr>
                <w:rFonts w:ascii="Arial" w:cs="Arial" w:eastAsia="Arial" w:hAnsi="Arial"/>
                <w:sz w:val="18"/>
                <w:szCs w:val="18"/>
                <w:color w:val="auto"/>
              </w:rPr>
              <w:t>Rate Benefits as a Limited Liability</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660"/>
              <w:spacing w:after="0"/>
              <w:rPr>
                <w:sz w:val="20"/>
                <w:szCs w:val="20"/>
                <w:color w:val="auto"/>
              </w:rPr>
            </w:pPr>
            <w:r>
              <w:rPr>
                <w:rFonts w:ascii="Arial" w:cs="Arial" w:eastAsia="Arial" w:hAnsi="Arial"/>
                <w:sz w:val="18"/>
                <w:szCs w:val="18"/>
                <w:color w:val="auto"/>
              </w:rPr>
              <w:t>Company/Flow Through</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2720" w:type="dxa"/>
            <w:vAlign w:val="bottom"/>
            <w:gridSpan w:val="3"/>
          </w:tcPr>
          <w:p>
            <w:pPr>
              <w:jc w:val="right"/>
              <w:ind w:right="800"/>
              <w:spacing w:after="0"/>
              <w:rPr>
                <w:sz w:val="20"/>
                <w:szCs w:val="20"/>
                <w:color w:val="auto"/>
              </w:rPr>
            </w:pPr>
            <w:r>
              <w:rPr>
                <w:rFonts w:ascii="Arial" w:cs="Arial" w:eastAsia="Arial" w:hAnsi="Arial"/>
                <w:sz w:val="18"/>
                <w:szCs w:val="18"/>
                <w:color w:val="auto"/>
              </w:rPr>
              <w:t>(17.3)%</w:t>
            </w:r>
          </w:p>
        </w:tc>
        <w:tc>
          <w:tcPr>
            <w:tcW w:w="2100" w:type="dxa"/>
            <w:vAlign w:val="bottom"/>
            <w:gridSpan w:val="2"/>
          </w:tcPr>
          <w:p>
            <w:pPr>
              <w:jc w:val="right"/>
              <w:ind w:right="800"/>
              <w:spacing w:after="0"/>
              <w:rPr>
                <w:sz w:val="20"/>
                <w:szCs w:val="20"/>
                <w:color w:val="auto"/>
              </w:rPr>
            </w:pPr>
            <w:r>
              <w:rPr>
                <w:rFonts w:ascii="Arial" w:cs="Arial" w:eastAsia="Arial" w:hAnsi="Arial"/>
                <w:sz w:val="18"/>
                <w:szCs w:val="18"/>
                <w:color w:val="auto"/>
              </w:rPr>
              <w:t>(29.8)%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Taxes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7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(9.5)%</w:t>
            </w:r>
          </w:p>
        </w:tc>
        <w:tc>
          <w:tcPr>
            <w:tcW w:w="21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Non-Deductible Expenses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2720" w:type="dxa"/>
            <w:vAlign w:val="bottom"/>
            <w:gridSpan w:val="3"/>
          </w:tcPr>
          <w:p>
            <w:pPr>
              <w:jc w:val="right"/>
              <w:ind w:right="800"/>
              <w:spacing w:after="0"/>
              <w:rPr>
                <w:sz w:val="20"/>
                <w:szCs w:val="20"/>
                <w:color w:val="auto"/>
              </w:rPr>
            </w:pPr>
            <w:r>
              <w:rPr>
                <w:rFonts w:ascii="Arial" w:cs="Arial" w:eastAsia="Arial" w:hAnsi="Arial"/>
                <w:sz w:val="18"/>
                <w:szCs w:val="18"/>
                <w:color w:val="auto"/>
              </w:rPr>
              <w:t>(27.3)%</w:t>
            </w:r>
          </w:p>
        </w:tc>
        <w:tc>
          <w:tcPr>
            <w:tcW w:w="210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Adjustments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27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0.7%</w:t>
            </w:r>
          </w:p>
        </w:tc>
        <w:tc>
          <w:tcPr>
            <w:tcW w:w="21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vMerge w:val="continue"/>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720" w:type="dxa"/>
            <w:vAlign w:val="bottom"/>
            <w:gridSpan w:val="3"/>
          </w:tcPr>
          <w:p>
            <w:pPr>
              <w:jc w:val="right"/>
              <w:ind w:right="800"/>
              <w:spacing w:after="0"/>
              <w:rPr>
                <w:sz w:val="20"/>
                <w:szCs w:val="20"/>
                <w:color w:val="auto"/>
              </w:rPr>
            </w:pPr>
            <w:r>
              <w:rPr>
                <w:rFonts w:ascii="Arial" w:cs="Arial" w:eastAsia="Arial" w:hAnsi="Arial"/>
                <w:sz w:val="18"/>
                <w:szCs w:val="18"/>
                <w:color w:val="auto"/>
              </w:rPr>
              <w:t>(22.6)%</w:t>
            </w:r>
          </w:p>
        </w:tc>
        <w:tc>
          <w:tcPr>
            <w:tcW w:w="2100" w:type="dxa"/>
            <w:vAlign w:val="bottom"/>
            <w:gridSpan w:val="2"/>
          </w:tcPr>
          <w:p>
            <w:pPr>
              <w:jc w:val="right"/>
              <w:ind w:right="860"/>
              <w:spacing w:after="0"/>
              <w:rPr>
                <w:sz w:val="20"/>
                <w:szCs w:val="20"/>
                <w:color w:val="auto"/>
              </w:rPr>
            </w:pPr>
            <w:r>
              <w:rPr>
                <w:rFonts w:ascii="Arial" w:cs="Arial" w:eastAsia="Arial" w:hAnsi="Arial"/>
                <w:sz w:val="18"/>
                <w:szCs w:val="18"/>
                <w:color w:val="auto"/>
              </w:rPr>
              <w:t>23.4%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vMerge w:val="restart"/>
          </w:tcPr>
          <w:p>
            <w:pPr>
              <w:jc w:val="right"/>
              <w:ind w:right="192"/>
              <w:spacing w:after="0"/>
              <w:rPr>
                <w:sz w:val="20"/>
                <w:szCs w:val="20"/>
                <w:color w:val="auto"/>
              </w:rPr>
            </w:pPr>
            <w:r>
              <w:rPr>
                <w:rFonts w:ascii="Arial" w:cs="Arial" w:eastAsia="Arial" w:hAnsi="Arial"/>
                <w:sz w:val="18"/>
                <w:szCs w:val="18"/>
                <w:color w:val="auto"/>
              </w:rPr>
              <w:t>95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effective tax rate was significantly impacted by the reorganization resulting from the IPO on August 10, 2006, whereby a significant percentage of the income was subject to corporate level federal, state and New York City taxes. Prior to the IPO, the Company was organized as a series of partnerships and flow through entities and was only subject to city taxes. The change between 2006 and 2007 is largely a result of a nondeductible equity compensation expense that was charged in 2007.</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U.S. and non-U.S. components of Income (Loss) before income tax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0"/>
              </w:rPr>
              <w:t>For the Twelve Months Ended</w:t>
            </w:r>
          </w:p>
        </w:tc>
        <w:tc>
          <w:tcPr>
            <w:tcW w:w="6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For the Period</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2"/>
          </w:tcPr>
          <w:p>
            <w:pPr>
              <w:jc w:val="right"/>
              <w:ind w:right="900"/>
              <w:spacing w:after="0" w:line="129" w:lineRule="exact"/>
              <w:rPr>
                <w:sz w:val="20"/>
                <w:szCs w:val="20"/>
                <w:color w:val="auto"/>
              </w:rPr>
            </w:pPr>
            <w:r>
              <w:rPr>
                <w:rFonts w:ascii="Arial" w:cs="Arial" w:eastAsia="Arial" w:hAnsi="Arial"/>
                <w:sz w:val="14"/>
                <w:szCs w:val="14"/>
                <w:b w:val="1"/>
                <w:bCs w:val="1"/>
                <w:color w:val="auto"/>
                <w:w w:val="84"/>
              </w:rPr>
              <w:t>August 10, 2006</w:t>
            </w:r>
          </w:p>
        </w:tc>
        <w:tc>
          <w:tcPr>
            <w:tcW w:w="4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January 1, 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rPr>
              <w:t>through</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2008</w:t>
            </w:r>
          </w:p>
        </w:tc>
        <w:tc>
          <w:tcPr>
            <w:tcW w:w="9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2007</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2006</w:t>
            </w:r>
          </w:p>
        </w:tc>
        <w:tc>
          <w:tcPr>
            <w:tcW w:w="4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August 9, 2006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(12,334)</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Non-U.S.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(9,605)</w:t>
            </w:r>
          </w:p>
        </w:tc>
        <w:tc>
          <w:tcPr>
            <w:tcW w:w="4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(9,760)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9,742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 Expense(a)</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(4,534)</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(22,094)</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9,816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Net of Minority Interest.</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Step up in tax basis due to the exchange of Evercore LP Partnership Units for Shares of Class A 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2,130</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Deferred Tax Asset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8"/>
                <w:szCs w:val="18"/>
                <w:color w:val="auto"/>
              </w:rPr>
              <w:t>Long-term Deferred Tax Assets: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12,916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Step up in tax basis due to the exchange of Evercore LP Partnership Units for Shares of Class A Common Stock</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42,980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Deferred Tax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66,515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8"/>
                <w:szCs w:val="18"/>
                <w:color w:val="auto"/>
              </w:rPr>
              <w:t>Long-term Deferred Tax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8"/>
                <w:szCs w:val="18"/>
                <w:color w:val="auto"/>
              </w:rPr>
              <w:t>Total Long-term Deferred Tax Liabilities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4,597</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Long-term Deferred Tax Assets Before Valuation Allowance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61,918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Valuation Allowance</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Long-term Deferred Tax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61,066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51,492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60" w:type="dxa"/>
            <w:vAlign w:val="bottom"/>
            <w:gridSpan w:val="2"/>
            <w:vMerge w:val="restart"/>
          </w:tcPr>
          <w:p>
            <w:pPr>
              <w:jc w:val="right"/>
              <w:ind w:right="3972"/>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8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December 31, 2008 and 2007, the Company recognized net deferred tax assets related to differences between the financial reporting basis and the tax basis of the net assets of the Company, which totaled $63,196 and $52,947, respectively. As discussed in Note 17, during 2007, Members exchanged a number of Evercore LP partnership units for shares of Class A common stock of the Company. This exchange resulted in an increase in the tax basis of the tangible and intangible assets of Evercore LP, which triggered a tax receivable agreement that was entered into at the time of the Formation Transaction between the Company and the Members. The agreement provides for the Members to retain 85% of the tax benefits resulting from the exchange and for the Company to retain 15% of such benefits. In 2008, the triggering of the tax receivable agreement resulted in an increase in Deferred Tax Asset—Current and Deferred Tax Asset – Non-Current of $675 and $241, respectively, on the Company’s Consolidated Statement of Financial Condition as of December 31, 2008. In 2007, the triggering of the tax receivable agreement resulted in an increase in Deferred Tax Asset – Current, Deferred Tax Asset – Non-Current, Payable to Employees and Related Parties, Amounts Due to Related Parties Pursuant to Tax Receivable Agreement and Additional Paid-in-Capital of $1,455, $44,206, $1,237, $37,575 and $6,849, respectively, on the Company’s Consolidated Statement of Financial Condition as of December 31, 2007.</w:t>
      </w:r>
    </w:p>
    <w:p>
      <w:pPr>
        <w:spacing w:after="0" w:line="12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increase in net deferred tax assets from December 31, 2007 to December 31, 2008 was also attributable to a $4,806 increase due to compensation deductions for financial reporting purposes associated with RSUs and restricted stock that vested during the period, $478 related to the amortization of intangible assets associated with the Braveheart and Protego acquisitions and an increase in deferred tax assets of $3,815 associated with changes in Accumulated Other Comprehensive Income of which $4,027 related to foreign currency translation losses and $212 related to net unrealized gains on available-for-sale securities.</w:t>
      </w:r>
    </w:p>
    <w:p>
      <w:pPr>
        <w:spacing w:after="0" w:line="9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the Company’s historical taxable income and its expected future earnings, management has determined that the remaining deferred tax assets are more-likely-than-not to be realized. Additionally, with respect to net operating loss carry-forwards associated with one of our foreign subsidiaries, a valuation allowance of $852 has been set up to fully offset the deferred tax asset.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discussed in Note 2, the Company applied the provisions of FIN 48 on January 1, 2007. The cumulative effect of the Company’s adoption of FIN 48 was a charge of $671 and $252 to the January 1, 2007 Minority Interest and Retained Earnings balances,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changes in tax positions for the years ended December 31, 2008 and 2007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Beginning unrecognized tax benefit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$ 1,114</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w w:val="89"/>
              </w:rPr>
              <w:t>Additions based on tax positions related to the current year</w:t>
            </w:r>
          </w:p>
        </w:tc>
        <w:tc>
          <w:tcPr>
            <w:tcW w:w="340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681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for tax positions of prior years</w:t>
            </w:r>
          </w:p>
        </w:tc>
        <w:tc>
          <w:tcPr>
            <w:tcW w:w="3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740</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Reductions for tax positions of prior years</w:t>
            </w:r>
          </w:p>
        </w:tc>
        <w:tc>
          <w:tcPr>
            <w:tcW w:w="4440" w:type="dxa"/>
            <w:vAlign w:val="bottom"/>
            <w:gridSpan w:val="3"/>
          </w:tcPr>
          <w:p>
            <w:pPr>
              <w:jc w:val="right"/>
              <w:ind w:right="480"/>
              <w:spacing w:after="0"/>
              <w:rPr>
                <w:sz w:val="20"/>
                <w:szCs w:val="20"/>
                <w:color w:val="auto"/>
              </w:rPr>
            </w:pPr>
            <w:r>
              <w:rPr>
                <w:rFonts w:ascii="Arial" w:cs="Arial" w:eastAsia="Arial" w:hAnsi="Arial"/>
                <w:sz w:val="18"/>
                <w:szCs w:val="18"/>
                <w:color w:val="auto"/>
              </w:rPr>
              <w:t>(818)</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3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ind w:left="440"/>
              <w:spacing w:after="0"/>
              <w:rPr>
                <w:sz w:val="20"/>
                <w:szCs w:val="20"/>
                <w:color w:val="auto"/>
              </w:rPr>
            </w:pPr>
            <w:r>
              <w:rPr>
                <w:rFonts w:ascii="Arial" w:cs="Arial" w:eastAsia="Arial" w:hAnsi="Arial"/>
                <w:sz w:val="18"/>
                <w:szCs w:val="18"/>
                <w:color w:val="auto"/>
              </w:rPr>
              <w:t>Lapse of Statute of Limitations</w:t>
            </w:r>
          </w:p>
        </w:tc>
        <w:tc>
          <w:tcPr>
            <w:tcW w:w="3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Ending unrecognized tax benefit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1,717</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400" w:type="dxa"/>
            <w:vAlign w:val="bottom"/>
            <w:vMerge w:val="restart"/>
          </w:tcPr>
          <w:p>
            <w:pPr>
              <w:jc w:val="right"/>
              <w:ind w:right="3072"/>
              <w:spacing w:after="0"/>
              <w:rPr>
                <w:sz w:val="20"/>
                <w:szCs w:val="20"/>
                <w:color w:val="auto"/>
              </w:rPr>
            </w:pPr>
            <w:r>
              <w:rPr>
                <w:rFonts w:ascii="Arial" w:cs="Arial" w:eastAsia="Arial" w:hAnsi="Arial"/>
                <w:sz w:val="18"/>
                <w:szCs w:val="18"/>
                <w:color w:val="auto"/>
              </w:rPr>
              <w:t>97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Included in the balance of unrecognized tax benefits at December 31, 2008 and 2007, are $1,674 and $2,192, respectively, of tax benefits that, if recognized, would affect the effective tax rate. The Company recognizes interest accrued related to unrecognized tax benefits and penalties as income tax expense. The Company accrued interest of $160 during 2008 related to the unrecognized tax benefits noted above and, as of December 31, 2008, the Company has recognized a liability for penalties and interest of $510 and $641, respectively. The Company accrued interest and penalties of $319 and $386, respectively, during 2007 and, as of December 31, 2007, the Company has recognized a liability for penalties and interest of $760 and $511, respectively.</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does not anticipate a significant change in unrecognized tax positions as a result of the settlement of income tax audits and the expiration of statute of limitations for examining the Company’s income tax returns during the next year.</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is subject to taxation in the U.S. and various state, local and foreign jurisdictions. The Company’s tax years for 2005 to present are subject to examination by the taxing authorities. With a few exceptions, the Company is no longer subject to U.S. federal, state, local or foreign examinations by taxing authorities for years before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Concentrations of Credit Risk</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Financial instruments that are exposed to concentrations of credit risk consist primarily of cash and cash equivalents, marketable securities, foreign government obligations and receivables from clients. The Company has placed its Cash and Cash Equivalents in interest-bearing deposits in U.S. banks and U.S. investment banks that meet certain rating and capital requirements. The Company’s foreign subsidiaries maintain Cash and Cash Equivalents in interest bearing accounts at large commercial banking institutions domiciled in their respective countries of operation. Concentrations of credit risk are limited due to the quality of the Company’s clients.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2008, the Company has securities purchased under agreements to resell of $92,770 for which the Company has received collateral with a fair value of $92,580. Additionally, the Company has securities sold under agreements to repurchase of $284,745 at December 31, 2008, for which the Company has pledged collateral with a fair value of $284,086. To reduce the exposure to concentrations of credit from Securities Purchased Under Agreements to Resell, the Company has established risk management procedure to monitor the exposure. The collateral for the receivables is primarily secured by Mexican government bonds and the Company monitors the collateral pledged under these agreements against their contract value from inception to maturity date.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Accounts Receivable consists primarily of advisory fees and expense reimbursements billed to our clients. Receivables are reported net of any allowance for doubtful accounts. The Company maintains an allowance for bad debts to provide coverage for probable losses from our customer receivables and derives the estimate through specific identification for the allowance for doubtful accounts and an assessment of the client’s creditworthiness. At December 31, 2008 and 2007 total receivables amounted to $22,758 and $47,720, net of an allowance. The Advisory and Investment Management receivables collection periods generally are within 90 days of invoice. The collection period for restructuring transactions and private equity fee receivables may exceed 90 days. The Company recorded bad debt expense of approximately $196 and $391 in the years ended December 31, 2008 and 2007,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With respect to our Marketable Securities portfolio, which is comprised of highly rated corporate bonds and equity securities, the Company manages its credit risk exposure by limiting concentration risk and maintaining minimum credit quality. As of December 31, 2008, the Company had Marketable Securities of $103,480, of which 97% were corporate bonds with Moody’s ratings ranging from A1 to Aaa and 3% were equity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Operating Results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Business Segments </w:t>
      </w:r>
      <w:r>
        <w:rPr>
          <w:rFonts w:ascii="Arial" w:cs="Arial" w:eastAsia="Arial" w:hAnsi="Arial"/>
          <w:sz w:val="16"/>
          <w:szCs w:val="16"/>
          <w:color w:val="auto"/>
        </w:rPr>
        <w:t>– The Company’s business results are categorized into the following two segments: Advisory and Investment Management. Advisory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providing advice on mergers, acquisitions, divestitures, leveraged buyouts, restructurings, and similar corporate finance matters. Investment Management includes advising third-party investors in the Private Equity, Institutional Asset Management and Wealth Management sectors.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segment information for the twelve months ended December 31, 2008 and 2007 and the periods August 10, 2006 through December 31, 2006 and January 1, 2006 through August 9, 2006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these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132"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Each segment’s Operating Expenses include: a) employee compensation and benefits expenses that are incurred directly in support of the segment and b) non-compensation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 Other Expenses include stock-based compensation costs associated with the May 2007 follow-on offering of common stock, a 2007 stock-based compensation charge related to a severance agreement, a charge associated with deferred consideration pursuant to the Braveheart Sale and Purchase Agreement in 2008, amortization of intangibles associated with the acquisitions of Protego and Braveheart, Special Charges in connection with the 2008 write-off of certain capitalized costs associated with ECP capital raising and employee severance, accelerated share-based vesting and other costs related to the closing of the Los Angeles office and Acquisition and Transition Costs incurred in connection with acquisitions currently in process.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evaluates segment results based on net revenue and operating income, both including and excluding the impact of the Other Expenses.</w:t>
      </w:r>
    </w:p>
    <w:p>
      <w:pPr>
        <w:spacing w:after="0" w:line="19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believes that the following information provides a reasonable representation of each segment’s contribution to net revenue, operating expenses, other expenses, operating income and identifiable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full year ended December 31, 2008, no client accounted for more than 10% of the Company’s consolidated Net Revenues. One client accounted for more than 10% of the Company’s consolidated Net Revenues for the full year ended December 31,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4"/>
                <w:szCs w:val="14"/>
                <w:b w:val="1"/>
                <w:bCs w:val="1"/>
                <w:i w:val="1"/>
                <w:iCs w:val="1"/>
                <w:color w:val="auto"/>
                <w:w w:val="85"/>
              </w:rPr>
              <w:t>Consolidated</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i w:val="1"/>
                <w:iCs w:val="1"/>
                <w:color w:val="auto"/>
                <w:w w:val="81"/>
              </w:rPr>
              <w:t>Combined</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780" w:type="dxa"/>
            <w:vAlign w:val="bottom"/>
            <w:tcBorders>
              <w:top w:val="single" w:sz="8" w:color="auto"/>
            </w:tcBorders>
            <w:gridSpan w:val="6"/>
          </w:tcPr>
          <w:p>
            <w:pPr>
              <w:jc w:val="right"/>
              <w:ind w:right="1500"/>
              <w:spacing w:after="0" w:line="142" w:lineRule="exact"/>
              <w:rPr>
                <w:sz w:val="20"/>
                <w:szCs w:val="20"/>
                <w:color w:val="auto"/>
              </w:rPr>
            </w:pPr>
            <w:r>
              <w:rPr>
                <w:rFonts w:ascii="Arial" w:cs="Arial" w:eastAsia="Arial" w:hAnsi="Arial"/>
                <w:sz w:val="14"/>
                <w:szCs w:val="14"/>
                <w:b w:val="1"/>
                <w:bCs w:val="1"/>
                <w:color w:val="auto"/>
              </w:rPr>
              <w:t>For the Twelve Months Ended</w:t>
            </w: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For the Period</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2"/>
          </w:tcPr>
          <w:p>
            <w:pPr>
              <w:jc w:val="center"/>
              <w:ind w:right="892"/>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10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872"/>
              <w:spacing w:after="0" w:line="149" w:lineRule="exact"/>
              <w:rPr>
                <w:sz w:val="20"/>
                <w:szCs w:val="20"/>
                <w:color w:val="auto"/>
              </w:rPr>
            </w:pPr>
            <w:r>
              <w:rPr>
                <w:rFonts w:ascii="Arial" w:cs="Arial" w:eastAsia="Arial" w:hAnsi="Arial"/>
                <w:sz w:val="14"/>
                <w:szCs w:val="14"/>
                <w:b w:val="1"/>
                <w:bCs w:val="1"/>
                <w:color w:val="auto"/>
                <w:w w:val="86"/>
              </w:rPr>
              <w:t>through</w:t>
            </w:r>
          </w:p>
        </w:tc>
        <w:tc>
          <w:tcPr>
            <w:tcW w:w="1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December 31, 2008</w:t>
            </w: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December 31, 2007</w:t>
            </w: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August 9, 2006</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SUCCESSOR</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0"/>
              </w:rPr>
              <w:t>SUCCESSOR</w:t>
            </w:r>
          </w:p>
        </w:tc>
        <w:tc>
          <w:tcPr>
            <w:tcW w:w="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SUCCESSOR</w:t>
            </w:r>
          </w:p>
        </w:tc>
        <w:tc>
          <w:tcPr>
            <w:tcW w:w="8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PREDECESSOR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Advisory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440"/>
              <w:spacing w:after="0"/>
              <w:rPr>
                <w:sz w:val="20"/>
                <w:szCs w:val="20"/>
                <w:color w:val="auto"/>
              </w:rPr>
            </w:pPr>
            <w:r>
              <w:rPr>
                <w:rFonts w:ascii="Arial" w:cs="Arial" w:eastAsia="Arial" w:hAnsi="Arial"/>
                <w:sz w:val="18"/>
                <w:szCs w:val="18"/>
                <w:color w:val="auto"/>
              </w:rPr>
              <w:t>Net Revenues(1)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186,628</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299,710</w:t>
            </w:r>
          </w:p>
        </w:tc>
        <w:tc>
          <w:tcPr>
            <w:tcW w:w="8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88,695</w:t>
            </w:r>
          </w:p>
        </w:tc>
        <w:tc>
          <w:tcPr>
            <w:tcW w:w="8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Expenses(2)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157,097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193,204</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54,401</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440"/>
              <w:spacing w:after="0"/>
              <w:rPr>
                <w:sz w:val="20"/>
                <w:szCs w:val="20"/>
                <w:color w:val="auto"/>
              </w:rPr>
            </w:pPr>
            <w:r>
              <w:rPr>
                <w:rFonts w:ascii="Arial" w:cs="Arial" w:eastAsia="Arial" w:hAnsi="Arial"/>
                <w:sz w:val="18"/>
                <w:szCs w:val="18"/>
                <w:color w:val="auto"/>
              </w:rPr>
              <w:t>Other Expenses(3)</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114,000</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Segment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20,195</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(7,494)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28,032</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40"/>
              <w:spacing w:after="0"/>
              <w:rPr>
                <w:sz w:val="20"/>
                <w:szCs w:val="20"/>
                <w:color w:val="auto"/>
              </w:rPr>
            </w:pPr>
            <w:r>
              <w:rPr>
                <w:rFonts w:ascii="Arial" w:cs="Arial" w:eastAsia="Arial" w:hAnsi="Arial"/>
                <w:sz w:val="18"/>
                <w:szCs w:val="18"/>
                <w:color w:val="auto"/>
              </w:rPr>
              <w:t>Identifiable Segment Assets(4)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290,677</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347,357</w:t>
            </w:r>
          </w:p>
        </w:tc>
        <w:tc>
          <w:tcPr>
            <w:tcW w:w="8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182,120</w:t>
            </w:r>
          </w:p>
        </w:tc>
        <w:tc>
          <w:tcPr>
            <w:tcW w:w="8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84,926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Management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440"/>
              <w:spacing w:after="0"/>
              <w:rPr>
                <w:sz w:val="20"/>
                <w:szCs w:val="20"/>
                <w:color w:val="auto"/>
              </w:rPr>
            </w:pPr>
            <w:r>
              <w:rPr>
                <w:rFonts w:ascii="Arial" w:cs="Arial" w:eastAsia="Arial" w:hAnsi="Arial"/>
                <w:sz w:val="18"/>
                <w:szCs w:val="18"/>
                <w:color w:val="auto"/>
              </w:rPr>
              <w:t>Net Revenues(1)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8,027</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21,889</w:t>
            </w:r>
          </w:p>
        </w:tc>
        <w:tc>
          <w:tcPr>
            <w:tcW w:w="8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7,383</w:t>
            </w:r>
          </w:p>
        </w:tc>
        <w:tc>
          <w:tcPr>
            <w:tcW w:w="8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Expenses(2)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31,878</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42,298</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440"/>
              <w:spacing w:after="0"/>
              <w:rPr>
                <w:sz w:val="20"/>
                <w:szCs w:val="20"/>
                <w:color w:val="auto"/>
              </w:rPr>
            </w:pPr>
            <w:r>
              <w:rPr>
                <w:rFonts w:ascii="Arial" w:cs="Arial" w:eastAsia="Arial" w:hAnsi="Arial"/>
                <w:sz w:val="18"/>
                <w:szCs w:val="18"/>
                <w:color w:val="auto"/>
              </w:rPr>
              <w:t>Other Expenses(3)</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27,032</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Segment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(29,579)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(47,441)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(2,225)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40"/>
              <w:spacing w:after="0"/>
              <w:rPr>
                <w:sz w:val="20"/>
                <w:szCs w:val="20"/>
                <w:color w:val="auto"/>
              </w:rPr>
            </w:pPr>
            <w:r>
              <w:rPr>
                <w:rFonts w:ascii="Arial" w:cs="Arial" w:eastAsia="Arial" w:hAnsi="Arial"/>
                <w:sz w:val="18"/>
                <w:szCs w:val="18"/>
                <w:color w:val="auto"/>
              </w:rPr>
              <w:t>Identifiable Segment Assets(4)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448,263</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341,739</w:t>
            </w:r>
          </w:p>
        </w:tc>
        <w:tc>
          <w:tcPr>
            <w:tcW w:w="8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119,383</w:t>
            </w:r>
          </w:p>
        </w:tc>
        <w:tc>
          <w:tcPr>
            <w:tcW w:w="8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420,703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440"/>
              <w:spacing w:after="0"/>
              <w:rPr>
                <w:sz w:val="20"/>
                <w:szCs w:val="20"/>
                <w:color w:val="auto"/>
              </w:rPr>
            </w:pPr>
            <w:r>
              <w:rPr>
                <w:rFonts w:ascii="Arial" w:cs="Arial" w:eastAsia="Arial" w:hAnsi="Arial"/>
                <w:sz w:val="18"/>
                <w:szCs w:val="18"/>
                <w:color w:val="auto"/>
              </w:rPr>
              <w:t>Net Revenues(1)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194,655</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321,599</w:t>
            </w:r>
          </w:p>
        </w:tc>
        <w:tc>
          <w:tcPr>
            <w:tcW w:w="8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96,078</w:t>
            </w:r>
          </w:p>
        </w:tc>
        <w:tc>
          <w:tcPr>
            <w:tcW w:w="8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Expenses(2)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188,975</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235,502</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440"/>
              <w:spacing w:after="0"/>
              <w:rPr>
                <w:sz w:val="20"/>
                <w:szCs w:val="20"/>
                <w:color w:val="auto"/>
              </w:rPr>
            </w:pPr>
            <w:r>
              <w:rPr>
                <w:rFonts w:ascii="Arial" w:cs="Arial" w:eastAsia="Arial" w:hAnsi="Arial"/>
                <w:sz w:val="18"/>
                <w:szCs w:val="18"/>
                <w:color w:val="auto"/>
              </w:rPr>
              <w:t>Other Expenses(3)</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15,064</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141,032</w:t>
            </w:r>
          </w:p>
        </w:tc>
        <w:tc>
          <w:tcPr>
            <w:tcW w:w="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Segment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(9,384)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(54,935)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25,807</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40"/>
              <w:spacing w:after="0"/>
              <w:rPr>
                <w:sz w:val="20"/>
                <w:szCs w:val="20"/>
                <w:color w:val="auto"/>
              </w:rPr>
            </w:pPr>
            <w:r>
              <w:rPr>
                <w:rFonts w:ascii="Arial" w:cs="Arial" w:eastAsia="Arial" w:hAnsi="Arial"/>
                <w:sz w:val="18"/>
                <w:szCs w:val="18"/>
                <w:color w:val="auto"/>
              </w:rPr>
              <w:t>Identifiable Segment Assets(4)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738,940</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689,096</w:t>
            </w:r>
          </w:p>
        </w:tc>
        <w:tc>
          <w:tcPr>
            <w:tcW w:w="8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301,503</w:t>
            </w:r>
          </w:p>
        </w:tc>
        <w:tc>
          <w:tcPr>
            <w:tcW w:w="8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505,629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revenues include Other Revenue, net, allocated to the segments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40"/>
              <w:spacing w:after="0"/>
              <w:rPr>
                <w:sz w:val="20"/>
                <w:szCs w:val="20"/>
                <w:color w:val="auto"/>
              </w:rPr>
            </w:pPr>
            <w:r>
              <w:rPr>
                <w:rFonts w:ascii="Arial" w:cs="Arial" w:eastAsia="Arial" w:hAnsi="Arial"/>
                <w:sz w:val="14"/>
                <w:szCs w:val="14"/>
                <w:b w:val="1"/>
                <w:bCs w:val="1"/>
                <w:i w:val="1"/>
                <w:iCs w:val="1"/>
                <w:color w:val="auto"/>
                <w:w w:val="83"/>
              </w:rPr>
              <w:t>Consolidated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4"/>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040" w:type="dxa"/>
            <w:vAlign w:val="bottom"/>
            <w:tcBorders>
              <w:top w:val="single" w:sz="8" w:color="auto"/>
              <w:bottom w:val="single" w:sz="8" w:color="auto"/>
            </w:tcBorders>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rPr>
              <w:t>For the Twelve Months Ended</w:t>
            </w: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8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For the Period</w:t>
            </w:r>
          </w:p>
        </w:tc>
        <w:tc>
          <w:tcPr>
            <w:tcW w:w="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40" w:type="dxa"/>
            <w:vAlign w:val="bottom"/>
          </w:tcPr>
          <w:p>
            <w:pPr>
              <w:spacing w:after="0"/>
              <w:rPr>
                <w:sz w:val="11"/>
                <w:szCs w:val="11"/>
                <w:color w:val="auto"/>
              </w:rPr>
            </w:pP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892"/>
              <w:spacing w:after="0" w:line="149" w:lineRule="exact"/>
              <w:rPr>
                <w:sz w:val="20"/>
                <w:szCs w:val="20"/>
                <w:color w:val="auto"/>
              </w:rPr>
            </w:pPr>
            <w:r>
              <w:rPr>
                <w:rFonts w:ascii="Arial" w:cs="Arial" w:eastAsia="Arial" w:hAnsi="Arial"/>
                <w:sz w:val="14"/>
                <w:szCs w:val="14"/>
                <w:b w:val="1"/>
                <w:bCs w:val="1"/>
                <w:color w:val="auto"/>
                <w:w w:val="86"/>
              </w:rPr>
              <w:t>through</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2008</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2007</w:t>
            </w:r>
          </w:p>
        </w:tc>
        <w:tc>
          <w:tcPr>
            <w:tcW w:w="880" w:type="dxa"/>
            <w:vAlign w:val="bottom"/>
          </w:tcPr>
          <w:p>
            <w:pPr>
              <w:spacing w:after="0"/>
              <w:rPr>
                <w:sz w:val="14"/>
                <w:szCs w:val="14"/>
                <w:color w:val="auto"/>
              </w:rPr>
            </w:pPr>
          </w:p>
        </w:tc>
        <w:tc>
          <w:tcPr>
            <w:tcW w:w="1960" w:type="dxa"/>
            <w:vAlign w:val="bottom"/>
            <w:gridSpan w:val="3"/>
          </w:tcPr>
          <w:p>
            <w:pPr>
              <w:jc w:val="center"/>
              <w:ind w:right="772"/>
              <w:spacing w:after="0"/>
              <w:rPr>
                <w:sz w:val="20"/>
                <w:szCs w:val="20"/>
                <w:color w:val="auto"/>
              </w:rPr>
            </w:pPr>
            <w:r>
              <w:rPr>
                <w:rFonts w:ascii="Arial" w:cs="Arial" w:eastAsia="Arial" w:hAnsi="Arial"/>
                <w:sz w:val="14"/>
                <w:szCs w:val="14"/>
                <w:b w:val="1"/>
                <w:bCs w:val="1"/>
                <w:color w:val="auto"/>
                <w:w w:val="85"/>
              </w:rPr>
              <w:t>December 31, 2006</w:t>
            </w:r>
          </w:p>
        </w:tc>
        <w:tc>
          <w:tcPr>
            <w:tcW w:w="4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August 9,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SUCCESSOR</w:t>
            </w:r>
          </w:p>
        </w:tc>
        <w:tc>
          <w:tcPr>
            <w:tcW w:w="9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SUCCESSOR</w:t>
            </w:r>
          </w:p>
        </w:tc>
        <w:tc>
          <w:tcPr>
            <w:tcW w:w="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92"/>
              </w:rPr>
              <w:t>SUCCESSOR</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Advisory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Investment Management</w:t>
            </w:r>
          </w:p>
        </w:tc>
        <w:tc>
          <w:tcPr>
            <w:tcW w:w="120" w:type="dxa"/>
            <w:vAlign w:val="bottom"/>
          </w:tcPr>
          <w:p>
            <w:pPr>
              <w:spacing w:after="0"/>
              <w:rPr>
                <w:sz w:val="18"/>
                <w:szCs w:val="18"/>
                <w:color w:val="auto"/>
              </w:rPr>
            </w:pPr>
          </w:p>
        </w:tc>
        <w:tc>
          <w:tcPr>
            <w:tcW w:w="1940" w:type="dxa"/>
            <w:vAlign w:val="bottom"/>
            <w:gridSpan w:val="2"/>
          </w:tcPr>
          <w:p>
            <w:pPr>
              <w:jc w:val="right"/>
              <w:ind w:right="900"/>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Other Revenue, net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8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left="5580" w:right="160" w:hanging="5572"/>
        <w:spacing w:after="0" w:line="440" w:lineRule="auto"/>
        <w:tabs>
          <w:tab w:leader="none" w:pos="4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Corporate level Operating Expenses for prior periods have been allocated to their appropriate business segments to conform with the current presentation. 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51" w:lineRule="exact"/>
        <w:rPr>
          <w:sz w:val="20"/>
          <w:szCs w:val="20"/>
          <w:color w:val="auto"/>
        </w:rPr>
      </w:pPr>
    </w:p>
    <w:p>
      <w:pPr>
        <w:ind w:left="460" w:right="6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Expenses include stock-based compensation costs associated with the May 2007 follow-on offering of common stock, a 2007 stock-based compensation charge related to a severance agreement, a charge associated with deferred consideration pursuant to the Braveheart Sale and Purchase Agreement in 2008, amortization of intangibles associated with the acquisitions of Protego and Braveheart, Special Charges in connection with the 2008 write-off of certain capitalized costs associated with ECP capital raising and employee severance, accelerated share-based vesting and other costs related to the closing of the Los Angeles office and Acquisition and Transition Costs incurred in connection with acquisitions currently in process as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i w:val="1"/>
                <w:iCs w:val="1"/>
                <w:color w:val="auto"/>
                <w:w w:val="87"/>
              </w:rPr>
              <w:t>Consolidated</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i w:val="1"/>
                <w:iCs w:val="1"/>
                <w:color w:val="auto"/>
                <w:w w:val="81"/>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516"/>
              <w:spacing w:after="0" w:line="142" w:lineRule="exact"/>
              <w:rPr>
                <w:sz w:val="20"/>
                <w:szCs w:val="20"/>
                <w:color w:val="auto"/>
              </w:rPr>
            </w:pPr>
            <w:r>
              <w:rPr>
                <w:rFonts w:ascii="Arial" w:cs="Arial" w:eastAsia="Arial" w:hAnsi="Arial"/>
                <w:sz w:val="14"/>
                <w:szCs w:val="14"/>
                <w:b w:val="1"/>
                <w:bCs w:val="1"/>
                <w:color w:val="auto"/>
              </w:rPr>
              <w:t>For the Twelve Months Ended</w:t>
            </w:r>
          </w:p>
        </w:tc>
        <w:tc>
          <w:tcPr>
            <w:tcW w:w="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ind w:left="920"/>
              <w:spacing w:after="0" w:line="142" w:lineRule="exact"/>
              <w:rPr>
                <w:sz w:val="20"/>
                <w:szCs w:val="20"/>
                <w:color w:val="auto"/>
              </w:rPr>
            </w:pPr>
            <w:r>
              <w:rPr>
                <w:rFonts w:ascii="Arial" w:cs="Arial" w:eastAsia="Arial" w:hAnsi="Arial"/>
                <w:sz w:val="14"/>
                <w:szCs w:val="14"/>
                <w:b w:val="1"/>
                <w:bCs w:val="1"/>
                <w:color w:val="auto"/>
                <w:w w:val="86"/>
              </w:rPr>
              <w:t>For the Period</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2"/>
          </w:tcPr>
          <w:p>
            <w:pPr>
              <w:jc w:val="right"/>
              <w:ind w:right="840"/>
              <w:spacing w:after="0" w:line="129" w:lineRule="exact"/>
              <w:rPr>
                <w:sz w:val="20"/>
                <w:szCs w:val="20"/>
                <w:color w:val="auto"/>
              </w:rPr>
            </w:pPr>
            <w:r>
              <w:rPr>
                <w:rFonts w:ascii="Arial" w:cs="Arial" w:eastAsia="Arial" w:hAnsi="Arial"/>
                <w:sz w:val="14"/>
                <w:szCs w:val="14"/>
                <w:b w:val="1"/>
                <w:bCs w:val="1"/>
                <w:color w:val="auto"/>
                <w:w w:val="84"/>
              </w:rPr>
              <w:t>August 10, 2006</w:t>
            </w: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through</w:t>
            </w: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December 31, 2008</w:t>
            </w:r>
          </w:p>
        </w:tc>
        <w:tc>
          <w:tcPr>
            <w:tcW w:w="76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2007</w:t>
            </w:r>
          </w:p>
        </w:tc>
        <w:tc>
          <w:tcPr>
            <w:tcW w:w="76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August 9,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SUCCESSOR</w:t>
            </w:r>
          </w:p>
        </w:tc>
        <w:tc>
          <w:tcPr>
            <w:tcW w:w="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SUCCESSOR</w:t>
            </w:r>
          </w:p>
        </w:tc>
        <w:tc>
          <w:tcPr>
            <w:tcW w:w="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4"/>
              </w:rPr>
              <w:t>SUCCESSOR</w:t>
            </w:r>
          </w:p>
        </w:tc>
        <w:tc>
          <w:tcPr>
            <w:tcW w:w="7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Consideration Pursuant to the Braveheart Sale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Purchase Agreement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Contingently Vested Equity Awards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98,963</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Advisory—Intangible Asset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860" w:type="dxa"/>
            <w:vAlign w:val="bottom"/>
            <w:gridSpan w:val="2"/>
          </w:tcPr>
          <w:p>
            <w:pPr>
              <w:spacing w:after="0"/>
              <w:rPr>
                <w:sz w:val="20"/>
                <w:szCs w:val="20"/>
                <w:color w:val="auto"/>
              </w:rPr>
            </w:pPr>
            <w:r>
              <w:rPr>
                <w:rFonts w:ascii="Arial" w:cs="Arial" w:eastAsia="Arial" w:hAnsi="Arial"/>
                <w:sz w:val="18"/>
                <w:szCs w:val="18"/>
                <w:color w:val="auto"/>
              </w:rPr>
              <w:t>Total Advisory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9,336</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114,000</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6,262</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Contingently Vested Equity Awards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27,032</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Special Charges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Costs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Total Investment Management</w:t>
            </w: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5,728</w:t>
            </w:r>
          </w:p>
        </w:tc>
        <w:tc>
          <w:tcPr>
            <w:tcW w:w="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27,032</w:t>
            </w:r>
          </w:p>
        </w:tc>
        <w:tc>
          <w:tcPr>
            <w:tcW w:w="7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7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141,032</w:t>
            </w: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Goodwill has been included in the Advisory Segment only, since at the dates of the acquisitions Braveheart and Protego were principally Advisory businesses.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 The Company manages its business based on the profitability of the enterprise as a whole.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Company’s net revenues were derived from clients and Private Equity Funds located in the following geographical areas: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i w:val="1"/>
                <w:iCs w:val="1"/>
                <w:color w:val="auto"/>
                <w:w w:val="87"/>
              </w:rPr>
              <w:t>Consolidated</w:t>
            </w: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i w:val="1"/>
                <w:iCs w:val="1"/>
                <w:color w:val="auto"/>
                <w:w w:val="81"/>
              </w:rPr>
              <w:t>Combined</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4"/>
          </w:tcPr>
          <w:p>
            <w:pPr>
              <w:jc w:val="right"/>
              <w:ind w:right="559"/>
              <w:spacing w:after="0" w:line="142" w:lineRule="exact"/>
              <w:rPr>
                <w:sz w:val="20"/>
                <w:szCs w:val="20"/>
                <w:color w:val="auto"/>
              </w:rPr>
            </w:pPr>
            <w:r>
              <w:rPr>
                <w:rFonts w:ascii="Arial" w:cs="Arial" w:eastAsia="Arial" w:hAnsi="Arial"/>
                <w:sz w:val="14"/>
                <w:szCs w:val="14"/>
                <w:b w:val="1"/>
                <w:bCs w:val="1"/>
                <w:color w:val="auto"/>
              </w:rPr>
              <w:t>For the Twelve Months Ended</w:t>
            </w: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2"/>
          </w:tcPr>
          <w:p>
            <w:pPr>
              <w:ind w:left="940"/>
              <w:spacing w:after="0" w:line="142" w:lineRule="exact"/>
              <w:rPr>
                <w:sz w:val="20"/>
                <w:szCs w:val="20"/>
                <w:color w:val="auto"/>
              </w:rPr>
            </w:pPr>
            <w:r>
              <w:rPr>
                <w:rFonts w:ascii="Arial" w:cs="Arial" w:eastAsia="Arial" w:hAnsi="Arial"/>
                <w:sz w:val="14"/>
                <w:szCs w:val="14"/>
                <w:b w:val="1"/>
                <w:bCs w:val="1"/>
                <w:color w:val="auto"/>
                <w:w w:val="90"/>
              </w:rPr>
              <w:t>For the Period</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4"/>
              </w:rPr>
              <w:t>August 10, 2006</w:t>
            </w:r>
          </w:p>
        </w:tc>
        <w:tc>
          <w:tcPr>
            <w:tcW w:w="10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1, 2006</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through</w:t>
            </w:r>
          </w:p>
        </w:tc>
        <w:tc>
          <w:tcPr>
            <w:tcW w:w="16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2008</w:t>
            </w:r>
          </w:p>
        </w:tc>
        <w:tc>
          <w:tcPr>
            <w:tcW w:w="8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2007</w:t>
            </w:r>
          </w:p>
        </w:tc>
        <w:tc>
          <w:tcPr>
            <w:tcW w:w="820" w:type="dxa"/>
            <w:vAlign w:val="bottom"/>
          </w:tcPr>
          <w:p>
            <w:pPr>
              <w:spacing w:after="0"/>
              <w:rPr>
                <w:sz w:val="14"/>
                <w:szCs w:val="14"/>
                <w:color w:val="auto"/>
              </w:rPr>
            </w:pPr>
          </w:p>
        </w:tc>
        <w:tc>
          <w:tcPr>
            <w:tcW w:w="19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7"/>
              </w:rPr>
              <w:t>December 31, 2006</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August 9, 2006</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2"/>
              </w:rPr>
              <w:t>SUCCESSOR</w:t>
            </w:r>
          </w:p>
        </w:tc>
        <w:tc>
          <w:tcPr>
            <w:tcW w:w="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2"/>
              </w:rPr>
              <w:t>SUCCESSOR</w:t>
            </w:r>
          </w:p>
        </w:tc>
        <w:tc>
          <w:tcPr>
            <w:tcW w:w="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92"/>
              </w:rPr>
              <w:t>SUCCESSOR</w:t>
            </w:r>
          </w:p>
        </w:tc>
        <w:tc>
          <w:tcPr>
            <w:tcW w:w="8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PREDECESSOR</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140,650</w:t>
            </w:r>
          </w:p>
        </w:tc>
        <w:tc>
          <w:tcPr>
            <w:tcW w:w="940" w:type="dxa"/>
            <w:vAlign w:val="bottom"/>
            <w:gridSpan w:val="2"/>
          </w:tcPr>
          <w:p>
            <w:pPr>
              <w:ind w:left="8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246,294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63,267</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93,234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 and Other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23,039</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44,645</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23,475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27,359</w:t>
            </w:r>
          </w:p>
        </w:tc>
        <w:tc>
          <w:tcPr>
            <w:tcW w:w="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24,970</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191,048</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94,250</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Other Revenue and Interest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Evercore Partners Inc. (Parent Company Only) Financial Statements</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Equity Investment in Subsidiary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158,013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157,859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Advances to Subsidiary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118,971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59,172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53,677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341,200</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218,249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Payable to Related Party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Amounts Due Pursuant to Tax Receivable Agreement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Notes Payable to Related Parties</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Long-term Debt-Notes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135,423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45,273</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58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6"/>
              </w:rPr>
              <w:t>Class A, par value $0.01 per share (1,000,000,000 shares authorized, 12,552,028 and 11,261,100 issued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1500"/>
              <w:spacing w:after="0"/>
              <w:rPr>
                <w:sz w:val="20"/>
                <w:szCs w:val="20"/>
                <w:color w:val="auto"/>
              </w:rPr>
            </w:pPr>
            <w:r>
              <w:rPr>
                <w:rFonts w:ascii="Arial" w:cs="Arial" w:eastAsia="Arial" w:hAnsi="Arial"/>
                <w:sz w:val="18"/>
                <w:szCs w:val="18"/>
                <w:color w:val="auto"/>
                <w:w w:val="95"/>
              </w:rPr>
              <w:t>December 31, 2008 and 2007, respectively, and 12,053,282 and 11,229,197 outstanding at December 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5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2008 and 2007,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9580" w:type="dxa"/>
            <w:vAlign w:val="bottom"/>
          </w:tcPr>
          <w:p>
            <w:pPr>
              <w:ind w:left="1280"/>
              <w:spacing w:after="0"/>
              <w:rPr>
                <w:sz w:val="20"/>
                <w:szCs w:val="20"/>
                <w:color w:val="auto"/>
              </w:rPr>
            </w:pPr>
            <w:r>
              <w:rPr>
                <w:rFonts w:ascii="Arial" w:cs="Arial" w:eastAsia="Arial" w:hAnsi="Arial"/>
                <w:sz w:val="18"/>
                <w:szCs w:val="18"/>
                <w:color w:val="auto"/>
                <w:w w:val="94"/>
              </w:rPr>
              <w:t>Class B, par value $0.01 per share (1,000,000 shares authorized, 51 issued and outstanding at December 31,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1500"/>
              <w:spacing w:after="0"/>
              <w:rPr>
                <w:sz w:val="20"/>
                <w:szCs w:val="20"/>
                <w:color w:val="auto"/>
              </w:rPr>
            </w:pPr>
            <w:r>
              <w:rPr>
                <w:rFonts w:ascii="Arial" w:cs="Arial" w:eastAsia="Arial" w:hAnsi="Arial"/>
                <w:sz w:val="18"/>
                <w:szCs w:val="18"/>
                <w:color w:val="auto"/>
              </w:rPr>
              <w:t>2008 and 2007)</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275,234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208,846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(14,969)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 (Deficit)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(46,564)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(35,612)</w:t>
            </w:r>
          </w:p>
        </w:tc>
      </w:tr>
      <w:tr>
        <w:trPr>
          <w:trHeight w:val="223"/>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Treasury Stock at Cost (498,746 and 31,903 shares at December 31, 2008 and 2007, respectively)</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(8,050)</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205,777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172,976</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341,200</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218,249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E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3"/>
          </w:tcPr>
          <w:p>
            <w:pPr>
              <w:ind w:left="340"/>
              <w:spacing w:after="0"/>
              <w:rPr>
                <w:sz w:val="20"/>
                <w:szCs w:val="20"/>
                <w:color w:val="auto"/>
              </w:rPr>
            </w:pPr>
            <w:r>
              <w:rPr>
                <w:rFonts w:ascii="Arial" w:cs="Arial" w:eastAsia="Arial" w:hAnsi="Arial"/>
                <w:sz w:val="14"/>
                <w:szCs w:val="14"/>
                <w:b w:val="1"/>
                <w:bCs w:val="1"/>
                <w:color w:val="auto"/>
                <w:w w:val="90"/>
              </w:rPr>
              <w:t>For the Twelve Months Ended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For the Period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(date of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2007</w:t>
            </w:r>
          </w:p>
        </w:tc>
        <w:tc>
          <w:tcPr>
            <w:tcW w:w="46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Income</w:t>
            </w:r>
          </w:p>
        </w:tc>
        <w:tc>
          <w:tcPr>
            <w:tcW w:w="212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2,553</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577"/>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2,553</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1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2,553</w:t>
            </w:r>
          </w:p>
        </w:tc>
        <w:tc>
          <w:tcPr>
            <w:tcW w:w="46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left="577"/>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7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7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77"/>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of Subsidiary</w:t>
            </w: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(3,403)</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(29,765)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6,705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980"/>
              <w:spacing w:after="0"/>
              <w:rPr>
                <w:sz w:val="20"/>
                <w:szCs w:val="20"/>
                <w:color w:val="auto"/>
              </w:rPr>
            </w:pPr>
            <w:r>
              <w:rPr>
                <w:rFonts w:ascii="Arial" w:cs="Arial" w:eastAsia="Arial" w:hAnsi="Arial"/>
                <w:sz w:val="18"/>
                <w:szCs w:val="18"/>
                <w:color w:val="auto"/>
              </w:rPr>
              <w:t>1,310</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517"/>
              <w:spacing w:after="0"/>
              <w:rPr>
                <w:sz w:val="20"/>
                <w:szCs w:val="20"/>
                <w:color w:val="auto"/>
              </w:rPr>
            </w:pPr>
            <w:r>
              <w:rPr>
                <w:rFonts w:ascii="Arial" w:cs="Arial" w:eastAsia="Arial" w:hAnsi="Arial"/>
                <w:sz w:val="18"/>
                <w:szCs w:val="18"/>
                <w:color w:val="auto"/>
                <w:w w:val="88"/>
              </w:rPr>
              <w:t>2,919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1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(4,713)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(34,495)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3,786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E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420"/>
              <w:spacing w:after="0"/>
              <w:rPr>
                <w:sz w:val="20"/>
                <w:szCs w:val="20"/>
                <w:color w:val="auto"/>
              </w:rPr>
            </w:pPr>
            <w:r>
              <w:rPr>
                <w:rFonts w:ascii="Arial" w:cs="Arial" w:eastAsia="Arial" w:hAnsi="Arial"/>
                <w:sz w:val="14"/>
                <w:szCs w:val="14"/>
                <w:b w:val="1"/>
                <w:bCs w:val="1"/>
                <w:color w:val="auto"/>
                <w:w w:val="90"/>
              </w:rPr>
              <w:t>For the Twelve Months Ended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For the Period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5"/>
              <w:spacing w:after="0" w:line="129" w:lineRule="exact"/>
              <w:rPr>
                <w:sz w:val="20"/>
                <w:szCs w:val="20"/>
                <w:color w:val="auto"/>
              </w:rPr>
            </w:pPr>
            <w:r>
              <w:rPr>
                <w:rFonts w:ascii="Arial" w:cs="Arial" w:eastAsia="Arial" w:hAnsi="Arial"/>
                <w:sz w:val="14"/>
                <w:szCs w:val="14"/>
                <w:b w:val="1"/>
                <w:bCs w:val="1"/>
                <w:color w:val="auto"/>
                <w:w w:val="86"/>
              </w:rPr>
              <w:t>August 10, 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(date of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46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2007</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(4,713)</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w w:val="98"/>
              </w:rPr>
              <w:t>(34,495)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Undistributed Income of Subsidiary</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3,403</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29,765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Accretion on Long-term Debt</w:t>
            </w:r>
          </w:p>
        </w:tc>
        <w:tc>
          <w:tcPr>
            <w:tcW w:w="2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431</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Assets: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1,668</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(6,713)</w:t>
            </w:r>
          </w:p>
        </w:tc>
        <w:tc>
          <w:tcPr>
            <w:tcW w:w="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Payable to Uncombined Affiliates</w:t>
            </w:r>
          </w:p>
        </w:tc>
        <w:tc>
          <w:tcPr>
            <w:tcW w:w="2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8"/>
                <w:szCs w:val="18"/>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w w:val="86"/>
              </w:rPr>
              <w:t>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(2,104)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Notes Payable to Related Parties</w:t>
            </w:r>
          </w:p>
        </w:tc>
        <w:tc>
          <w:tcPr>
            <w:tcW w:w="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(3,195)</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(2,406)</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8"/>
              </w:rPr>
              <w:t>(14,167)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Subsidiary</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24,811</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8"/>
              </w:rPr>
              <w:t>(23,766)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Advances to Subsidiary</w:t>
            </w:r>
          </w:p>
        </w:tc>
        <w:tc>
          <w:tcPr>
            <w:tcW w:w="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(118,971)</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(94,160)</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8"/>
              </w:rPr>
              <w:t>(23,766)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IPO and Follow-On Offerings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42,058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Issuance of Notes Payable and Warrants</w:t>
            </w:r>
          </w:p>
        </w:tc>
        <w:tc>
          <w:tcPr>
            <w:tcW w:w="2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120,000</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(1,460)</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(15,565)</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(6,239)</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(4,651)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FIN 48 Adjustment</w:t>
            </w:r>
          </w:p>
        </w:tc>
        <w:tc>
          <w:tcPr>
            <w:tcW w:w="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(170)</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37,933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ind w:left="200"/>
              <w:spacing w:after="0"/>
              <w:rPr>
                <w:sz w:val="20"/>
                <w:szCs w:val="20"/>
                <w:color w:val="auto"/>
              </w:rPr>
            </w:pPr>
            <w:r>
              <w:rPr>
                <w:rFonts w:ascii="Arial" w:cs="Arial" w:eastAsia="Arial" w:hAnsi="Arial"/>
                <w:sz w:val="18"/>
                <w:szCs w:val="18"/>
                <w:b w:val="1"/>
                <w:bCs w:val="1"/>
                <w:color w:val="auto"/>
              </w:rPr>
              <w:t>EQUIVALENTS</w:t>
            </w:r>
          </w:p>
        </w:tc>
        <w:tc>
          <w:tcPr>
            <w:tcW w:w="28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EQUIVALENTS—End of Period</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E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Organization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Evercore Partners Inc. (the “Company”) was incorporated as a Delaware corporation on July 21, 2005. The Company did not begin meaningful operations until the reorganization discussed below. Therefore no financial statements are presented for periods before August 10, 2006. Pursuant to a reorganization into a holding company structure, the Company became a holding company and its sole asset is a controlling equity interest in Evercore LP. As the sole general partner of Evercore LP, the Company operates and controls all of the business and affairs of Evercore LP and, through Evercore LP and its subsidiaries, continues to conduct the business now conducted by these subsidiaries.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Significant Accounting Policies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Statements of Financial Condition, Operations and Cash Flows have been prepared in accordance with U.S. GAAP.</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Equity in Income of Subsidiary. </w:t>
      </w:r>
      <w:r>
        <w:rPr>
          <w:rFonts w:ascii="Arial" w:cs="Arial" w:eastAsia="Arial" w:hAnsi="Arial"/>
          <w:sz w:val="18"/>
          <w:szCs w:val="18"/>
          <w:color w:val="auto"/>
        </w:rPr>
        <w:t>The Equity in Income of Subsidiary represents the Company’s share of income from Evercore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Stockholders’ Equity</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Company is authorized to issue 1,000,000,000 shares of Class A common stock, par value $0.01 per share, and 1,000,000 shares of Class B common stock, par value $0.01 per share. All shares of Class A common stock and Class B common stock vote together as a single class. At December 31, 2008, the Company has issued 12,552,028 shares of Class A common stock. The Company has issued 51 shares of Class B common stock in exchange for $1.00, which were held by certain limited partners of Evercore LP and 49 shares are held by Evercore LP at December 31, 2008. During 2008, the Company purchased 466,843 Class A common shares of Treasury Stock from employees at market values ranging from $8.16 to $18.44 per share. The Company accounts for purchases of Treasury Stock at cost and includes the Treasury Stock as a separate component of Stockholders’ Equity until such time as the Treasury Stock is retired. The result of the above transactions was an increase in Treasury Stock of $7,082 on the Company’s Condensed Statement of Financial Condition as of December 31, 2008.</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discussed in Note 17 to the consolidated/combined financial statements, both the Evercore LP partnership units and RSUs are exchangeable into Class A common stock of the Company on a one-for-one basis once vested.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Issuance of Notes Payable and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21, 2008, the Company entered into a Purchase Agreement with Mizuho pursuant to which Mizuho purchased from the Company Senior Notes and Warrants expiring 2020. See Note 12 to the consolidated/combined financial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459" w:right="3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CONSOLIDATED/COMBINED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STATEMENTS—(Continued)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(dollars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Commitments and Contingencies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2008, as discussed in Note 12 to the consolidated/combined financial statements, the Company estimates the contractual obligations related to the Senior Notes to be $194, 880. Pursuant to the Senior Notes, we expect to make payments to the notes’ holder of $6,240 within one year or less, $12,480 in one to three years, $12,480 in three to five years and $163,680 after five years.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2008, as discussed in Note 20 to the consolidated/combined financial statements, the Company estimates the contractual obligations related to the Tax Receivable Agreements to be $40,160. The company expects to pay to the counterparties to the Tax Receivable Agreement $1,816 within one year or less, $5,733 in one to three years, $6,137 in three to five years and $26,474 after five years.</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Quarterly Results of Operations (unaudited)</w:t>
      </w:r>
    </w:p>
    <w:p>
      <w:pPr>
        <w:spacing w:after="0" w:line="96"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The following represents the Company’s unaudited quarterly results for the years ended December 31, 2008 and 2007. These quarterly results were prepared in accordance with U.S. GAAP and reflect all adjustments that are, in the opinion of management, necessary for a fair statement of the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89"/>
              </w:rPr>
              <w:t>For the Three Months Ended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60,118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$ 44,488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Expenses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49,757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54,943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52,249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Minority Interest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(16,521)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(3,463)</w:t>
            </w: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(7,722)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(1,343)</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2"/>
            <w:vMerge w:val="continue"/>
          </w:tcPr>
          <w:p>
            <w:pPr>
              <w:spacing w:after="0"/>
              <w:rPr>
                <w:sz w:val="19"/>
                <w:szCs w:val="19"/>
                <w:color w:val="auto"/>
              </w:rPr>
            </w:pP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(5,336)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2,056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Basic</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Dividends Declared Per Share of Class A Common Stock</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0.12</w:t>
            </w:r>
          </w:p>
        </w:tc>
        <w:tc>
          <w:tcPr>
            <w:tcW w:w="6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0.12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89"/>
              </w:rPr>
              <w:t>For the Three Months Ended</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5"/>
              </w:rPr>
              <w:t>September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1"/>
              </w:rPr>
              <w:t>30,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72,399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65,912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$ 89,496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Expenses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79,541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62,035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169,558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Minority Interest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(103,646)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3,217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2"/>
            <w:vMerge w:val="continue"/>
          </w:tcPr>
          <w:p>
            <w:pPr>
              <w:spacing w:after="0"/>
              <w:rPr>
                <w:sz w:val="19"/>
                <w:szCs w:val="19"/>
                <w:color w:val="auto"/>
              </w:rPr>
            </w:pP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3,138</w:t>
            </w:r>
          </w:p>
        </w:tc>
        <w:tc>
          <w:tcPr>
            <w:tcW w:w="6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2,319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(44,174)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Basic</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0.25</w:t>
            </w:r>
          </w:p>
        </w:tc>
        <w:tc>
          <w:tcPr>
            <w:tcW w:w="6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(4.68)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Dividends Declared Per Share of Class A Common Stock</w:t>
            </w:r>
          </w:p>
        </w:tc>
        <w:tc>
          <w:tcPr>
            <w:tcW w:w="14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0.12</w:t>
            </w:r>
          </w:p>
        </w:tc>
        <w:tc>
          <w:tcPr>
            <w:tcW w:w="6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maintain disclosure controls and procedures that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appropriate, to allow timely decisions regarding required disclosure. Any controls and procedures, no matter how well designed and operated, can provide only reasonable assurance of achieving the desired control objectives. 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our disclosure controls and procedures (as defined in Rule 13a-15(e) under the Exchange Act) were effective as of the end of the period covered by this annual report to accomplish their objectives at the reasonable assurance level.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identified in Exchange Act Rules 13a-15(f).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preventions or timely detection of unauthorized acquisitions, use, or disposition of the company’s assets that could have a material effect on the financial statements.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making the assessment, management used the framework in “Internal Control –Integrated Framework” promulgated by the Committee of Sponsoring Organizations of the Treadway Commission, commonly referred to as the “COSO” criteria. Based on that evaluation, our Chief Executive Officer and Chief Financial Officer have concluded that our internal controls over financial reporting were effective as of December 31, 2008.</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has issued its written attestation report on the Company’s internal control over financial reporting, as included below.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Evercore Partners Inc.:</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Evercore Partners Inc. and subsidiaries (the “Company”)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2008,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2008 of the Company and our report dated March 12, 2009 expressed an unqualified opinion on those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not made any changes that have materially affected, or are reasonably likely to materially affect, our internal control over financial reporting (as defined in Rule 13a-15(f) under the Exchange Act).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information regarding directors and executive officers set forth under the caption “Election of Directors” and “Executive Officers” in the Proxy Statement is incorporated herein by reference.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regarding compliance with Section 16(a) of the Exchange Act set forth under the caption “Section 16(a) Beneficial Ownership Reporting Compliance” in the Proxy Statement is incorporated herein by reference.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information contained in the sections captioned “Executive Compensation” and “Directors’ Compensation” of the Proxy Statement is incorporated herein by reference.</w:t>
      </w:r>
    </w:p>
    <w:p>
      <w:pPr>
        <w:spacing w:after="0" w:line="248" w:lineRule="exact"/>
        <w:rPr>
          <w:sz w:val="20"/>
          <w:szCs w:val="20"/>
          <w:color w:val="auto"/>
        </w:rPr>
      </w:pPr>
    </w:p>
    <w:p>
      <w:pPr>
        <w:ind w:right="278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 at December 31,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Shares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Number of Shares to be</w:t>
            </w:r>
          </w:p>
        </w:tc>
        <w:tc>
          <w:tcPr>
            <w:tcW w:w="1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5"/>
              </w:rPr>
              <w:t>Issued Upon Exercise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00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Future Issuance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00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00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Reflected in First</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10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Warrants and Rights(1)</w:t>
            </w:r>
          </w:p>
        </w:tc>
        <w:tc>
          <w:tcPr>
            <w:tcW w:w="10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Column)</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23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5,711,087</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13,394,307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5,711,087</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13,394,307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date, we have issued RSUs which by their nature have no exercise price.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information contained in the sections captioned “Security Ownership of Certain Beneficial Owners and Management” and “Corporate Governance” of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information contained in the sections captioned “Related Party Transactions and Other Information” and “Corporate Governance-Director Independence”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regarding our independent registered public accounting firm fees and services in the section captioned “Principal Accountant Fees and Services” of the Proxy Statement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consolidated/combined financial statements required to be filed in the Form 10-K are listed in Part II, Item 8 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Data Schedules</w:t>
      </w:r>
    </w:p>
    <w:p>
      <w:pPr>
        <w:spacing w:after="0" w:line="9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All schedules have been omitted because they are not applicable, not required, or the information required is included in the financial statements or notes thereto.</w:t>
      </w:r>
    </w:p>
    <w:p>
      <w:pPr>
        <w:spacing w:after="0" w:line="207" w:lineRule="exact"/>
        <w:rPr>
          <w:sz w:val="20"/>
          <w:szCs w:val="20"/>
          <w:color w:val="auto"/>
        </w:rPr>
      </w:pPr>
    </w:p>
    <w:p>
      <w:pPr>
        <w:ind w:right="10320" w:firstLine="8"/>
        <w:spacing w:after="0" w:line="445" w:lineRule="auto"/>
        <w:tabs>
          <w:tab w:leader="none" w:pos="176"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Exhibits Exhibit Index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80" w:type="dxa"/>
            <w:vAlign w:val="bottom"/>
          </w:tcPr>
          <w:p>
            <w:pPr>
              <w:spacing w:after="0"/>
              <w:rPr>
                <w:sz w:val="14"/>
                <w:szCs w:val="14"/>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01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Amended</w:t>
            </w:r>
          </w:p>
        </w:tc>
        <w:tc>
          <w:tcPr>
            <w:tcW w:w="9480" w:type="dxa"/>
            <w:vAlign w:val="bottom"/>
          </w:tcPr>
          <w:p>
            <w:pPr>
              <w:jc w:val="right"/>
              <w:ind w:right="5072"/>
              <w:spacing w:after="0"/>
              <w:rPr>
                <w:sz w:val="20"/>
                <w:szCs w:val="20"/>
                <w:color w:val="auto"/>
              </w:rPr>
            </w:pPr>
            <w:r>
              <w:rPr>
                <w:rFonts w:ascii="Arial" w:cs="Arial" w:eastAsia="Arial" w:hAnsi="Arial"/>
                <w:sz w:val="18"/>
                <w:szCs w:val="18"/>
                <w:color w:val="auto"/>
                <w:w w:val="89"/>
              </w:rPr>
              <w:t>and Restated Certificate of Incorporation of the Registrant(1)</w:t>
            </w:r>
          </w:p>
        </w:tc>
      </w:tr>
      <w:tr>
        <w:trPr>
          <w:trHeight w:val="316"/>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Registrant(13)</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w w:val="99"/>
              </w:rPr>
              <w:t>Equity Holders Agreement by and between Evercore Partners Inc. and Mizuho Corporate Bank, dated as of August 21, 2008(10)</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Indenture between Evercore Partners Inc. and The Bank of New York Mellon, as trustee, dated as of August 28, 2008(11)</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Warrant, dated as of August 28, 2008(11)</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10.1</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Amended and Restated Limited Partnership Agreement of Evercore LP, dated as of August 7, 2006(2)</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5"/>
              </w:rPr>
              <w:t>10.1.1</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Supplement to Amended and Restated Limited Partnership Agreement of Evercore LP, dated as of August 7, 2006(2)</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10.2</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Tax Receivable Agreement, dated as of August 10, 2006(2)</w:t>
            </w:r>
          </w:p>
        </w:tc>
      </w:tr>
      <w:tr>
        <w:trPr>
          <w:trHeight w:val="324"/>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10.3</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August 10, 2006(2)</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10.4</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w w:val="89"/>
              </w:rPr>
              <w:t>Contribution and Sale Agreement, dated as of May 12, 2006, among Evercore LP, Evercore Partners Inc., Roger C. Altman, Austin M. Beutner,</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Pedro Aspe and the Other Parties Named Therein(1)</w:t>
            </w:r>
          </w:p>
        </w:tc>
      </w:tr>
      <w:tr>
        <w:trPr>
          <w:trHeight w:val="318"/>
        </w:trPr>
        <w:tc>
          <w:tcPr>
            <w:tcW w:w="500" w:type="dxa"/>
            <w:vAlign w:val="bottom"/>
            <w:gridSpan w:val="2"/>
          </w:tcPr>
          <w:p>
            <w:pPr>
              <w:jc w:val="right"/>
              <w:ind w:right="92"/>
              <w:spacing w:after="0"/>
              <w:rPr>
                <w:sz w:val="20"/>
                <w:szCs w:val="20"/>
                <w:color w:val="auto"/>
              </w:rPr>
            </w:pPr>
            <w:r>
              <w:rPr>
                <w:rFonts w:ascii="Arial" w:cs="Arial" w:eastAsia="Arial" w:hAnsi="Arial"/>
                <w:sz w:val="18"/>
                <w:szCs w:val="18"/>
                <w:color w:val="auto"/>
                <w:w w:val="85"/>
              </w:rPr>
              <w:t>10.5</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w w:val="88"/>
              </w:rPr>
              <w:t>Contribution and Sale Agreement, dated as of May 12, 2006, among Evercore LP, Evercore Partners Inc. and Banco Inbursa, S.A., Institucion de</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Banca Multiple, Grupo Financiero Inbursa, as Trustee of Inbursa Trust F1338(1)</w:t>
            </w: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10.6*</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Robert B. Walsh(6)</w:t>
            </w: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10.7*</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Evercore Partners Inc. 2006 Stock Incentive Plan(1)</w:t>
            </w: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10.8*</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Evercore Partners Inc. 2006 Stock Incentive Plan(3)</w:t>
            </w: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10.9*</w:t>
            </w:r>
          </w:p>
        </w:tc>
        <w:tc>
          <w:tcPr>
            <w:tcW w:w="68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Pedro Aspe(2)</w:t>
            </w: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60" w:type="dxa"/>
            <w:vAlign w:val="bottom"/>
            <w:gridSpan w:val="3"/>
          </w:tcPr>
          <w:p>
            <w:pPr>
              <w:jc w:val="right"/>
              <w:ind w:right="5432"/>
              <w:spacing w:after="0"/>
              <w:rPr>
                <w:sz w:val="20"/>
                <w:szCs w:val="20"/>
                <w:color w:val="auto"/>
              </w:rPr>
            </w:pPr>
            <w:r>
              <w:rPr>
                <w:rFonts w:ascii="Arial" w:cs="Arial" w:eastAsia="Arial" w:hAnsi="Arial"/>
                <w:sz w:val="18"/>
                <w:szCs w:val="18"/>
                <w:color w:val="auto"/>
              </w:rPr>
              <w:t>112</w:t>
            </w:r>
          </w:p>
        </w:tc>
      </w:tr>
    </w:tbl>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500" w:type="dxa"/>
            <w:vAlign w:val="bottom"/>
          </w:tcPr>
          <w:p>
            <w:pPr>
              <w:spacing w:after="0"/>
              <w:rPr>
                <w:sz w:val="14"/>
                <w:szCs w:val="1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02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10.10*</w:t>
            </w:r>
          </w:p>
        </w:tc>
        <w:tc>
          <w:tcPr>
            <w:tcW w:w="68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Evercore</w:t>
            </w:r>
          </w:p>
        </w:tc>
        <w:tc>
          <w:tcPr>
            <w:tcW w:w="9500" w:type="dxa"/>
            <w:vAlign w:val="bottom"/>
          </w:tcPr>
          <w:p>
            <w:pPr>
              <w:spacing w:after="0"/>
              <w:rPr>
                <w:sz w:val="20"/>
                <w:szCs w:val="20"/>
                <w:color w:val="auto"/>
              </w:rPr>
            </w:pPr>
            <w:r>
              <w:rPr>
                <w:rFonts w:ascii="Arial" w:cs="Arial" w:eastAsia="Arial" w:hAnsi="Arial"/>
                <w:sz w:val="18"/>
                <w:szCs w:val="18"/>
                <w:color w:val="auto"/>
              </w:rPr>
              <w:t>Partners Inc. 2006 Annual Incentive Plan(1)</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2"/>
              </w:rPr>
              <w:t>10.11*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Adam B. Frankel(1)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the Registrant and each of its director nominees(1)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Evercore Partners II L.L.C. Limited Liability Company Agreement(1)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Sale and Purchase Agreement among the Shareholders of Braveheart Financial Services Limited and Evercore Partners Inc.(1)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Closing Agreement, dated December 19, 2006, among Evercore Partners Inc. and Bernard J. Taylor and Julian P. Oakley(4)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Amendment No. 1 to the Amended and Restated Limited Partnership Agreement of Evercore LP, dated as of May 9, 2007(5)</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10.17*</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Form of Restricted Stock Award Agreement(6)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10.18*</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Form of Restricted Stock Unit Award Agreement(6)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10.19*</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7"/>
              </w:rPr>
              <w:t>Letter Agreement, dated as of June 29, 2007, among David E. Wezdenko, Evercore LP, Evercore Partners II L.L.C. and Evercore Partners Inc.(7)</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10.20*</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Service Agreement between Bernard J. Taylor and Braveheart Financial Services Limited, dated as of July 31, 2006(9)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2007 Form Restricted Stock Unit Award Agreement(9)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2008 Form Restricted Stock Unit Award Agreement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Amended and Restated Limited Partnership Agreement with Evercore Mexico Partners II, L.P.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10.24*</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November 7, 2008 with Dr. Pedro Carlos Aspe Armella(12)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10.25*</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Amended and Restated Employment Agreement dated February 12, 2008 with Roger C. Altman(8)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10.26*</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Amended and Restated Employment Agreement dated February 12, 2008 with Austin M. Beutner(8)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10.27*</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Amendment to Restricted Stock Unit Award Agreement with Adam B. Frankel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10.28*</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December 22, 2008 with Adam B. Frankel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Purchase Agreement by and between Evercore Partners Inc. and Mizuho Corporate Bank, dated as of August 21, 2008(10)</w:t>
            </w:r>
          </w:p>
        </w:tc>
      </w:tr>
    </w:tbl>
    <w:p>
      <w:pPr>
        <w:spacing w:after="0" w:line="102" w:lineRule="exact"/>
        <w:rPr>
          <w:sz w:val="20"/>
          <w:szCs w:val="20"/>
          <w:color w:val="auto"/>
        </w:rPr>
      </w:pPr>
    </w:p>
    <w:p>
      <w:pPr>
        <w:ind w:left="1180" w:right="560" w:hanging="1172"/>
        <w:spacing w:after="0" w:line="26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included as a separate exhibit - earnings per share can be determined from Note 16 to the consolidated/combined financial statements included in Item 8 – Financial Statements and Supplemental Data.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21.1</w:t>
            </w:r>
          </w:p>
        </w:tc>
        <w:tc>
          <w:tcPr>
            <w:tcW w:w="10680" w:type="dxa"/>
            <w:vAlign w:val="bottom"/>
          </w:tcPr>
          <w:p>
            <w:pPr>
              <w:ind w:left="440"/>
              <w:spacing w:after="0"/>
              <w:rPr>
                <w:sz w:val="20"/>
                <w:szCs w:val="20"/>
                <w:color w:val="auto"/>
              </w:rPr>
            </w:pPr>
            <w:r>
              <w:rPr>
                <w:rFonts w:ascii="Arial" w:cs="Arial" w:eastAsia="Arial" w:hAnsi="Arial"/>
                <w:sz w:val="18"/>
                <w:szCs w:val="18"/>
                <w:color w:val="auto"/>
              </w:rPr>
              <w:t>Subsidiaries of the Registrant (filed herewith)</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23.1</w:t>
            </w:r>
          </w:p>
        </w:tc>
        <w:tc>
          <w:tcPr>
            <w:tcW w:w="10680" w:type="dxa"/>
            <w:vAlign w:val="bottom"/>
          </w:tcPr>
          <w:p>
            <w:pPr>
              <w:ind w:left="440"/>
              <w:spacing w:after="0"/>
              <w:rPr>
                <w:sz w:val="20"/>
                <w:szCs w:val="20"/>
                <w:color w:val="auto"/>
              </w:rPr>
            </w:pPr>
            <w:r>
              <w:rPr>
                <w:rFonts w:ascii="Arial" w:cs="Arial" w:eastAsia="Arial" w:hAnsi="Arial"/>
                <w:sz w:val="18"/>
                <w:szCs w:val="18"/>
                <w:color w:val="auto"/>
              </w:rPr>
              <w:t>Consent of Deloitte &amp; Touche LLP (filed herewith)</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24.1</w:t>
            </w:r>
          </w:p>
        </w:tc>
        <w:tc>
          <w:tcPr>
            <w:tcW w:w="10680" w:type="dxa"/>
            <w:vAlign w:val="bottom"/>
          </w:tcPr>
          <w:p>
            <w:pPr>
              <w:ind w:left="440"/>
              <w:spacing w:after="0"/>
              <w:rPr>
                <w:sz w:val="20"/>
                <w:szCs w:val="20"/>
                <w:color w:val="auto"/>
              </w:rPr>
            </w:pPr>
            <w:r>
              <w:rPr>
                <w:rFonts w:ascii="Arial" w:cs="Arial" w:eastAsia="Arial" w:hAnsi="Arial"/>
                <w:sz w:val="18"/>
                <w:szCs w:val="18"/>
                <w:color w:val="auto"/>
              </w:rPr>
              <w:t>Power of Attorney (included on signature page hereto)</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31.1</w:t>
            </w:r>
          </w:p>
        </w:tc>
        <w:tc>
          <w:tcPr>
            <w:tcW w:w="10680" w:type="dxa"/>
            <w:vAlign w:val="bottom"/>
          </w:tcPr>
          <w:p>
            <w:pPr>
              <w:ind w:left="44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31.2</w:t>
            </w:r>
          </w:p>
        </w:tc>
        <w:tc>
          <w:tcPr>
            <w:tcW w:w="10680" w:type="dxa"/>
            <w:vAlign w:val="bottom"/>
          </w:tcPr>
          <w:p>
            <w:pPr>
              <w:ind w:left="44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32.1</w:t>
            </w:r>
          </w:p>
        </w:tc>
        <w:tc>
          <w:tcPr>
            <w:tcW w:w="10680" w:type="dxa"/>
            <w:vAlign w:val="bottom"/>
          </w:tcPr>
          <w:p>
            <w:pPr>
              <w:ind w:left="440"/>
              <w:spacing w:after="0"/>
              <w:rPr>
                <w:sz w:val="20"/>
                <w:szCs w:val="20"/>
                <w:color w:val="auto"/>
              </w:rPr>
            </w:pPr>
            <w:r>
              <w:rPr>
                <w:rFonts w:ascii="Arial" w:cs="Arial" w:eastAsia="Arial" w:hAnsi="Arial"/>
                <w:sz w:val="18"/>
                <w:szCs w:val="18"/>
                <w:color w:val="auto"/>
                <w:w w:val="88"/>
              </w:rPr>
              <w:t>Certification of the Chief Executive Officer pursuant to 18 U.S.C. Section 1350, as adopted pursuant to Section 906 of the Sarbanes-Oxley Act of</w:t>
            </w:r>
          </w:p>
        </w:tc>
      </w:tr>
      <w:tr>
        <w:trPr>
          <w:trHeight w:val="222"/>
        </w:trPr>
        <w:tc>
          <w:tcPr>
            <w:tcW w:w="740" w:type="dxa"/>
            <w:vAlign w:val="bottom"/>
          </w:tcPr>
          <w:p>
            <w:pPr>
              <w:spacing w:after="0"/>
              <w:rPr>
                <w:sz w:val="19"/>
                <w:szCs w:val="19"/>
                <w:color w:val="auto"/>
              </w:rPr>
            </w:pPr>
          </w:p>
        </w:tc>
        <w:tc>
          <w:tcPr>
            <w:tcW w:w="10680" w:type="dxa"/>
            <w:vAlign w:val="bottom"/>
          </w:tcPr>
          <w:p>
            <w:pPr>
              <w:ind w:left="440"/>
              <w:spacing w:after="0"/>
              <w:rPr>
                <w:sz w:val="20"/>
                <w:szCs w:val="20"/>
                <w:color w:val="auto"/>
              </w:rPr>
            </w:pPr>
            <w:r>
              <w:rPr>
                <w:rFonts w:ascii="Arial" w:cs="Arial" w:eastAsia="Arial" w:hAnsi="Arial"/>
                <w:sz w:val="18"/>
                <w:szCs w:val="18"/>
                <w:color w:val="auto"/>
              </w:rPr>
              <w:t>2002 (furnished herewith)</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32.2</w:t>
            </w:r>
          </w:p>
        </w:tc>
        <w:tc>
          <w:tcPr>
            <w:tcW w:w="10680" w:type="dxa"/>
            <w:vAlign w:val="bottom"/>
          </w:tcPr>
          <w:p>
            <w:pPr>
              <w:ind w:left="44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 906 of the Sarbanes-Oxley Act of</w:t>
            </w:r>
          </w:p>
        </w:tc>
      </w:tr>
      <w:tr>
        <w:trPr>
          <w:trHeight w:val="222"/>
        </w:trPr>
        <w:tc>
          <w:tcPr>
            <w:tcW w:w="740" w:type="dxa"/>
            <w:vAlign w:val="bottom"/>
          </w:tcPr>
          <w:p>
            <w:pPr>
              <w:spacing w:after="0"/>
              <w:rPr>
                <w:sz w:val="19"/>
                <w:szCs w:val="19"/>
                <w:color w:val="auto"/>
              </w:rPr>
            </w:pPr>
          </w:p>
        </w:tc>
        <w:tc>
          <w:tcPr>
            <w:tcW w:w="10680" w:type="dxa"/>
            <w:vAlign w:val="bottom"/>
          </w:tcPr>
          <w:p>
            <w:pPr>
              <w:ind w:left="440"/>
              <w:spacing w:after="0"/>
              <w:rPr>
                <w:sz w:val="20"/>
                <w:szCs w:val="20"/>
                <w:color w:val="auto"/>
              </w:rPr>
            </w:pPr>
            <w:r>
              <w:rPr>
                <w:rFonts w:ascii="Arial" w:cs="Arial" w:eastAsia="Arial" w:hAnsi="Arial"/>
                <w:sz w:val="18"/>
                <w:szCs w:val="18"/>
                <w:color w:val="auto"/>
              </w:rPr>
              <w:t>2002 (furnished herewith)</w:t>
            </w:r>
          </w:p>
        </w:tc>
      </w:tr>
      <w:tr>
        <w:trPr>
          <w:trHeight w:val="365"/>
        </w:trPr>
        <w:tc>
          <w:tcPr>
            <w:tcW w:w="740" w:type="dxa"/>
            <w:vAlign w:val="bottom"/>
          </w:tcPr>
          <w:p>
            <w:pPr>
              <w:spacing w:after="0"/>
              <w:rPr>
                <w:sz w:val="24"/>
                <w:szCs w:val="24"/>
                <w:color w:val="auto"/>
              </w:rPr>
            </w:pPr>
          </w:p>
        </w:tc>
        <w:tc>
          <w:tcPr>
            <w:tcW w:w="10680" w:type="dxa"/>
            <w:vAlign w:val="bottom"/>
          </w:tcPr>
          <w:p>
            <w:pPr>
              <w:ind w:left="4840"/>
              <w:spacing w:after="0"/>
              <w:rPr>
                <w:sz w:val="20"/>
                <w:szCs w:val="20"/>
                <w:color w:val="auto"/>
              </w:rPr>
            </w:pPr>
            <w:r>
              <w:rPr>
                <w:rFonts w:ascii="Arial" w:cs="Arial" w:eastAsia="Arial" w:hAnsi="Arial"/>
                <w:sz w:val="18"/>
                <w:szCs w:val="18"/>
                <w:color w:val="auto"/>
              </w:rPr>
              <w:t>113</w:t>
            </w: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32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(Registration No. 333-134087), as amended, originally filed with the SEC on May 12, 2006.</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(Commission File No. 001-32975), for the period ended June 30, 2006.</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Incorporated by Reference to the Registrant’s Quarterly Report on Form 10-Q (Commission File No. 001-32975), for the period ended September 30, 2006.</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filed with the Securities and Exchange Commission on December 21, 2006.</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(Commission File No. 001-32975), for the period ended March 31,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June 8,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July 6,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12,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March 14,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21,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28,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Incorporated by Reference to the Registrant’s Quarterly Report on Form 10-Q (Commission File No. 001-32975), for the period ended September 30, 2008.</w:t>
      </w:r>
    </w:p>
    <w:p>
      <w:pPr>
        <w:spacing w:after="0" w:line="124" w:lineRule="exact"/>
        <w:rPr>
          <w:rFonts w:ascii="Arial" w:cs="Arial" w:eastAsia="Arial" w:hAnsi="Arial"/>
          <w:sz w:val="15"/>
          <w:szCs w:val="15"/>
          <w:color w:val="auto"/>
        </w:rPr>
      </w:pPr>
    </w:p>
    <w:p>
      <w:pPr>
        <w:ind w:left="60" w:right="340" w:hanging="52"/>
        <w:spacing w:after="0" w:line="362" w:lineRule="auto"/>
        <w:tabs>
          <w:tab w:leader="none" w:pos="4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(Commission File No. 001-32975), filed with the SEC on February 6, 2009. * Management contract or compensatory plan.</w:t>
      </w:r>
    </w:p>
    <w:p>
      <w:pPr>
        <w:spacing w:after="0" w:line="5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tabs>
          <w:tab w:leader="none" w:pos="83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Robert B. Walsh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12, 2009</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of the officers and directors of Evercore Partners Inc. whose signature appears below, in so signing, also makes, constitutes and appoints each of Roger C. Altman, Robert B. Walsh and Adam B. Frankel, and each of them, his true and lawful attorneys-in-fact, with full power and substitution, for him in any and all capacities, to execute and cause to be filed with the SEC any and all amendments to the Report on Form 10-K, with exhibits thereto and other documents connected therewith and to perform any acts necessary to be done in order to file such documents, and hereby ratifies and confirms all that said attorneys-in-fact or their substitute or substitutes may do or cause to be done by virtue hereof.</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12th day of March,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920" w:type="dxa"/>
            <w:vAlign w:val="bottom"/>
          </w:tcPr>
          <w:p>
            <w:pPr>
              <w:spacing w:after="0"/>
              <w:rPr>
                <w:sz w:val="14"/>
                <w:szCs w:val="14"/>
                <w:color w:val="auto"/>
              </w:rPr>
            </w:pPr>
          </w:p>
        </w:tc>
        <w:tc>
          <w:tcPr>
            <w:tcW w:w="5640" w:type="dxa"/>
            <w:vAlign w:val="bottom"/>
            <w:gridSpan w:val="3"/>
          </w:tcPr>
          <w:p>
            <w:pPr>
              <w:ind w:left="3640"/>
              <w:spacing w:after="0"/>
              <w:rPr>
                <w:sz w:val="20"/>
                <w:szCs w:val="20"/>
                <w:color w:val="auto"/>
              </w:rPr>
            </w:pPr>
            <w:r>
              <w:rPr>
                <w:rFonts w:ascii="Arial" w:cs="Arial" w:eastAsia="Arial" w:hAnsi="Arial"/>
                <w:sz w:val="14"/>
                <w:szCs w:val="14"/>
                <w:b w:val="1"/>
                <w:bCs w:val="1"/>
                <w:color w:val="auto"/>
              </w:rPr>
              <w:t>Title</w:t>
            </w:r>
          </w:p>
        </w:tc>
      </w:tr>
      <w:tr>
        <w:trPr>
          <w:trHeight w:val="20"/>
        </w:trPr>
        <w:tc>
          <w:tcPr>
            <w:tcW w:w="1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25"/>
        </w:trPr>
        <w:tc>
          <w:tcPr>
            <w:tcW w:w="14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83"/>
              </w:rPr>
              <w:t>/s/</w:t>
            </w:r>
          </w:p>
        </w:tc>
        <w:tc>
          <w:tcPr>
            <w:tcW w:w="30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OGER</w:t>
            </w:r>
            <w:r>
              <w:rPr>
                <w:rFonts w:ascii="Arial" w:cs="Arial" w:eastAsia="Arial" w:hAnsi="Arial"/>
                <w:sz w:val="18"/>
                <w:szCs w:val="18"/>
                <w:color w:val="auto"/>
              </w:rPr>
              <w:t xml:space="preserve"> C. A</w:t>
            </w:r>
            <w:r>
              <w:rPr>
                <w:rFonts w:ascii="Arial" w:cs="Arial" w:eastAsia="Arial" w:hAnsi="Arial"/>
                <w:sz w:val="14"/>
                <w:szCs w:val="14"/>
                <w:color w:val="auto"/>
              </w:rPr>
              <w:t>LTMAN</w:t>
            </w:r>
          </w:p>
        </w:tc>
        <w:tc>
          <w:tcPr>
            <w:tcW w:w="5640" w:type="dxa"/>
            <w:vAlign w:val="bottom"/>
            <w:gridSpan w:val="3"/>
          </w:tcPr>
          <w:p>
            <w:pPr>
              <w:ind w:left="580"/>
              <w:spacing w:after="0"/>
              <w:rPr>
                <w:sz w:val="20"/>
                <w:szCs w:val="20"/>
                <w:color w:val="auto"/>
              </w:rPr>
            </w:pPr>
            <w:r>
              <w:rPr>
                <w:rFonts w:ascii="Arial" w:cs="Arial" w:eastAsia="Arial" w:hAnsi="Arial"/>
                <w:sz w:val="18"/>
                <w:szCs w:val="18"/>
                <w:color w:val="auto"/>
                <w:w w:val="90"/>
              </w:rPr>
              <w:t>Co-Chairman and Chief Executive Officer (Principal Executive Officer)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9"/>
              </w:rPr>
              <w:t>Roger C. Altman</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/s/</w:t>
            </w:r>
          </w:p>
        </w:tc>
        <w:tc>
          <w:tcPr>
            <w:tcW w:w="282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EDRO</w:t>
            </w:r>
            <w:r>
              <w:rPr>
                <w:rFonts w:ascii="Arial" w:cs="Arial" w:eastAsia="Arial" w:hAnsi="Arial"/>
                <w:sz w:val="18"/>
                <w:szCs w:val="18"/>
                <w:color w:val="auto"/>
                <w:w w:val="94"/>
              </w:rPr>
              <w:t xml:space="preserve"> A</w:t>
            </w:r>
            <w:r>
              <w:rPr>
                <w:rFonts w:ascii="Arial" w:cs="Arial" w:eastAsia="Arial" w:hAnsi="Arial"/>
                <w:sz w:val="14"/>
                <w:szCs w:val="14"/>
                <w:color w:val="auto"/>
                <w:w w:val="94"/>
              </w:rPr>
              <w:t>SPE</w:t>
            </w:r>
          </w:p>
        </w:tc>
        <w:tc>
          <w:tcPr>
            <w:tcW w:w="5640" w:type="dxa"/>
            <w:vAlign w:val="bottom"/>
            <w:gridSpan w:val="3"/>
          </w:tcPr>
          <w:p>
            <w:pPr>
              <w:ind w:left="580"/>
              <w:spacing w:after="0"/>
              <w:rPr>
                <w:sz w:val="20"/>
                <w:szCs w:val="20"/>
                <w:color w:val="auto"/>
              </w:rPr>
            </w:pPr>
            <w:r>
              <w:rPr>
                <w:rFonts w:ascii="Arial" w:cs="Arial" w:eastAsia="Arial" w:hAnsi="Arial"/>
                <w:sz w:val="18"/>
                <w:szCs w:val="18"/>
                <w:color w:val="auto"/>
              </w:rPr>
              <w:t>Co-Chairman</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4"/>
              </w:rPr>
              <w:t>Pedro Aspe</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19"/>
        </w:trPr>
        <w:tc>
          <w:tcPr>
            <w:tcW w:w="446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RANCOIS DE</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P</w:t>
            </w:r>
            <w:r>
              <w:rPr>
                <w:rFonts w:ascii="Arial" w:cs="Arial" w:eastAsia="Arial" w:hAnsi="Arial"/>
                <w:sz w:val="14"/>
                <w:szCs w:val="14"/>
                <w:color w:val="auto"/>
              </w:rPr>
              <w:t>HALLE</w:t>
            </w:r>
          </w:p>
        </w:tc>
        <w:tc>
          <w:tcPr>
            <w:tcW w:w="56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400" w:type="dxa"/>
            <w:vAlign w:val="bottom"/>
          </w:tcPr>
          <w:p>
            <w:pPr>
              <w:spacing w:after="0"/>
              <w:rPr>
                <w:sz w:val="14"/>
                <w:szCs w:val="14"/>
                <w:color w:val="auto"/>
              </w:rPr>
            </w:pPr>
          </w:p>
        </w:tc>
        <w:tc>
          <w:tcPr>
            <w:tcW w:w="30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6"/>
              </w:rPr>
              <w:t>Francois de St. Phalle</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19"/>
        </w:trPr>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gridSpan w:val="4"/>
          </w:tcPr>
          <w:p>
            <w:pPr>
              <w:jc w:val="center"/>
              <w:ind w:right="13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AIL</w:t>
            </w:r>
            <w:r>
              <w:rPr>
                <w:rFonts w:ascii="Arial" w:cs="Arial" w:eastAsia="Arial" w:hAnsi="Arial"/>
                <w:sz w:val="18"/>
                <w:szCs w:val="18"/>
                <w:color w:val="auto"/>
              </w:rPr>
              <w:t xml:space="preserve"> B</w:t>
            </w:r>
            <w:r>
              <w:rPr>
                <w:rFonts w:ascii="Arial" w:cs="Arial" w:eastAsia="Arial" w:hAnsi="Arial"/>
                <w:sz w:val="14"/>
                <w:szCs w:val="14"/>
                <w:color w:val="auto"/>
              </w:rPr>
              <w:t>LOCK</w:t>
            </w:r>
            <w:r>
              <w:rPr>
                <w:rFonts w:ascii="Arial" w:cs="Arial" w:eastAsia="Arial" w:hAnsi="Arial"/>
                <w:sz w:val="18"/>
                <w:szCs w:val="18"/>
                <w:color w:val="auto"/>
              </w:rPr>
              <w:t xml:space="preserve"> H</w:t>
            </w:r>
            <w:r>
              <w:rPr>
                <w:rFonts w:ascii="Arial" w:cs="Arial" w:eastAsia="Arial" w:hAnsi="Arial"/>
                <w:sz w:val="14"/>
                <w:szCs w:val="14"/>
                <w:color w:val="auto"/>
              </w:rPr>
              <w:t>ARRIS</w:t>
            </w:r>
          </w:p>
        </w:tc>
        <w:tc>
          <w:tcPr>
            <w:tcW w:w="56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92"/>
              </w:rPr>
              <w:t>Gail Block Harris</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19"/>
        </w:trPr>
        <w:tc>
          <w:tcPr>
            <w:tcW w:w="164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gridSpan w:val="3"/>
          </w:tcPr>
          <w:p>
            <w:pPr>
              <w:jc w:val="center"/>
              <w:ind w:right="156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URT</w:t>
            </w:r>
            <w:r>
              <w:rPr>
                <w:rFonts w:ascii="Arial" w:cs="Arial" w:eastAsia="Arial" w:hAnsi="Arial"/>
                <w:sz w:val="18"/>
                <w:szCs w:val="18"/>
                <w:color w:val="auto"/>
                <w:w w:val="95"/>
              </w:rPr>
              <w:t xml:space="preserve"> H</w:t>
            </w:r>
            <w:r>
              <w:rPr>
                <w:rFonts w:ascii="Arial" w:cs="Arial" w:eastAsia="Arial" w:hAnsi="Arial"/>
                <w:sz w:val="14"/>
                <w:szCs w:val="14"/>
                <w:color w:val="auto"/>
                <w:w w:val="95"/>
              </w:rPr>
              <w:t>ESSLER</w:t>
            </w:r>
          </w:p>
        </w:tc>
        <w:tc>
          <w:tcPr>
            <w:tcW w:w="56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8"/>
              </w:rPr>
              <w:t>Curt Hessler</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19"/>
        </w:trPr>
        <w:tc>
          <w:tcPr>
            <w:tcW w:w="14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gridSpan w:val="4"/>
          </w:tcPr>
          <w:p>
            <w:pPr>
              <w:jc w:val="center"/>
              <w:ind w:right="13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NTHONY</w:t>
            </w:r>
            <w:r>
              <w:rPr>
                <w:rFonts w:ascii="Arial" w:cs="Arial" w:eastAsia="Arial" w:hAnsi="Arial"/>
                <w:sz w:val="18"/>
                <w:szCs w:val="18"/>
                <w:color w:val="auto"/>
              </w:rPr>
              <w:t xml:space="preserve"> N. P</w:t>
            </w:r>
            <w:r>
              <w:rPr>
                <w:rFonts w:ascii="Arial" w:cs="Arial" w:eastAsia="Arial" w:hAnsi="Arial"/>
                <w:sz w:val="14"/>
                <w:szCs w:val="14"/>
                <w:color w:val="auto"/>
              </w:rPr>
              <w:t>RITZKER</w:t>
            </w:r>
          </w:p>
        </w:tc>
        <w:tc>
          <w:tcPr>
            <w:tcW w:w="564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90"/>
              </w:rPr>
              <w:t>Anthony N. Pritzker</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19"/>
        </w:trPr>
        <w:tc>
          <w:tcPr>
            <w:tcW w:w="14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83"/>
              </w:rPr>
              <w:t>/s/</w:t>
            </w:r>
          </w:p>
        </w:tc>
        <w:tc>
          <w:tcPr>
            <w:tcW w:w="306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B. W</w:t>
            </w:r>
            <w:r>
              <w:rPr>
                <w:rFonts w:ascii="Arial" w:cs="Arial" w:eastAsia="Arial" w:hAnsi="Arial"/>
                <w:sz w:val="14"/>
                <w:szCs w:val="14"/>
                <w:color w:val="auto"/>
                <w:w w:val="97"/>
              </w:rPr>
              <w:t>ALSH</w:t>
            </w:r>
          </w:p>
        </w:tc>
        <w:tc>
          <w:tcPr>
            <w:tcW w:w="564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 (Principal Financial Officer)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8"/>
              </w:rPr>
              <w:t>Robert B. Walsh</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/s/</w:t>
            </w:r>
          </w:p>
        </w:tc>
        <w:tc>
          <w:tcPr>
            <w:tcW w:w="282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AUL</w:t>
            </w:r>
            <w:r>
              <w:rPr>
                <w:rFonts w:ascii="Arial" w:cs="Arial" w:eastAsia="Arial" w:hAnsi="Arial"/>
                <w:sz w:val="18"/>
                <w:szCs w:val="18"/>
                <w:color w:val="auto"/>
                <w:w w:val="97"/>
              </w:rPr>
              <w:t xml:space="preserve"> P</w:t>
            </w:r>
            <w:r>
              <w:rPr>
                <w:rFonts w:ascii="Arial" w:cs="Arial" w:eastAsia="Arial" w:hAnsi="Arial"/>
                <w:sz w:val="14"/>
                <w:szCs w:val="14"/>
                <w:color w:val="auto"/>
                <w:w w:val="97"/>
              </w:rPr>
              <w:t>ENSA</w:t>
            </w:r>
          </w:p>
        </w:tc>
        <w:tc>
          <w:tcPr>
            <w:tcW w:w="5640" w:type="dxa"/>
            <w:vAlign w:val="bottom"/>
            <w:gridSpan w:val="3"/>
          </w:tcPr>
          <w:p>
            <w:pPr>
              <w:ind w:left="580"/>
              <w:spacing w:after="0"/>
              <w:rPr>
                <w:sz w:val="20"/>
                <w:szCs w:val="20"/>
                <w:color w:val="auto"/>
              </w:rPr>
            </w:pPr>
            <w:r>
              <w:rPr>
                <w:rFonts w:ascii="Arial" w:cs="Arial" w:eastAsia="Arial" w:hAnsi="Arial"/>
                <w:sz w:val="18"/>
                <w:szCs w:val="18"/>
                <w:color w:val="auto"/>
              </w:rPr>
              <w:t>Controller (Principal Accounting Officer)</w:t>
            </w:r>
          </w:p>
        </w:tc>
      </w:tr>
      <w:tr>
        <w:trPr>
          <w:trHeight w:val="169"/>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center"/>
              <w:ind w:right="1620"/>
              <w:spacing w:after="0"/>
              <w:rPr>
                <w:sz w:val="20"/>
                <w:szCs w:val="20"/>
                <w:color w:val="auto"/>
              </w:rPr>
            </w:pPr>
            <w:r>
              <w:rPr>
                <w:rFonts w:ascii="Arial" w:cs="Arial" w:eastAsia="Arial" w:hAnsi="Arial"/>
                <w:sz w:val="14"/>
                <w:szCs w:val="14"/>
                <w:b w:val="1"/>
                <w:bCs w:val="1"/>
                <w:color w:val="auto"/>
                <w:w w:val="85"/>
              </w:rPr>
              <w:t>Paul Pensa</w:t>
            </w: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50"/>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40" w:type="dxa"/>
            <w:vAlign w:val="bottom"/>
          </w:tcPr>
          <w:p>
            <w:pPr>
              <w:ind w:left="112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840" w:type="dxa"/>
            <w:vAlign w:val="bottom"/>
          </w:tcPr>
          <w:p>
            <w:pPr>
              <w:ind w:left="2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020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3.1</w:t>
            </w:r>
          </w:p>
        </w:tc>
        <w:tc>
          <w:tcPr>
            <w:tcW w:w="680" w:type="dxa"/>
            <w:vAlign w:val="bottom"/>
            <w:vMerge w:val="continue"/>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the Registrant(1)</w:t>
            </w:r>
          </w:p>
        </w:tc>
        <w:tc>
          <w:tcPr>
            <w:tcW w:w="0" w:type="dxa"/>
            <w:vAlign w:val="bottom"/>
          </w:tcPr>
          <w:p>
            <w:pPr>
              <w:spacing w:after="0"/>
              <w:rPr>
                <w:sz w:val="1"/>
                <w:szCs w:val="1"/>
                <w:color w:val="auto"/>
              </w:rPr>
            </w:pPr>
          </w:p>
        </w:tc>
      </w:tr>
      <w:tr>
        <w:trPr>
          <w:trHeight w:val="316"/>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Registrant(13)</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99"/>
              </w:rPr>
              <w:t>Equity Holders Agreement by and between Evercore Partners Inc. and Mizuho Corporate Bank, dated as of August 21, 2008(10)</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Indenture between Evercore Partners Inc. and The Bank of New York Mellon, as trustee, dated as of August 28, 2008(11)</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Warrant, dated as of August 28, 2008(11)</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Amended and Restated Limited Partnership Agreement of Evercore LP, dated as of August 7, 2006(2)</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5"/>
              </w:rPr>
              <w:t>10.1.1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Supplement to Amended and Restated Limited Partnership Agreement of Evercore LP, dated as of August 7, 2006(2)</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Tax Receivable Agreement, dated as of August 10, 2006(2)</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August 10, 2006(2)</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9"/>
              </w:rPr>
              <w:t>Contribution and Sale Agreement, dated as of May 12, 2006, among Evercore LP, Evercore Partners Inc., Roger C. Altman, Austin M. Beutner,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Pedro Aspe and the Other Parties Named Therein(1)</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8"/>
              </w:rPr>
              <w:t>Contribution and Sale Agreement, dated as of May 12, 2006, among Evercore LP, Evercore Partners Inc. and Banco Inbursa, S.A., Institucion de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Banca Multiple, Grupo Financiero Inbursa, as Trustee of Inbursa Trust F1338(1)</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10.6*</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Robert B. Walsh(6)</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10.7*</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Evercore Partners Inc. 2006 Stock Incentive Plan(1)</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10.8*</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Evercore Partners Inc. 2006 Stock Incentive Plan(3)</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rPr>
              <w:t>10.9*</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Pedro Aspe(2)</w:t>
            </w:r>
          </w:p>
        </w:tc>
        <w:tc>
          <w:tcPr>
            <w:tcW w:w="0" w:type="dxa"/>
            <w:vAlign w:val="bottom"/>
          </w:tcPr>
          <w:p>
            <w:pPr>
              <w:spacing w:after="0"/>
              <w:rPr>
                <w:sz w:val="1"/>
                <w:szCs w:val="1"/>
                <w:color w:val="auto"/>
              </w:rPr>
            </w:pPr>
          </w:p>
        </w:tc>
      </w:tr>
      <w:tr>
        <w:trPr>
          <w:trHeight w:val="222"/>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10.10*</w:t>
            </w: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Evercore Partners Inc. 2006 Annual Incentive Plan(1)</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10.11*</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Adam B. Frankel(1)</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the Registrant and each of its director nominees(1)</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10.13</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Evercore Partners II L.L.C. Limited Liability Company Agreement(1)</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10.14</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Sale and Purchase Agreement among the Shareholders of Braveheart Financial Services Limited and Evercore Partners Inc.(1)</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10.15</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Closing Agreement, dated December 19, 2006, among Evercore Partners Inc. and Bernard J. Taylor and Julian P. Oakley(4)</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10.16</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Amendment No. 1 to the Amended and Restated Limited Partnership Agreement of Evercore LP, dated as of May 9, 2007(5)</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10.17*</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Form of Restricted Stock Award Agreement(6)</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10.18*</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Form of Restricted Stock Unit Award Agreement(6)</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10.19*</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w w:val="87"/>
              </w:rPr>
              <w:t>Letter Agreement, dated as of June 29, 2007, among David E. Wezdenko, Evercore LP, Evercore Partners II L.L.C. and Evercore Partners Inc.(7)</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10.20*</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Service Agreement between Bernard J. Taylor and Braveheart Financial Services Limited, dated as of July 31, 2006(9)</w:t>
            </w:r>
          </w:p>
        </w:tc>
        <w:tc>
          <w:tcPr>
            <w:tcW w:w="0" w:type="dxa"/>
            <w:vAlign w:val="bottom"/>
          </w:tcPr>
          <w:p>
            <w:pPr>
              <w:spacing w:after="0"/>
              <w:rPr>
                <w:sz w:val="1"/>
                <w:szCs w:val="1"/>
                <w:color w:val="auto"/>
              </w:rPr>
            </w:pPr>
          </w:p>
        </w:tc>
      </w:tr>
      <w:tr>
        <w:trPr>
          <w:trHeight w:val="222"/>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10.21*</w:t>
            </w:r>
          </w:p>
        </w:tc>
        <w:tc>
          <w:tcPr>
            <w:tcW w:w="68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2007 Form Restricted Stock Unit Award Agreement(9)</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10.22*</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2008 Form Restricted Stock Unit Award Agreement (filed herewith)</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10.23</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Amended and Restated Limited Partnership Agreement with Evercore Mexico Partners II, L.P. (filed herewith)</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10.24*</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November 7, 2008 with Dr. Pedro Carlos Aspe Armella(12)</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10.25*</w:t>
            </w:r>
          </w:p>
        </w:tc>
        <w:tc>
          <w:tcPr>
            <w:tcW w:w="68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Amended and Restated Employment Agreement dated February 12, 2008 with Roger C. Altman(8)</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7260" w:type="dxa"/>
            <w:vAlign w:val="bottom"/>
          </w:tcPr>
          <w:p>
            <w:pPr>
              <w:spacing w:after="0"/>
              <w:rPr>
                <w:sz w:val="14"/>
                <w:szCs w:val="14"/>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2"/>
              </w:rPr>
              <w:t>10.26*</w:t>
            </w:r>
          </w:p>
        </w:tc>
        <w:tc>
          <w:tcPr>
            <w:tcW w:w="68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Amended and Restated Employment Agreement dated February 12, 2008 with Austin M. Beutner(8)</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2"/>
              </w:rPr>
              <w:t>10.27*</w:t>
            </w:r>
          </w:p>
        </w:tc>
        <w:tc>
          <w:tcPr>
            <w:tcW w:w="68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Amendment to Restricted Stock Unit Award Agreement with Adam B. Frankel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92"/>
              </w:rPr>
              <w:t>10.28*</w:t>
            </w:r>
          </w:p>
        </w:tc>
        <w:tc>
          <w:tcPr>
            <w:tcW w:w="68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December 22, 2008 with Adam B. Frankel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68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w w:val="87"/>
              </w:rPr>
              <w:t>Purchase Agreement by and between Evercore Partners Inc. and Mizuho Corporate Bank, dated as of August 21, 2008(10)</w:t>
            </w:r>
          </w:p>
        </w:tc>
      </w:tr>
    </w:tbl>
    <w:p>
      <w:pPr>
        <w:spacing w:after="0" w:line="102" w:lineRule="exact"/>
        <w:rPr>
          <w:sz w:val="20"/>
          <w:szCs w:val="20"/>
          <w:color w:val="auto"/>
        </w:rPr>
      </w:pPr>
    </w:p>
    <w:p>
      <w:pPr>
        <w:ind w:left="1180" w:right="560" w:hanging="1172"/>
        <w:spacing w:after="0" w:line="268"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included as a separate exhibit - earnings per share can be determined from Note 16 to the consolidated/combined financial statements included in Item 8 – Financial Statements and Supplemental Data.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21.1</w:t>
            </w:r>
          </w:p>
        </w:tc>
        <w:tc>
          <w:tcPr>
            <w:tcW w:w="10680" w:type="dxa"/>
            <w:vAlign w:val="bottom"/>
          </w:tcPr>
          <w:p>
            <w:pPr>
              <w:ind w:left="440"/>
              <w:spacing w:after="0"/>
              <w:rPr>
                <w:sz w:val="20"/>
                <w:szCs w:val="20"/>
                <w:color w:val="auto"/>
              </w:rPr>
            </w:pPr>
            <w:r>
              <w:rPr>
                <w:rFonts w:ascii="Arial" w:cs="Arial" w:eastAsia="Arial" w:hAnsi="Arial"/>
                <w:sz w:val="18"/>
                <w:szCs w:val="18"/>
                <w:color w:val="auto"/>
              </w:rPr>
              <w:t>Subsidiaries of the Registrant (filed herewith)</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23.1</w:t>
            </w:r>
          </w:p>
        </w:tc>
        <w:tc>
          <w:tcPr>
            <w:tcW w:w="10680" w:type="dxa"/>
            <w:vAlign w:val="bottom"/>
          </w:tcPr>
          <w:p>
            <w:pPr>
              <w:ind w:left="440"/>
              <w:spacing w:after="0"/>
              <w:rPr>
                <w:sz w:val="20"/>
                <w:szCs w:val="20"/>
                <w:color w:val="auto"/>
              </w:rPr>
            </w:pPr>
            <w:r>
              <w:rPr>
                <w:rFonts w:ascii="Arial" w:cs="Arial" w:eastAsia="Arial" w:hAnsi="Arial"/>
                <w:sz w:val="18"/>
                <w:szCs w:val="18"/>
                <w:color w:val="auto"/>
              </w:rPr>
              <w:t>Consent of Deloitte &amp; Touche LLP (filed herewith)</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24.1</w:t>
            </w:r>
          </w:p>
        </w:tc>
        <w:tc>
          <w:tcPr>
            <w:tcW w:w="10680" w:type="dxa"/>
            <w:vAlign w:val="bottom"/>
          </w:tcPr>
          <w:p>
            <w:pPr>
              <w:ind w:left="440"/>
              <w:spacing w:after="0"/>
              <w:rPr>
                <w:sz w:val="20"/>
                <w:szCs w:val="20"/>
                <w:color w:val="auto"/>
              </w:rPr>
            </w:pPr>
            <w:r>
              <w:rPr>
                <w:rFonts w:ascii="Arial" w:cs="Arial" w:eastAsia="Arial" w:hAnsi="Arial"/>
                <w:sz w:val="18"/>
                <w:szCs w:val="18"/>
                <w:color w:val="auto"/>
              </w:rPr>
              <w:t>Power of Attorney (included on signature page hereto)</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31.1</w:t>
            </w:r>
          </w:p>
        </w:tc>
        <w:tc>
          <w:tcPr>
            <w:tcW w:w="10680" w:type="dxa"/>
            <w:vAlign w:val="bottom"/>
          </w:tcPr>
          <w:p>
            <w:pPr>
              <w:ind w:left="44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31.2</w:t>
            </w:r>
          </w:p>
        </w:tc>
        <w:tc>
          <w:tcPr>
            <w:tcW w:w="10680" w:type="dxa"/>
            <w:vAlign w:val="bottom"/>
          </w:tcPr>
          <w:p>
            <w:pPr>
              <w:ind w:left="44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32.1</w:t>
            </w:r>
          </w:p>
        </w:tc>
        <w:tc>
          <w:tcPr>
            <w:tcW w:w="10680" w:type="dxa"/>
            <w:vAlign w:val="bottom"/>
          </w:tcPr>
          <w:p>
            <w:pPr>
              <w:ind w:left="440"/>
              <w:spacing w:after="0"/>
              <w:rPr>
                <w:sz w:val="20"/>
                <w:szCs w:val="20"/>
                <w:color w:val="auto"/>
              </w:rPr>
            </w:pPr>
            <w:r>
              <w:rPr>
                <w:rFonts w:ascii="Arial" w:cs="Arial" w:eastAsia="Arial" w:hAnsi="Arial"/>
                <w:sz w:val="18"/>
                <w:szCs w:val="18"/>
                <w:color w:val="auto"/>
                <w:w w:val="88"/>
              </w:rPr>
              <w:t>Certification of the Chief Executive Officer pursuant to 18 U.S.C. Section 1350, as adopted pursuant to Section 906 of the Sarbanes-Oxley Act of</w:t>
            </w:r>
          </w:p>
        </w:tc>
      </w:tr>
      <w:tr>
        <w:trPr>
          <w:trHeight w:val="222"/>
        </w:trPr>
        <w:tc>
          <w:tcPr>
            <w:tcW w:w="740" w:type="dxa"/>
            <w:vAlign w:val="bottom"/>
          </w:tcPr>
          <w:p>
            <w:pPr>
              <w:spacing w:after="0"/>
              <w:rPr>
                <w:sz w:val="19"/>
                <w:szCs w:val="19"/>
                <w:color w:val="auto"/>
              </w:rPr>
            </w:pPr>
          </w:p>
        </w:tc>
        <w:tc>
          <w:tcPr>
            <w:tcW w:w="10680" w:type="dxa"/>
            <w:vAlign w:val="bottom"/>
          </w:tcPr>
          <w:p>
            <w:pPr>
              <w:ind w:left="440"/>
              <w:spacing w:after="0"/>
              <w:rPr>
                <w:sz w:val="20"/>
                <w:szCs w:val="20"/>
                <w:color w:val="auto"/>
              </w:rPr>
            </w:pPr>
            <w:r>
              <w:rPr>
                <w:rFonts w:ascii="Arial" w:cs="Arial" w:eastAsia="Arial" w:hAnsi="Arial"/>
                <w:sz w:val="18"/>
                <w:szCs w:val="18"/>
                <w:color w:val="auto"/>
              </w:rPr>
              <w:t>2002 (furnished herewith)</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32.2</w:t>
            </w:r>
          </w:p>
        </w:tc>
        <w:tc>
          <w:tcPr>
            <w:tcW w:w="10680" w:type="dxa"/>
            <w:vAlign w:val="bottom"/>
          </w:tcPr>
          <w:p>
            <w:pPr>
              <w:ind w:left="44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 906 of the Sarbanes-Oxley Act of</w:t>
            </w:r>
          </w:p>
        </w:tc>
      </w:tr>
      <w:tr>
        <w:trPr>
          <w:trHeight w:val="222"/>
        </w:trPr>
        <w:tc>
          <w:tcPr>
            <w:tcW w:w="740" w:type="dxa"/>
            <w:vAlign w:val="bottom"/>
          </w:tcPr>
          <w:p>
            <w:pPr>
              <w:spacing w:after="0"/>
              <w:rPr>
                <w:sz w:val="19"/>
                <w:szCs w:val="19"/>
                <w:color w:val="auto"/>
              </w:rPr>
            </w:pPr>
          </w:p>
        </w:tc>
        <w:tc>
          <w:tcPr>
            <w:tcW w:w="10680" w:type="dxa"/>
            <w:vAlign w:val="bottom"/>
          </w:tcPr>
          <w:p>
            <w:pPr>
              <w:ind w:left="440"/>
              <w:spacing w:after="0"/>
              <w:rPr>
                <w:sz w:val="20"/>
                <w:szCs w:val="20"/>
                <w:color w:val="auto"/>
              </w:rPr>
            </w:pPr>
            <w:r>
              <w:rPr>
                <w:rFonts w:ascii="Arial" w:cs="Arial" w:eastAsia="Arial" w:hAnsi="Arial"/>
                <w:sz w:val="18"/>
                <w:szCs w:val="18"/>
                <w:color w:val="auto"/>
              </w:rPr>
              <w:t>2002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32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(Registration No. 333-134087), as amended, originally filed with the SEC on May 12, 2006.</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(Commission File No. 001-32975), for the period ended June 30, 2006.</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Incorporated by Reference to the Registrant’s Quarterly Report on Form 10-Q (Commission File No. 001-32975), for the period ended September 30, 2006.</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filed with the Securities and Exchange Commission on December 21, 2006.</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(Commission File No. 001-32975), for the period ended March 31,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June 8,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July 6, 2007.</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12,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March 14,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21,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28, 2008.</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Incorporated by Reference to the Registrant’s Quarterly Report on Form 10-Q (Commission File No. 001-32975), for the period ended September 30, 2008.</w:t>
      </w:r>
    </w:p>
    <w:p>
      <w:pPr>
        <w:spacing w:after="0" w:line="124" w:lineRule="exact"/>
        <w:rPr>
          <w:rFonts w:ascii="Arial" w:cs="Arial" w:eastAsia="Arial" w:hAnsi="Arial"/>
          <w:sz w:val="15"/>
          <w:szCs w:val="15"/>
          <w:color w:val="auto"/>
        </w:rPr>
      </w:pPr>
    </w:p>
    <w:p>
      <w:pPr>
        <w:ind w:left="60" w:right="340" w:hanging="52"/>
        <w:spacing w:after="0" w:line="362" w:lineRule="auto"/>
        <w:tabs>
          <w:tab w:leader="none" w:pos="4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(Commission File No. 001-32975), filed with the SEC on February 6, 2009. * Management contract or compensatory plan.</w:t>
      </w:r>
    </w:p>
    <w:p>
      <w:pPr>
        <w:sectPr>
          <w:pgSz w:w="11900" w:h="16838" w:orient="portrait"/>
          <w:cols w:equalWidth="0" w:num="1">
            <w:col w:w="11420"/>
          </w:cols>
          <w:pgMar w:left="240" w:top="459"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RESTRICTED STOCK UNIT AWARD AGREEMENT</w:t>
      </w:r>
    </w:p>
    <w:p>
      <w:pPr>
        <w:spacing w:after="0" w:line="171"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18"/>
          <w:szCs w:val="18"/>
          <w:color w:val="auto"/>
        </w:rPr>
        <w:t xml:space="preserve">THIS AGREEMENT (the </w:t>
      </w:r>
      <w:r>
        <w:rPr>
          <w:rFonts w:ascii="Arial" w:cs="Arial" w:eastAsia="Arial" w:hAnsi="Arial"/>
          <w:sz w:val="18"/>
          <w:szCs w:val="18"/>
          <w:i w:val="1"/>
          <w:iCs w:val="1"/>
          <w:color w:val="auto"/>
        </w:rPr>
        <w:t>“Agreement”</w:t>
      </w:r>
      <w:r>
        <w:rPr>
          <w:rFonts w:ascii="Arial" w:cs="Arial" w:eastAsia="Arial" w:hAnsi="Arial"/>
          <w:sz w:val="18"/>
          <w:szCs w:val="18"/>
          <w:color w:val="auto"/>
        </w:rPr>
        <w:t>) is made, effective as of March</w:t>
      </w:r>
      <w:r>
        <w:rPr>
          <w:sz w:val="20"/>
          <w:szCs w:val="20"/>
          <w:color w:val="auto"/>
        </w:rPr>
        <w:tab/>
      </w:r>
      <w:r>
        <w:rPr>
          <w:rFonts w:ascii="Arial" w:cs="Arial" w:eastAsia="Arial" w:hAnsi="Arial"/>
          <w:sz w:val="16"/>
          <w:szCs w:val="16"/>
          <w:color w:val="auto"/>
        </w:rPr>
        <w:t xml:space="preserve">, 2009 (the </w:t>
      </w:r>
      <w:r>
        <w:rPr>
          <w:rFonts w:ascii="Arial" w:cs="Arial" w:eastAsia="Arial" w:hAnsi="Arial"/>
          <w:sz w:val="16"/>
          <w:szCs w:val="16"/>
          <w:i w:val="1"/>
          <w:iCs w:val="1"/>
          <w:color w:val="auto"/>
        </w:rPr>
        <w:t>“Grant Date”</w:t>
      </w:r>
      <w:r>
        <w:rPr>
          <w:rFonts w:ascii="Arial" w:cs="Arial" w:eastAsia="Arial" w:hAnsi="Arial"/>
          <w:sz w:val="16"/>
          <w:szCs w:val="16"/>
          <w:color w:val="auto"/>
        </w:rPr>
        <w:t>), between Evercore Partners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-13970</wp:posOffset>
            </wp:positionV>
            <wp:extent cx="1117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tabs>
          <w:tab w:leader="none" w:pos="2180" w:val="left"/>
        </w:tabs>
        <w:rPr>
          <w:sz w:val="20"/>
          <w:szCs w:val="20"/>
          <w:color w:val="auto"/>
        </w:rPr>
      </w:pPr>
      <w:r>
        <w:rPr>
          <w:rFonts w:ascii="Arial" w:cs="Arial" w:eastAsia="Arial" w:hAnsi="Arial"/>
          <w:sz w:val="18"/>
          <w:szCs w:val="18"/>
          <w:i w:val="1"/>
          <w:iCs w:val="1"/>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xml:space="preserve">(the </w:t>
      </w:r>
      <w:r>
        <w:rPr>
          <w:rFonts w:ascii="Arial" w:cs="Arial" w:eastAsia="Arial" w:hAnsi="Arial"/>
          <w:sz w:val="16"/>
          <w:szCs w:val="16"/>
          <w:i w:val="1"/>
          <w:iCs w:val="1"/>
          <w:color w:val="auto"/>
        </w:rPr>
        <w:t>“Participant”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-17780</wp:posOffset>
            </wp:positionV>
            <wp:extent cx="5575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5"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 xml:space="preserve">WHEREAS, the Company desires to grant the Participant restricted stock units (as provided in Section 1 below), ultimately payable in shares of Common Stock of the Company (the </w:t>
      </w:r>
      <w:r>
        <w:rPr>
          <w:rFonts w:ascii="Arial" w:cs="Arial" w:eastAsia="Arial" w:hAnsi="Arial"/>
          <w:sz w:val="16"/>
          <w:szCs w:val="16"/>
          <w:i w:val="1"/>
          <w:iCs w:val="1"/>
          <w:color w:val="auto"/>
        </w:rPr>
        <w:t>“Award”</w:t>
      </w:r>
      <w:r>
        <w:rPr>
          <w:rFonts w:ascii="Arial" w:cs="Arial" w:eastAsia="Arial" w:hAnsi="Arial"/>
          <w:sz w:val="16"/>
          <w:szCs w:val="16"/>
          <w:color w:val="auto"/>
        </w:rPr>
        <w:t xml:space="preserve">), pursuant to the Company’s 2006 Stock Incentive Plan, as amended (the </w:t>
      </w:r>
      <w:r>
        <w:rPr>
          <w:rFonts w:ascii="Arial" w:cs="Arial" w:eastAsia="Arial" w:hAnsi="Arial"/>
          <w:sz w:val="16"/>
          <w:szCs w:val="16"/>
          <w:i w:val="1"/>
          <w:iCs w:val="1"/>
          <w:color w:val="auto"/>
        </w:rPr>
        <w:t>“Plan”</w:t>
      </w:r>
      <w:r>
        <w:rPr>
          <w:rFonts w:ascii="Arial" w:cs="Arial" w:eastAsia="Arial" w:hAnsi="Arial"/>
          <w:sz w:val="16"/>
          <w:szCs w:val="16"/>
          <w:color w:val="auto"/>
        </w:rPr>
        <w:t>), the terms of which are hereby incorporated by reference and made a part of this Agreement (capitalized terms not otherwise defined herein shall have the same meanings as in the Plan);</w:t>
      </w:r>
    </w:p>
    <w:p>
      <w:pPr>
        <w:spacing w:after="0" w:line="107" w:lineRule="exact"/>
        <w:rPr>
          <w:sz w:val="20"/>
          <w:szCs w:val="20"/>
          <w:color w:val="auto"/>
        </w:rPr>
      </w:pPr>
    </w:p>
    <w:p>
      <w:pPr>
        <w:jc w:val="both"/>
        <w:ind w:right="360" w:firstLine="913"/>
        <w:spacing w:after="0" w:line="259" w:lineRule="auto"/>
        <w:rPr>
          <w:sz w:val="20"/>
          <w:szCs w:val="20"/>
          <w:color w:val="auto"/>
        </w:rPr>
      </w:pPr>
      <w:r>
        <w:rPr>
          <w:rFonts w:ascii="Arial" w:cs="Arial" w:eastAsia="Arial" w:hAnsi="Arial"/>
          <w:sz w:val="18"/>
          <w:szCs w:val="18"/>
          <w:color w:val="auto"/>
        </w:rPr>
        <w:t>WHEREAS, the Board has determined that it would be to the advantage and best interest of the Company to grant the shares of Common Stock provided for herein to the Participant as an incentive for increased efforts during his term of office with the Company or its Subsidiaries or Affiliates, and has advised the Company thereof and instructed the undersigned officers to grant said Award;</w:t>
      </w:r>
    </w:p>
    <w:p>
      <w:pPr>
        <w:spacing w:after="0" w:line="140"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NOW, THEREFORE, in consideration of the mutual covenants herein contained and other good and valuable consideration, receipt of which is hereby acknowledged, the parties hereto do hereby agree as follows:</w:t>
      </w:r>
    </w:p>
    <w:p>
      <w:pPr>
        <w:spacing w:after="0" w:line="51" w:lineRule="exact"/>
        <w:rPr>
          <w:sz w:val="20"/>
          <w:szCs w:val="20"/>
          <w:color w:val="auto"/>
        </w:rPr>
      </w:pPr>
    </w:p>
    <w:p>
      <w:pPr>
        <w:ind w:right="280" w:firstLine="921"/>
        <w:spacing w:after="0" w:line="256" w:lineRule="auto"/>
        <w:tabs>
          <w:tab w:leader="none" w:pos="108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Grant of RSUs</w:t>
      </w:r>
      <w:r>
        <w:rPr>
          <w:rFonts w:ascii="Arial" w:cs="Arial" w:eastAsia="Arial" w:hAnsi="Arial"/>
          <w:sz w:val="18"/>
          <w:szCs w:val="18"/>
          <w:color w:val="auto"/>
        </w:rPr>
        <w:t>. For valuable consideration, receipt of which is hereby acknowledged, the Company hereby grants «UNITS_GRANTED»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xml:space="preserve">) to the Participant, on the terms and conditions hereinafter set forth. Each RSU represents the unfunded, unsecured right of the Participant to receive one share of the Company’s Common Stock (each, a </w:t>
      </w:r>
      <w:r>
        <w:rPr>
          <w:rFonts w:ascii="Arial" w:cs="Arial" w:eastAsia="Arial" w:hAnsi="Arial"/>
          <w:sz w:val="18"/>
          <w:szCs w:val="18"/>
          <w:i w:val="1"/>
          <w:iCs w:val="1"/>
          <w:color w:val="auto"/>
        </w:rPr>
        <w:t>“Share”</w:t>
      </w:r>
      <w:r>
        <w:rPr>
          <w:rFonts w:ascii="Arial" w:cs="Arial" w:eastAsia="Arial" w:hAnsi="Arial"/>
          <w:sz w:val="18"/>
          <w:szCs w:val="18"/>
          <w:color w:val="auto"/>
        </w:rPr>
        <w:t>). The Participant will become vested in the RSUs, and take delivery of the Shares, as set forth in this Agreement.</w:t>
      </w:r>
    </w:p>
    <w:p>
      <w:pPr>
        <w:spacing w:after="0" w:line="143" w:lineRule="exact"/>
        <w:rPr>
          <w:rFonts w:ascii="Arial" w:cs="Arial" w:eastAsia="Arial" w:hAnsi="Arial"/>
          <w:sz w:val="18"/>
          <w:szCs w:val="18"/>
          <w:color w:val="auto"/>
        </w:rPr>
      </w:pPr>
    </w:p>
    <w:p>
      <w:pPr>
        <w:ind w:left="1100" w:hanging="179"/>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Vesting and Timing of Transfer</w:t>
      </w:r>
      <w:r>
        <w:rPr>
          <w:rFonts w:ascii="Arial" w:cs="Arial" w:eastAsia="Arial" w:hAnsi="Arial"/>
          <w:sz w:val="18"/>
          <w:szCs w:val="18"/>
          <w:color w:val="auto"/>
        </w:rPr>
        <w:t>.</w:t>
      </w:r>
    </w:p>
    <w:p>
      <w:pPr>
        <w:spacing w:after="0" w:line="90" w:lineRule="exact"/>
        <w:rPr>
          <w:sz w:val="20"/>
          <w:szCs w:val="20"/>
          <w:color w:val="auto"/>
        </w:rPr>
      </w:pPr>
    </w:p>
    <w:p>
      <w:pPr>
        <w:ind w:right="160" w:firstLine="921"/>
        <w:spacing w:after="0" w:line="259" w:lineRule="auto"/>
        <w:tabs>
          <w:tab w:leader="none" w:pos="1152"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Unless otherwise provided herein, and subject to the continued employment of the Participant by the Company or any of its Affiliates (collectively, the </w:t>
      </w:r>
      <w:r>
        <w:rPr>
          <w:rFonts w:ascii="Arial" w:cs="Arial" w:eastAsia="Arial" w:hAnsi="Arial"/>
          <w:sz w:val="18"/>
          <w:szCs w:val="18"/>
          <w:i w:val="1"/>
          <w:iCs w:val="1"/>
          <w:color w:val="auto"/>
        </w:rPr>
        <w:t>“Employer”</w:t>
      </w:r>
      <w:r>
        <w:rPr>
          <w:rFonts w:ascii="Arial" w:cs="Arial" w:eastAsia="Arial" w:hAnsi="Arial"/>
          <w:sz w:val="18"/>
          <w:szCs w:val="18"/>
          <w:color w:val="auto"/>
        </w:rPr>
        <w:t xml:space="preserve">) through the relevant Vesting Event (as hereinafter defined), the Participant shall become vested in the RSUs granted on the Grant Date as follows (the occurrence of each such even described herein, a </w:t>
      </w:r>
      <w:r>
        <w:rPr>
          <w:rFonts w:ascii="Arial" w:cs="Arial" w:eastAsia="Arial" w:hAnsi="Arial"/>
          <w:sz w:val="18"/>
          <w:szCs w:val="18"/>
          <w:i w:val="1"/>
          <w:iCs w:val="1"/>
          <w:color w:val="auto"/>
        </w:rPr>
        <w:t>“Vesting Event”</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Twenty-five percent (25%) of the total number of RSUs granted hereunder shall become vested on each anniversary of the Grant Date; and</w:t>
      </w:r>
    </w:p>
    <w:p>
      <w:pPr>
        <w:spacing w:after="0" w:line="113" w:lineRule="exact"/>
        <w:rPr>
          <w:rFonts w:ascii="Arial" w:cs="Arial" w:eastAsia="Arial" w:hAnsi="Arial"/>
          <w:sz w:val="16"/>
          <w:szCs w:val="16"/>
          <w:color w:val="auto"/>
        </w:rPr>
      </w:pPr>
    </w:p>
    <w:p>
      <w:pPr>
        <w:ind w:left="460" w:right="20" w:firstLine="443"/>
        <w:spacing w:after="0" w:line="286" w:lineRule="auto"/>
        <w:tabs>
          <w:tab w:leader="none" w:pos="1157" w:val="left"/>
        </w:tabs>
        <w:numPr>
          <w:ilvl w:val="1"/>
          <w:numId w:val="48"/>
        </w:numPr>
        <w:rPr>
          <w:rFonts w:ascii="Arial" w:cs="Arial" w:eastAsia="Arial" w:hAnsi="Arial"/>
          <w:sz w:val="16"/>
          <w:szCs w:val="16"/>
          <w:color w:val="auto"/>
        </w:rPr>
      </w:pPr>
      <w:r>
        <w:rPr>
          <w:rFonts w:ascii="Arial" w:cs="Arial" w:eastAsia="Arial" w:hAnsi="Arial"/>
          <w:sz w:val="16"/>
          <w:szCs w:val="16"/>
          <w:color w:val="auto"/>
        </w:rPr>
        <w:t>Notwithstanding any of the foregoing, any unvested RSUs shall become one hundred percent (100%) vested upon the earliest occurrence of (A) a Change in Control, (B) the Participant’s death or termination of the Participant’s employment with Employer due to the Participant’s Disability and</w:t>
      </w:r>
    </w:p>
    <w:p>
      <w:pPr>
        <w:ind w:left="740" w:hanging="276"/>
        <w:spacing w:after="0"/>
        <w:tabs>
          <w:tab w:leader="none" w:pos="7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upon the later of the Participant becoming 65 years old and the completion of at least five years of service with the Company or its predecessors.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20" w:name="page121"/>
    <w:bookmarkEnd w:id="120"/>
    <w:p>
      <w:pPr>
        <w:ind w:left="-20" w:right="100" w:firstLine="921"/>
        <w:spacing w:after="0" w:line="259" w:lineRule="auto"/>
        <w:tabs>
          <w:tab w:leader="none" w:pos="1142"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 set forth in this Agreement, subject to the provisions of Section 2(a)(ii)(B) above, upon any termination of the Participant’s employment with the Employer, all then unvested RSUs shall immediately be forfeited by the Participant, without payment of any consideration therefor.</w:t>
      </w:r>
    </w:p>
    <w:p>
      <w:pPr>
        <w:spacing w:after="0" w:line="140" w:lineRule="exact"/>
        <w:rPr>
          <w:rFonts w:ascii="Arial" w:cs="Arial" w:eastAsia="Arial" w:hAnsi="Arial"/>
          <w:sz w:val="18"/>
          <w:szCs w:val="18"/>
          <w:color w:val="auto"/>
        </w:rPr>
      </w:pPr>
    </w:p>
    <w:p>
      <w:pPr>
        <w:ind w:left="-20" w:right="160" w:firstLine="921"/>
        <w:spacing w:after="0" w:line="254" w:lineRule="auto"/>
        <w:tabs>
          <w:tab w:leader="none" w:pos="1132"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Upon the occurrence of a Vesting Event, one Share shall be issuable for each RSU that vests on the date of such Vesting Event, subject to the terms and provisions of the Plan and this Agreement. Thereafter, upon satisfaction of any required tax withholding obligations, the Company shall deliver to the Participant Shares underlying any vested RSUs as soon as practicable (but in no event later than 2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months after the date of the Vesting Event). No fractional shares shall be issued under this Agreement. When applying this schedule, any fractional RSU shall be rounded up to the next whole RSU, but in the aggregate may not exceed the total number of RSUs granted on the Grant Date.</w:t>
      </w:r>
    </w:p>
    <w:p>
      <w:pPr>
        <w:spacing w:after="0" w:line="172" w:lineRule="exact"/>
        <w:rPr>
          <w:rFonts w:ascii="Arial" w:cs="Arial" w:eastAsia="Arial" w:hAnsi="Arial"/>
          <w:sz w:val="17"/>
          <w:szCs w:val="17"/>
          <w:color w:val="auto"/>
        </w:rPr>
      </w:pPr>
    </w:p>
    <w:p>
      <w:pPr>
        <w:ind w:left="-20" w:firstLine="921"/>
        <w:spacing w:after="0" w:line="335" w:lineRule="auto"/>
        <w:tabs>
          <w:tab w:leader="none" w:pos="1142"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In the event of the death of the Participant, the delivery of Shares under Section 2(c) shall be made in accordance with the beneficiary designation form on file with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absence of any such beneficiary designation form, the delivery of Shares under Section 2(c), shall be made to the person or persons to whom the Participant’s rights under the Agreement shall pass by will or by the applicable laws of descent and distribution.</w:t>
      </w:r>
    </w:p>
    <w:p>
      <w:pPr>
        <w:spacing w:after="0" w:line="88" w:lineRule="exact"/>
        <w:rPr>
          <w:rFonts w:ascii="Arial" w:cs="Arial" w:eastAsia="Arial" w:hAnsi="Arial"/>
          <w:sz w:val="15"/>
          <w:szCs w:val="15"/>
          <w:color w:val="auto"/>
        </w:rPr>
      </w:pPr>
    </w:p>
    <w:p>
      <w:pPr>
        <w:jc w:val="both"/>
        <w:ind w:left="-20" w:right="260" w:firstLine="921"/>
        <w:spacing w:after="0" w:line="259" w:lineRule="auto"/>
        <w:tabs>
          <w:tab w:leader="none" w:pos="11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the requirements of Section 11, upon each transfer of Shares in accordance with Section 2(c) of this Agreement, the Company shall have satisfied its obligation with respect to the number of RSUs equal to the number of Shares delivered to the Participant pursuant thereto, and the Participant shall have no further rights to claim any additional Shares in respect thereof.</w:t>
      </w:r>
    </w:p>
    <w:p>
      <w:pPr>
        <w:spacing w:after="0" w:line="140" w:lineRule="exact"/>
        <w:rPr>
          <w:sz w:val="20"/>
          <w:szCs w:val="20"/>
          <w:color w:val="auto"/>
        </w:rPr>
      </w:pPr>
    </w:p>
    <w:p>
      <w:pPr>
        <w:ind w:left="1080" w:hanging="179"/>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60" w:firstLine="921"/>
        <w:spacing w:after="0" w:line="268" w:lineRule="auto"/>
        <w:tabs>
          <w:tab w:leader="none" w:pos="106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Adjustments Upon Certain Events</w:t>
      </w:r>
      <w:r>
        <w:rPr>
          <w:rFonts w:ascii="Arial" w:cs="Arial" w:eastAsia="Arial" w:hAnsi="Arial"/>
          <w:sz w:val="18"/>
          <w:szCs w:val="18"/>
          <w:color w:val="auto"/>
        </w:rPr>
        <w:t>. The Committee shall, in its sole discretion, make equitable substitutions or adjustments to any Shares or RSUs subject to this Agreement pursuant to Section 9(a) of the Plan.</w:t>
      </w:r>
    </w:p>
    <w:p>
      <w:pPr>
        <w:spacing w:after="0" w:line="131" w:lineRule="exact"/>
        <w:rPr>
          <w:rFonts w:ascii="Arial" w:cs="Arial" w:eastAsia="Arial" w:hAnsi="Arial"/>
          <w:sz w:val="18"/>
          <w:szCs w:val="18"/>
          <w:color w:val="auto"/>
        </w:rPr>
      </w:pPr>
    </w:p>
    <w:p>
      <w:pPr>
        <w:ind w:left="1080" w:hanging="179"/>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20" w:firstLine="921"/>
        <w:spacing w:after="0" w:line="259" w:lineRule="auto"/>
        <w:tabs>
          <w:tab w:leader="none" w:pos="106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Neither the Plan nor this Agreement shall be construed as giving the Participant the right to be retained in the employ of, or in any consulting relationship to, the Employer. Further, the Employer may at any time dismiss the Participant, free from any liability or any claim under the Plan or this Agreement, except as otherwise expressly provided herein.</w:t>
      </w:r>
    </w:p>
    <w:p>
      <w:pPr>
        <w:spacing w:after="0" w:line="140" w:lineRule="exact"/>
        <w:rPr>
          <w:rFonts w:ascii="Arial" w:cs="Arial" w:eastAsia="Arial" w:hAnsi="Arial"/>
          <w:sz w:val="18"/>
          <w:szCs w:val="18"/>
          <w:color w:val="auto"/>
        </w:rPr>
      </w:pPr>
    </w:p>
    <w:p>
      <w:pPr>
        <w:ind w:left="-20" w:right="40" w:firstLine="921"/>
        <w:spacing w:after="0" w:line="256" w:lineRule="auto"/>
        <w:tabs>
          <w:tab w:leader="none" w:pos="106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Acquired Rights</w:t>
      </w:r>
      <w:r>
        <w:rPr>
          <w:rFonts w:ascii="Arial" w:cs="Arial" w:eastAsia="Arial" w:hAnsi="Arial"/>
          <w:sz w:val="18"/>
          <w:szCs w:val="18"/>
          <w:color w:val="auto"/>
        </w:rPr>
        <w:t>. In participating in the Plan, the Participant acknowledges and accepts that the Board has the power to amend or terminate the Plan, to the extent permitted thereunder, at any time and that the opportunity given to the Participant to participate in the Plan is entirely at the discretion of the Committee and does not obligate the Company or any of its Affiliates to offer such participation in the future (whether on the same or different terms). The Participant further acknowledges and accepts that (a) such Participant’s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121" w:name="page122"/>
    <w:bookmarkEnd w:id="121"/>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participation in the Plan is not to be considered part of any normal or expected compensation, (b) the value of the RSUs or the Shares shall not be used for purposes or determining any benefits or compensation payable to the Participant or the Participant’s beneficiaries or estate under any benefit arrangement of the Company, and (c) the termination of the Participant’s employment with the Employer under any circumstances whatsoever will give the Participant no claim or right of action against the Employer in respect of any loss of rights under this Agreement or the Plan that may arise as a result of such termination of employment.</w:t>
      </w:r>
    </w:p>
    <w:p>
      <w:pPr>
        <w:spacing w:after="0" w:line="98" w:lineRule="exact"/>
        <w:rPr>
          <w:sz w:val="20"/>
          <w:szCs w:val="20"/>
          <w:color w:val="auto"/>
        </w:rPr>
      </w:pPr>
    </w:p>
    <w:p>
      <w:pPr>
        <w:jc w:val="both"/>
        <w:ind w:right="180" w:firstLine="921"/>
        <w:spacing w:after="0" w:line="259" w:lineRule="auto"/>
        <w:tabs>
          <w:tab w:leader="none" w:pos="108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 Rights of a Stockholder</w:t>
      </w:r>
      <w:r>
        <w:rPr>
          <w:rFonts w:ascii="Arial" w:cs="Arial" w:eastAsia="Arial" w:hAnsi="Arial"/>
          <w:sz w:val="18"/>
          <w:szCs w:val="18"/>
          <w:color w:val="auto"/>
        </w:rPr>
        <w:t>. The Participant shall not have any rights or privileges as a stockholder of the Company, which for the avoidance of doubt includes no rights to dividends or to vote, until the Shares in question have been registered in the Company’s register of stockholders as being held by the Participant.</w:t>
      </w:r>
    </w:p>
    <w:p>
      <w:pPr>
        <w:spacing w:after="0" w:line="140" w:lineRule="exact"/>
        <w:rPr>
          <w:rFonts w:ascii="Arial" w:cs="Arial" w:eastAsia="Arial" w:hAnsi="Arial"/>
          <w:sz w:val="18"/>
          <w:szCs w:val="18"/>
          <w:color w:val="auto"/>
        </w:rPr>
      </w:pPr>
    </w:p>
    <w:p>
      <w:pPr>
        <w:ind w:right="40" w:firstLine="921"/>
        <w:spacing w:after="0" w:line="254" w:lineRule="auto"/>
        <w:tabs>
          <w:tab w:leader="none" w:pos="108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Legend on Certificates</w:t>
      </w:r>
      <w:r>
        <w:rPr>
          <w:rFonts w:ascii="Arial" w:cs="Arial" w:eastAsia="Arial" w:hAnsi="Arial"/>
          <w:sz w:val="18"/>
          <w:szCs w:val="18"/>
          <w:color w:val="auto"/>
        </w:rPr>
        <w:t>. Any Shares issued or transferred to the Participant pursuant to Section 2 of this Agreement shall be subject to such stop transfer orders and other restrictions as the Committee may deem advisable under the Plan or the rules, regulations, and other requirements of the Securities and Exchange Commission, any stock exchange upon which such Shares are listed, and any applicable Federal or state laws or relevant securities laws of the jurisdiction of the domicile of the Participant, and the Committee may cause a legend or legends to be put on any certificates representing such Shares or make an appropriate entry on the record books of the appropriate registered book-entry custodian, if the Shares are not certificated, to make appropriate reference to such restrictions.</w:t>
      </w:r>
    </w:p>
    <w:p>
      <w:pPr>
        <w:spacing w:after="0" w:line="144" w:lineRule="exact"/>
        <w:rPr>
          <w:rFonts w:ascii="Arial" w:cs="Arial" w:eastAsia="Arial" w:hAnsi="Arial"/>
          <w:sz w:val="18"/>
          <w:szCs w:val="18"/>
          <w:color w:val="auto"/>
        </w:rPr>
      </w:pPr>
    </w:p>
    <w:p>
      <w:pPr>
        <w:ind w:right="80" w:firstLine="921"/>
        <w:spacing w:after="0" w:line="259" w:lineRule="auto"/>
        <w:tabs>
          <w:tab w:leader="none" w:pos="117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RSUs may not be assigned, alienated, pledged, attached, sold or otherwise transferred or encumbered by the Participant otherwise than by will or by the laws of descent and distribution, and any purported assignment, alienation, pledge, attachment, sale, transfer or encumbrance not permitted by this Section 10 shall be void and unenforceable against the Company or any Affiliate.</w:t>
      </w:r>
    </w:p>
    <w:p>
      <w:pPr>
        <w:spacing w:after="0" w:line="140" w:lineRule="exact"/>
        <w:rPr>
          <w:rFonts w:ascii="Arial" w:cs="Arial" w:eastAsia="Arial" w:hAnsi="Arial"/>
          <w:sz w:val="18"/>
          <w:szCs w:val="18"/>
          <w:color w:val="auto"/>
        </w:rPr>
      </w:pPr>
    </w:p>
    <w:p>
      <w:pPr>
        <w:ind w:firstLine="921"/>
        <w:spacing w:after="0" w:line="294" w:lineRule="auto"/>
        <w:tabs>
          <w:tab w:leader="none" w:pos="117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may be required to pay to the Company or any Affiliate and the Company or any Affiliate shall have the right and is hereby authorized to withhold from any transfer due under this Agreement or under the Plan or from any compensation or other amount owing to the Participant, applicable withholding taxes with respect to any transfer under this Agreement or under the Plan and to take such action as may be necessary in the opinion of the Company to satisfy all obligations for the payment of such taxes, pursuant to Section 4(d) of the Plan. The payment of any applicable withholding taxes through the sale or withholding of Shares otherwise issuable under this Agreement shall not exceed the statutory minimum withholding liability.</w:t>
      </w:r>
    </w:p>
    <w:p>
      <w:pPr>
        <w:spacing w:after="0" w:line="115" w:lineRule="exact"/>
        <w:rPr>
          <w:rFonts w:ascii="Arial" w:cs="Arial" w:eastAsia="Arial" w:hAnsi="Arial"/>
          <w:sz w:val="16"/>
          <w:szCs w:val="16"/>
          <w:color w:val="auto"/>
        </w:rPr>
      </w:pPr>
    </w:p>
    <w:p>
      <w:pPr>
        <w:ind w:right="40" w:firstLine="921"/>
        <w:spacing w:after="0" w:line="294" w:lineRule="auto"/>
        <w:tabs>
          <w:tab w:leader="none" w:pos="117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Restrictive Covenants</w:t>
      </w:r>
      <w:r>
        <w:rPr>
          <w:rFonts w:ascii="Arial" w:cs="Arial" w:eastAsia="Arial" w:hAnsi="Arial"/>
          <w:sz w:val="16"/>
          <w:szCs w:val="16"/>
          <w:color w:val="auto"/>
        </w:rPr>
        <w:t xml:space="preserve">. The Participant represents and agrees that the Participant has executed a Confidentiality, Non-Solicitation and Proprietary Information Agreement with the Partnership (the </w:t>
      </w:r>
      <w:r>
        <w:rPr>
          <w:rFonts w:ascii="Arial" w:cs="Arial" w:eastAsia="Arial" w:hAnsi="Arial"/>
          <w:sz w:val="16"/>
          <w:szCs w:val="16"/>
          <w:i w:val="1"/>
          <w:iCs w:val="1"/>
          <w:color w:val="auto"/>
        </w:rPr>
        <w:t>“Restrictive Covenants Agreement”</w:t>
      </w:r>
      <w:r>
        <w:rPr>
          <w:rFonts w:ascii="Arial" w:cs="Arial" w:eastAsia="Arial" w:hAnsi="Arial"/>
          <w:sz w:val="16"/>
          <w:szCs w:val="16"/>
          <w:color w:val="auto"/>
        </w:rPr>
        <w:t xml:space="preserve">) pursuant to which, during the Participant’s employment with the Employer and upon the Participant’s termination of employment with the Employer for any reason, the Participant shall be bound by certain restrictive convenants set forth therein (the </w:t>
      </w:r>
      <w:r>
        <w:rPr>
          <w:rFonts w:ascii="Arial" w:cs="Arial" w:eastAsia="Arial" w:hAnsi="Arial"/>
          <w:sz w:val="16"/>
          <w:szCs w:val="16"/>
          <w:i w:val="1"/>
          <w:iCs w:val="1"/>
          <w:color w:val="auto"/>
        </w:rPr>
        <w:t>“Restrictive Convenants”</w:t>
      </w:r>
      <w:r>
        <w:rPr>
          <w:rFonts w:ascii="Arial" w:cs="Arial" w:eastAsia="Arial" w:hAnsi="Arial"/>
          <w:sz w:val="16"/>
          <w:szCs w:val="16"/>
          <w:color w:val="auto"/>
        </w:rPr>
        <w:t>). Upon the issuance or delivery of Shares underlying vested RSUs, the Participant shall, if requested, certify in a manner acceptable to the Company that the Participant is in compliance with the terms and conditions of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2" w:name="page123"/>
    <w:bookmarkEnd w:id="122"/>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Restrictive Covenants. In the event the Participant has violated any Restrictive Covenant, the Participant shall immediately forfeit any remaining RSUs, in addition to any additional remedies available to the Company as set forth in the Restrictive Covenant Agreement or otherwise.</w:t>
      </w:r>
    </w:p>
    <w:p>
      <w:pPr>
        <w:spacing w:after="0" w:line="85" w:lineRule="exact"/>
        <w:rPr>
          <w:sz w:val="20"/>
          <w:szCs w:val="20"/>
          <w:color w:val="auto"/>
        </w:rPr>
      </w:pPr>
    </w:p>
    <w:p>
      <w:pPr>
        <w:ind w:right="180" w:firstLine="921"/>
        <w:spacing w:after="0" w:line="268" w:lineRule="auto"/>
        <w:tabs>
          <w:tab w:leader="none" w:pos="117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LAWS OF THE STATE OF NEW YORK WITHOUT REGARD TO CONFLICTS OF LAW.</w:t>
      </w:r>
    </w:p>
    <w:p>
      <w:pPr>
        <w:spacing w:after="0" w:line="131" w:lineRule="exact"/>
        <w:rPr>
          <w:rFonts w:ascii="Arial" w:cs="Arial" w:eastAsia="Arial" w:hAnsi="Arial"/>
          <w:sz w:val="18"/>
          <w:szCs w:val="18"/>
          <w:color w:val="auto"/>
        </w:rPr>
      </w:pPr>
    </w:p>
    <w:p>
      <w:pPr>
        <w:ind w:firstLine="921"/>
        <w:spacing w:after="0" w:line="259" w:lineRule="auto"/>
        <w:tabs>
          <w:tab w:leader="none" w:pos="117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RSUs Subject to Plan</w:t>
      </w:r>
      <w:r>
        <w:rPr>
          <w:rFonts w:ascii="Arial" w:cs="Arial" w:eastAsia="Arial" w:hAnsi="Arial"/>
          <w:sz w:val="18"/>
          <w:szCs w:val="18"/>
          <w:color w:val="auto"/>
        </w:rPr>
        <w:t>. By entering into this Agreement, the Participant agrees and acknowledges that the Participant has received and read a copy of the Plan. All RSUs are subject to the Plan. In the event of a conflict between any term or provision contained herein and a term or provision of the Plan, the applicable terms and provisions of the Plan will govern and prevail.</w:t>
      </w:r>
    </w:p>
    <w:p>
      <w:pPr>
        <w:spacing w:after="0" w:line="140" w:lineRule="exact"/>
        <w:rPr>
          <w:rFonts w:ascii="Arial" w:cs="Arial" w:eastAsia="Arial" w:hAnsi="Arial"/>
          <w:sz w:val="18"/>
          <w:szCs w:val="18"/>
          <w:color w:val="auto"/>
        </w:rPr>
      </w:pPr>
    </w:p>
    <w:p>
      <w:pPr>
        <w:ind w:right="340" w:firstLine="921"/>
        <w:spacing w:after="0" w:line="268" w:lineRule="auto"/>
        <w:tabs>
          <w:tab w:leader="none" w:pos="117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80" w:right="39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date first above written.</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2540</wp:posOffset>
            </wp:positionV>
            <wp:extent cx="2718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8"/>
          <w:szCs w:val="18"/>
          <w:color w:val="auto"/>
        </w:rPr>
        <w:t>Nicol Grosso</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Director-Human Resources</w:t>
      </w:r>
    </w:p>
    <w:p>
      <w:pPr>
        <w:spacing w:after="0" w:line="327" w:lineRule="exact"/>
        <w:rPr>
          <w:sz w:val="20"/>
          <w:szCs w:val="20"/>
          <w:color w:val="auto"/>
        </w:rPr>
      </w:pPr>
    </w:p>
    <w:p>
      <w:pPr>
        <w:jc w:val="center"/>
        <w:ind w:left="1900"/>
        <w:spacing w:after="0" w:line="440" w:lineRule="auto"/>
        <w:rPr>
          <w:sz w:val="20"/>
          <w:szCs w:val="20"/>
          <w:color w:val="auto"/>
        </w:rPr>
      </w:pPr>
      <w:r>
        <w:rPr>
          <w:rFonts w:ascii="Arial" w:cs="Arial" w:eastAsia="Arial" w:hAnsi="Arial"/>
          <w:sz w:val="18"/>
          <w:szCs w:val="18"/>
          <w:color w:val="auto"/>
        </w:rPr>
        <w:t>[EVERCORE PARTNERS INC. SIGNATURE PAGE TO RESTRICTED STOCK UNIT AWARD AGREEMENT] 5</w:t>
      </w:r>
    </w:p>
    <w:p>
      <w:pPr>
        <w:sectPr>
          <w:pgSz w:w="11900" w:h="16838" w:orient="portrait"/>
          <w:cols w:equalWidth="0" w:num="1">
            <w:col w:w="9299"/>
          </w:cols>
          <w:pgMar w:left="1160" w:top="280" w:right="1440"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date first above written.</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2540</wp:posOffset>
            </wp:positionV>
            <wp:extent cx="26930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8"/>
          <w:szCs w:val="18"/>
          <w:color w:val="auto"/>
        </w:rPr>
        <w:t>Employee Name</w:t>
      </w:r>
    </w:p>
    <w:p>
      <w:pPr>
        <w:spacing w:after="0" w:line="24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[PARTICIPANT SIGNATURE PAGE TO RESTRICTED STOCK UNIT AWARD AGREEMENT]</w:t>
      </w:r>
    </w:p>
    <w:p>
      <w:pPr>
        <w:spacing w:after="0" w:line="18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299"/>
          </w:cols>
          <w:pgMar w:left="1160" w:top="280"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10.23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EVERCORE MEXICO PARTNERS II, L.P.</w:t>
      </w:r>
    </w:p>
    <w:p>
      <w:pPr>
        <w:spacing w:after="0" w:line="18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An Ontario Limited Partnership</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Amended and Restated</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Limited Partnership Agreement</w:t>
      </w:r>
    </w:p>
    <w:p>
      <w:pPr>
        <w:spacing w:after="0" w:line="16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December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302895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337185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NEITHER EVERCORE MEXICO PARTNERS II, L.P. NOR THE LIMITED PARTNER INTERESTS THEREIN HAVE BEEN OR WILL BE REGISTERED UNDER THE U.S. SECURITIES ACT OF 1933, AS AMENDED, THE U.S. INVESTMENT PARTNERSHIP ACT OF 1940, AS AMENDED, THE SECURITIES LAWS OF ANY OF THE STATES OF THE UNITED STATES OR THE SECURITIES LAWS OF ANY FOREIGN JURISDICTION.</w:t>
      </w:r>
    </w:p>
    <w:p>
      <w:pPr>
        <w:spacing w:after="0" w:line="1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DELIVERY OF THIS LIMITED PARTNERSHIP AGREEMENT SHALL NOT CONSTITUTE AN OFFER TO SELL OR THE SOLICITATION OF AN OFFER TO BUY NOR SHALL THERE BE ANY OFFER, SOLICITATION OR SALE OF LIMITED PARTNER INTERESTS IN EVERCORE MEXICO PARTNERS II, L.P. IN ANY JURISDICTION IN WHICH SUCH OFFER, SOLICITATION OR SALE IS NOT AUTHORIZED OR TO ANY PERSON TO WHOM IT IS UNLAWFUL TO MAKE SUCH OFFER, SOLICITATION OR SALE.</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LIMITED PARTNER INTERESTS IN EVERCORE MEXICO PARTNERS II, L.P. ARE SUBJECT TO RESTRICTIONS ON TRANSFERABILITY AND RESALE, MAY NOT BE TRANSFERRED OR RESOLD EXCEPT AS PERMITTED UNDER APPLICABLE FEDERAL, STATE OR FOREIGN SECURITIES LAWS AND MAY NOT BE SOLD OR OTHERWISE TRANSFERRED EXCEPT IN ACCORDANCE WITH THE REQUIREMENTS AND CONDITIONS SET FORTH IN THIS LIMITED PARTNERSHIP AGREEMENT.</w:t>
      </w:r>
    </w:p>
    <w:p>
      <w:pPr>
        <w:sectPr>
          <w:pgSz w:w="11900" w:h="16838" w:orient="portrait"/>
          <w:cols w:equalWidth="0" w:num="1">
            <w:col w:w="11380"/>
          </w:cols>
          <w:pgMar w:left="240" w:top="280" w:right="27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980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340" w:type="dxa"/>
            <w:vAlign w:val="bottom"/>
          </w:tcPr>
          <w:p>
            <w:pPr>
              <w:spacing w:after="0"/>
              <w:rPr>
                <w:sz w:val="24"/>
                <w:szCs w:val="24"/>
                <w:color w:val="auto"/>
              </w:rPr>
            </w:pPr>
          </w:p>
        </w:tc>
        <w:tc>
          <w:tcPr>
            <w:tcW w:w="9800" w:type="dxa"/>
            <w:vAlign w:val="bottom"/>
            <w:vMerge w:val="restart"/>
          </w:tcPr>
          <w:p>
            <w:pPr>
              <w:jc w:val="center"/>
              <w:ind w:left="32"/>
              <w:spacing w:after="0"/>
              <w:rPr>
                <w:sz w:val="20"/>
                <w:szCs w:val="20"/>
                <w:color w:val="auto"/>
              </w:rPr>
            </w:pPr>
            <w:r>
              <w:rPr>
                <w:rFonts w:ascii="Arial" w:cs="Arial" w:eastAsia="Arial" w:hAnsi="Arial"/>
                <w:sz w:val="18"/>
                <w:szCs w:val="18"/>
                <w:color w:val="auto"/>
                <w:w w:val="95"/>
              </w:rPr>
              <w:t>ARTICLE I DEFINITIONS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34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SECTION 1.1</w:t>
            </w:r>
          </w:p>
        </w:tc>
        <w:tc>
          <w:tcPr>
            <w:tcW w:w="980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1.2</w:t>
            </w:r>
          </w:p>
        </w:tc>
        <w:tc>
          <w:tcPr>
            <w:tcW w:w="9800" w:type="dxa"/>
            <w:vAlign w:val="bottom"/>
          </w:tcPr>
          <w:p>
            <w:pPr>
              <w:ind w:left="340"/>
              <w:spacing w:after="0"/>
              <w:rPr>
                <w:sz w:val="20"/>
                <w:szCs w:val="20"/>
                <w:color w:val="auto"/>
              </w:rPr>
            </w:pPr>
            <w:r>
              <w:rPr>
                <w:rFonts w:ascii="Arial" w:cs="Arial" w:eastAsia="Arial" w:hAnsi="Arial"/>
                <w:sz w:val="18"/>
                <w:szCs w:val="18"/>
                <w:color w:val="auto"/>
              </w:rPr>
              <w:t>Terms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4"/>
                <w:szCs w:val="24"/>
                <w:color w:val="auto"/>
              </w:rPr>
            </w:pPr>
          </w:p>
        </w:tc>
        <w:tc>
          <w:tcPr>
            <w:tcW w:w="9800" w:type="dxa"/>
            <w:vAlign w:val="bottom"/>
          </w:tcPr>
          <w:p>
            <w:pPr>
              <w:jc w:val="center"/>
              <w:ind w:left="32"/>
              <w:spacing w:after="0"/>
              <w:rPr>
                <w:sz w:val="20"/>
                <w:szCs w:val="20"/>
                <w:color w:val="auto"/>
              </w:rPr>
            </w:pPr>
            <w:r>
              <w:rPr>
                <w:rFonts w:ascii="Arial" w:cs="Arial" w:eastAsia="Arial" w:hAnsi="Arial"/>
                <w:sz w:val="18"/>
                <w:szCs w:val="18"/>
                <w:color w:val="auto"/>
                <w:w w:val="94"/>
              </w:rPr>
              <w:t>ARTICLE II GENERAL PROVISIONS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w:t>
            </w:r>
          </w:p>
        </w:tc>
        <w:tc>
          <w:tcPr>
            <w:tcW w:w="9800" w:type="dxa"/>
            <w:vAlign w:val="bottom"/>
          </w:tcPr>
          <w:p>
            <w:pPr>
              <w:ind w:left="340"/>
              <w:spacing w:after="0"/>
              <w:rPr>
                <w:sz w:val="20"/>
                <w:szCs w:val="20"/>
                <w:color w:val="auto"/>
              </w:rPr>
            </w:pPr>
            <w:r>
              <w:rPr>
                <w:rFonts w:ascii="Arial" w:cs="Arial" w:eastAsia="Arial" w:hAnsi="Arial"/>
                <w:sz w:val="18"/>
                <w:szCs w:val="18"/>
                <w:color w:val="auto"/>
              </w:rPr>
              <w:t>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2.2</w:t>
            </w:r>
          </w:p>
        </w:tc>
        <w:tc>
          <w:tcPr>
            <w:tcW w:w="9800" w:type="dxa"/>
            <w:vAlign w:val="bottom"/>
          </w:tcPr>
          <w:p>
            <w:pPr>
              <w:ind w:left="340"/>
              <w:spacing w:after="0"/>
              <w:rPr>
                <w:sz w:val="20"/>
                <w:szCs w:val="20"/>
                <w:color w:val="auto"/>
              </w:rPr>
            </w:pPr>
            <w:r>
              <w:rPr>
                <w:rFonts w:ascii="Arial" w:cs="Arial" w:eastAsia="Arial" w:hAnsi="Arial"/>
                <w:sz w:val="18"/>
                <w:szCs w:val="18"/>
                <w:color w:val="auto"/>
              </w:rPr>
              <w:t>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2.3</w:t>
            </w:r>
          </w:p>
        </w:tc>
        <w:tc>
          <w:tcPr>
            <w:tcW w:w="9800" w:type="dxa"/>
            <w:vAlign w:val="bottom"/>
          </w:tcPr>
          <w:p>
            <w:pPr>
              <w:ind w:left="340"/>
              <w:spacing w:after="0"/>
              <w:rPr>
                <w:sz w:val="20"/>
                <w:szCs w:val="20"/>
                <w:color w:val="auto"/>
              </w:rPr>
            </w:pPr>
            <w:r>
              <w:rPr>
                <w:rFonts w:ascii="Arial" w:cs="Arial" w:eastAsia="Arial" w:hAnsi="Arial"/>
                <w:sz w:val="18"/>
                <w:szCs w:val="18"/>
                <w:color w:val="auto"/>
              </w:rPr>
              <w:t>Name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2.4</w:t>
            </w:r>
          </w:p>
        </w:tc>
        <w:tc>
          <w:tcPr>
            <w:tcW w:w="9800" w:type="dxa"/>
            <w:vAlign w:val="bottom"/>
          </w:tcPr>
          <w:p>
            <w:pPr>
              <w:ind w:left="340"/>
              <w:spacing w:after="0"/>
              <w:rPr>
                <w:sz w:val="20"/>
                <w:szCs w:val="20"/>
                <w:color w:val="auto"/>
              </w:rPr>
            </w:pPr>
            <w:r>
              <w:rPr>
                <w:rFonts w:ascii="Arial" w:cs="Arial" w:eastAsia="Arial" w:hAnsi="Arial"/>
                <w:sz w:val="18"/>
                <w:szCs w:val="18"/>
                <w:color w:val="auto"/>
              </w:rPr>
              <w:t>Liability of the Partners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2.5</w:t>
            </w:r>
          </w:p>
        </w:tc>
        <w:tc>
          <w:tcPr>
            <w:tcW w:w="9800" w:type="dxa"/>
            <w:vAlign w:val="bottom"/>
          </w:tcPr>
          <w:p>
            <w:pPr>
              <w:ind w:left="340"/>
              <w:spacing w:after="0"/>
              <w:rPr>
                <w:sz w:val="20"/>
                <w:szCs w:val="20"/>
                <w:color w:val="auto"/>
              </w:rPr>
            </w:pPr>
            <w:r>
              <w:rPr>
                <w:rFonts w:ascii="Arial" w:cs="Arial" w:eastAsia="Arial" w:hAnsi="Arial"/>
                <w:sz w:val="18"/>
                <w:szCs w:val="18"/>
                <w:color w:val="auto"/>
              </w:rPr>
              <w:t>Term</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2.6</w:t>
            </w:r>
          </w:p>
        </w:tc>
        <w:tc>
          <w:tcPr>
            <w:tcW w:w="9800" w:type="dxa"/>
            <w:vAlign w:val="bottom"/>
          </w:tcPr>
          <w:p>
            <w:pPr>
              <w:ind w:left="340"/>
              <w:spacing w:after="0"/>
              <w:rPr>
                <w:sz w:val="20"/>
                <w:szCs w:val="20"/>
                <w:color w:val="auto"/>
              </w:rPr>
            </w:pPr>
            <w:r>
              <w:rPr>
                <w:rFonts w:ascii="Arial" w:cs="Arial" w:eastAsia="Arial" w:hAnsi="Arial"/>
                <w:sz w:val="18"/>
                <w:szCs w:val="18"/>
                <w:color w:val="auto"/>
              </w:rPr>
              <w:t>Purpose; Powers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2.7</w:t>
            </w:r>
          </w:p>
        </w:tc>
        <w:tc>
          <w:tcPr>
            <w:tcW w:w="9800" w:type="dxa"/>
            <w:vAlign w:val="bottom"/>
          </w:tcPr>
          <w:p>
            <w:pPr>
              <w:ind w:left="340"/>
              <w:spacing w:after="0"/>
              <w:rPr>
                <w:sz w:val="20"/>
                <w:szCs w:val="20"/>
                <w:color w:val="auto"/>
              </w:rPr>
            </w:pPr>
            <w:r>
              <w:rPr>
                <w:rFonts w:ascii="Arial" w:cs="Arial" w:eastAsia="Arial" w:hAnsi="Arial"/>
                <w:sz w:val="18"/>
                <w:szCs w:val="18"/>
                <w:color w:val="auto"/>
              </w:rPr>
              <w:t>Principal Place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2.8</w:t>
            </w:r>
          </w:p>
        </w:tc>
        <w:tc>
          <w:tcPr>
            <w:tcW w:w="9800" w:type="dxa"/>
            <w:vAlign w:val="bottom"/>
          </w:tcPr>
          <w:p>
            <w:pPr>
              <w:ind w:left="340"/>
              <w:spacing w:after="0"/>
              <w:rPr>
                <w:sz w:val="20"/>
                <w:szCs w:val="20"/>
                <w:color w:val="auto"/>
              </w:rPr>
            </w:pPr>
            <w:r>
              <w:rPr>
                <w:rFonts w:ascii="Arial" w:cs="Arial" w:eastAsia="Arial" w:hAnsi="Arial"/>
                <w:sz w:val="18"/>
                <w:szCs w:val="18"/>
                <w:color w:val="auto"/>
              </w:rPr>
              <w:t>Office</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2.9</w:t>
            </w:r>
          </w:p>
        </w:tc>
        <w:tc>
          <w:tcPr>
            <w:tcW w:w="9800" w:type="dxa"/>
            <w:vAlign w:val="bottom"/>
          </w:tcPr>
          <w:p>
            <w:pPr>
              <w:ind w:left="340"/>
              <w:spacing w:after="0"/>
              <w:rPr>
                <w:sz w:val="20"/>
                <w:szCs w:val="20"/>
                <w:color w:val="auto"/>
              </w:rPr>
            </w:pPr>
            <w:r>
              <w:rPr>
                <w:rFonts w:ascii="Arial" w:cs="Arial" w:eastAsia="Arial" w:hAnsi="Arial"/>
                <w:sz w:val="18"/>
                <w:szCs w:val="18"/>
                <w:color w:val="auto"/>
              </w:rPr>
              <w:t>Admission of Limited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4"/>
                <w:szCs w:val="24"/>
                <w:color w:val="auto"/>
              </w:rPr>
            </w:pPr>
          </w:p>
        </w:tc>
        <w:tc>
          <w:tcPr>
            <w:tcW w:w="9800" w:type="dxa"/>
            <w:vAlign w:val="bottom"/>
          </w:tcPr>
          <w:p>
            <w:pPr>
              <w:jc w:val="center"/>
              <w:ind w:left="32"/>
              <w:spacing w:after="0"/>
              <w:rPr>
                <w:sz w:val="20"/>
                <w:szCs w:val="20"/>
                <w:color w:val="auto"/>
              </w:rPr>
            </w:pPr>
            <w:r>
              <w:rPr>
                <w:rFonts w:ascii="Arial" w:cs="Arial" w:eastAsia="Arial" w:hAnsi="Arial"/>
                <w:sz w:val="18"/>
                <w:szCs w:val="18"/>
                <w:color w:val="auto"/>
                <w:w w:val="94"/>
              </w:rPr>
              <w:t>ARTICLE III MANAGEMENT AND OPERATION OF THE PARTNERSHIP</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SECTION 3.1</w:t>
            </w:r>
          </w:p>
        </w:tc>
        <w:tc>
          <w:tcPr>
            <w:tcW w:w="9800" w:type="dxa"/>
            <w:vAlign w:val="bottom"/>
          </w:tcPr>
          <w:p>
            <w:pPr>
              <w:ind w:left="340"/>
              <w:spacing w:after="0"/>
              <w:rPr>
                <w:sz w:val="20"/>
                <w:szCs w:val="20"/>
                <w:color w:val="auto"/>
              </w:rPr>
            </w:pPr>
            <w:r>
              <w:rPr>
                <w:rFonts w:ascii="Arial" w:cs="Arial" w:eastAsia="Arial" w:hAnsi="Arial"/>
                <w:sz w:val="18"/>
                <w:szCs w:val="18"/>
                <w:color w:val="auto"/>
              </w:rPr>
              <w:t>General Partner</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3.2</w:t>
            </w:r>
          </w:p>
        </w:tc>
        <w:tc>
          <w:tcPr>
            <w:tcW w:w="9800" w:type="dxa"/>
            <w:vAlign w:val="bottom"/>
          </w:tcPr>
          <w:p>
            <w:pPr>
              <w:ind w:left="340"/>
              <w:spacing w:after="0"/>
              <w:rPr>
                <w:sz w:val="20"/>
                <w:szCs w:val="20"/>
                <w:color w:val="auto"/>
              </w:rPr>
            </w:pPr>
            <w:r>
              <w:rPr>
                <w:rFonts w:ascii="Arial" w:cs="Arial" w:eastAsia="Arial" w:hAnsi="Arial"/>
                <w:sz w:val="18"/>
                <w:szCs w:val="18"/>
                <w:color w:val="auto"/>
              </w:rPr>
              <w:t>Exculpation and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3.3</w:t>
            </w:r>
          </w:p>
        </w:tc>
        <w:tc>
          <w:tcPr>
            <w:tcW w:w="9800" w:type="dxa"/>
            <w:vAlign w:val="bottom"/>
          </w:tcPr>
          <w:p>
            <w:pPr>
              <w:ind w:left="34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4"/>
                <w:szCs w:val="24"/>
                <w:color w:val="auto"/>
              </w:rPr>
            </w:pPr>
          </w:p>
        </w:tc>
        <w:tc>
          <w:tcPr>
            <w:tcW w:w="9800" w:type="dxa"/>
            <w:vAlign w:val="bottom"/>
          </w:tcPr>
          <w:p>
            <w:pPr>
              <w:jc w:val="center"/>
              <w:ind w:left="32"/>
              <w:spacing w:after="0"/>
              <w:rPr>
                <w:sz w:val="20"/>
                <w:szCs w:val="20"/>
                <w:color w:val="auto"/>
              </w:rPr>
            </w:pPr>
            <w:r>
              <w:rPr>
                <w:rFonts w:ascii="Arial" w:cs="Arial" w:eastAsia="Arial" w:hAnsi="Arial"/>
                <w:sz w:val="18"/>
                <w:szCs w:val="18"/>
                <w:color w:val="auto"/>
                <w:w w:val="95"/>
              </w:rPr>
              <w:t>ARTICLE IV DISTRIBUTIONS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0"/>
                <w:szCs w:val="20"/>
                <w:color w:val="auto"/>
              </w:rPr>
            </w:pPr>
            <w:r>
              <w:rPr>
                <w:rFonts w:ascii="Arial" w:cs="Arial" w:eastAsia="Arial" w:hAnsi="Arial"/>
                <w:sz w:val="18"/>
                <w:szCs w:val="18"/>
                <w:color w:val="auto"/>
              </w:rPr>
              <w:t>SECTION 4.1</w:t>
            </w:r>
          </w:p>
        </w:tc>
        <w:tc>
          <w:tcPr>
            <w:tcW w:w="9800" w:type="dxa"/>
            <w:vAlign w:val="bottom"/>
          </w:tcPr>
          <w:p>
            <w:pPr>
              <w:ind w:left="340"/>
              <w:spacing w:after="0"/>
              <w:rPr>
                <w:sz w:val="20"/>
                <w:szCs w:val="20"/>
                <w:color w:val="auto"/>
              </w:rPr>
            </w:pPr>
            <w:r>
              <w:rPr>
                <w:rFonts w:ascii="Arial" w:cs="Arial" w:eastAsia="Arial" w:hAnsi="Arial"/>
                <w:sz w:val="18"/>
                <w:szCs w:val="18"/>
                <w:color w:val="auto"/>
              </w:rPr>
              <w:t>Distributions — General Principles and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4.2</w:t>
            </w:r>
          </w:p>
        </w:tc>
        <w:tc>
          <w:tcPr>
            <w:tcW w:w="9800" w:type="dxa"/>
            <w:vAlign w:val="bottom"/>
          </w:tcPr>
          <w:p>
            <w:pPr>
              <w:ind w:left="340"/>
              <w:spacing w:after="0"/>
              <w:rPr>
                <w:sz w:val="20"/>
                <w:szCs w:val="20"/>
                <w:color w:val="auto"/>
              </w:rPr>
            </w:pPr>
            <w:r>
              <w:rPr>
                <w:rFonts w:ascii="Arial" w:cs="Arial" w:eastAsia="Arial" w:hAnsi="Arial"/>
                <w:sz w:val="18"/>
                <w:szCs w:val="18"/>
                <w:color w:val="auto"/>
              </w:rPr>
              <w:t>Amounts and Priority of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4.3</w:t>
            </w:r>
          </w:p>
        </w:tc>
        <w:tc>
          <w:tcPr>
            <w:tcW w:w="9800" w:type="dxa"/>
            <w:vAlign w:val="bottom"/>
          </w:tcPr>
          <w:p>
            <w:pPr>
              <w:ind w:left="340"/>
              <w:spacing w:after="0"/>
              <w:rPr>
                <w:sz w:val="20"/>
                <w:szCs w:val="20"/>
                <w:color w:val="auto"/>
              </w:rPr>
            </w:pPr>
            <w:r>
              <w:rPr>
                <w:rFonts w:ascii="Arial" w:cs="Arial" w:eastAsia="Arial" w:hAnsi="Arial"/>
                <w:sz w:val="18"/>
                <w:szCs w:val="18"/>
                <w:color w:val="auto"/>
              </w:rPr>
              <w:t>Certain Adjustments in Profit Sharing Percentages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4.4</w:t>
            </w:r>
          </w:p>
        </w:tc>
        <w:tc>
          <w:tcPr>
            <w:tcW w:w="9800" w:type="dxa"/>
            <w:vAlign w:val="bottom"/>
          </w:tcPr>
          <w:p>
            <w:pPr>
              <w:ind w:left="340"/>
              <w:spacing w:after="0"/>
              <w:rPr>
                <w:sz w:val="20"/>
                <w:szCs w:val="20"/>
                <w:color w:val="auto"/>
              </w:rPr>
            </w:pPr>
            <w:r>
              <w:rPr>
                <w:rFonts w:ascii="Arial" w:cs="Arial" w:eastAsia="Arial" w:hAnsi="Arial"/>
                <w:sz w:val="18"/>
                <w:szCs w:val="18"/>
                <w:color w:val="auto"/>
              </w:rPr>
              <w:t>Repurchase Rights Following Termination of Employment and Default with Respect to Capital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4.5</w:t>
            </w:r>
          </w:p>
        </w:tc>
        <w:tc>
          <w:tcPr>
            <w:tcW w:w="9800" w:type="dxa"/>
            <w:vAlign w:val="bottom"/>
          </w:tcPr>
          <w:p>
            <w:pPr>
              <w:ind w:left="340"/>
              <w:spacing w:after="0"/>
              <w:rPr>
                <w:sz w:val="20"/>
                <w:szCs w:val="20"/>
                <w:color w:val="auto"/>
              </w:rPr>
            </w:pPr>
            <w:r>
              <w:rPr>
                <w:rFonts w:ascii="Arial" w:cs="Arial" w:eastAsia="Arial" w:hAnsi="Arial"/>
                <w:sz w:val="18"/>
                <w:szCs w:val="18"/>
                <w:color w:val="auto"/>
              </w:rPr>
              <w:t>Holdback Account; Payment of Give-Back Obligation to the Fund</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26"/>
        </w:trPr>
        <w:tc>
          <w:tcPr>
            <w:tcW w:w="1340" w:type="dxa"/>
            <w:vAlign w:val="bottom"/>
          </w:tcPr>
          <w:p>
            <w:pPr>
              <w:spacing w:after="0"/>
              <w:rPr>
                <w:sz w:val="24"/>
                <w:szCs w:val="24"/>
                <w:color w:val="auto"/>
              </w:rPr>
            </w:pPr>
          </w:p>
        </w:tc>
        <w:tc>
          <w:tcPr>
            <w:tcW w:w="9800" w:type="dxa"/>
            <w:vAlign w:val="bottom"/>
          </w:tcPr>
          <w:p>
            <w:pPr>
              <w:jc w:val="center"/>
              <w:ind w:left="32"/>
              <w:spacing w:after="0"/>
              <w:rPr>
                <w:sz w:val="20"/>
                <w:szCs w:val="20"/>
                <w:color w:val="auto"/>
              </w:rPr>
            </w:pPr>
            <w:r>
              <w:rPr>
                <w:rFonts w:ascii="Arial" w:cs="Arial" w:eastAsia="Arial" w:hAnsi="Arial"/>
                <w:sz w:val="18"/>
                <w:szCs w:val="18"/>
                <w:color w:val="auto"/>
                <w:w w:val="95"/>
              </w:rPr>
              <w:t>ARTICLE V CAPITAL CONTRIBUTIONS AND CAPITAL COMMITMENTS;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9800" w:type="dxa"/>
            <w:vAlign w:val="bottom"/>
          </w:tcPr>
          <w:p>
            <w:pPr>
              <w:jc w:val="center"/>
              <w:ind w:left="32"/>
              <w:spacing w:after="0"/>
              <w:rPr>
                <w:sz w:val="20"/>
                <w:szCs w:val="20"/>
                <w:color w:val="auto"/>
              </w:rPr>
            </w:pPr>
            <w:r>
              <w:rPr>
                <w:rFonts w:ascii="Arial" w:cs="Arial" w:eastAsia="Arial" w:hAnsi="Arial"/>
                <w:sz w:val="18"/>
                <w:szCs w:val="18"/>
                <w:color w:val="auto"/>
                <w:w w:val="92"/>
              </w:rPr>
              <w:t>ALLOCATIONS; EXPENSES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340" w:type="dxa"/>
            <w:vAlign w:val="bottom"/>
          </w:tcPr>
          <w:p>
            <w:pPr>
              <w:spacing w:after="0"/>
              <w:rPr>
                <w:sz w:val="20"/>
                <w:szCs w:val="20"/>
                <w:color w:val="auto"/>
              </w:rPr>
            </w:pPr>
            <w:r>
              <w:rPr>
                <w:rFonts w:ascii="Arial" w:cs="Arial" w:eastAsia="Arial" w:hAnsi="Arial"/>
                <w:sz w:val="18"/>
                <w:szCs w:val="18"/>
                <w:color w:val="auto"/>
              </w:rPr>
              <w:t>SECTION 5.1</w:t>
            </w:r>
          </w:p>
        </w:tc>
        <w:tc>
          <w:tcPr>
            <w:tcW w:w="9800" w:type="dxa"/>
            <w:vAlign w:val="bottom"/>
          </w:tcPr>
          <w:p>
            <w:pPr>
              <w:ind w:left="340"/>
              <w:spacing w:after="0"/>
              <w:rPr>
                <w:sz w:val="20"/>
                <w:szCs w:val="20"/>
                <w:color w:val="auto"/>
              </w:rPr>
            </w:pPr>
            <w:r>
              <w:rPr>
                <w:rFonts w:ascii="Arial" w:cs="Arial" w:eastAsia="Arial" w:hAnsi="Arial"/>
                <w:sz w:val="18"/>
                <w:szCs w:val="18"/>
                <w:color w:val="auto"/>
              </w:rPr>
              <w:t>Capital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5.2</w:t>
            </w:r>
          </w:p>
        </w:tc>
        <w:tc>
          <w:tcPr>
            <w:tcW w:w="9800" w:type="dxa"/>
            <w:vAlign w:val="bottom"/>
          </w:tcPr>
          <w:p>
            <w:pPr>
              <w:ind w:left="340"/>
              <w:spacing w:after="0"/>
              <w:rPr>
                <w:sz w:val="20"/>
                <w:szCs w:val="20"/>
                <w:color w:val="auto"/>
              </w:rPr>
            </w:pPr>
            <w:r>
              <w:rPr>
                <w:rFonts w:ascii="Arial" w:cs="Arial" w:eastAsia="Arial" w:hAnsi="Arial"/>
                <w:sz w:val="18"/>
                <w:szCs w:val="18"/>
                <w:color w:val="auto"/>
              </w:rPr>
              <w:t>Capital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5.3</w:t>
            </w:r>
          </w:p>
        </w:tc>
        <w:tc>
          <w:tcPr>
            <w:tcW w:w="9800" w:type="dxa"/>
            <w:vAlign w:val="bottom"/>
          </w:tcPr>
          <w:p>
            <w:pPr>
              <w:ind w:left="340"/>
              <w:spacing w:after="0"/>
              <w:rPr>
                <w:sz w:val="20"/>
                <w:szCs w:val="20"/>
                <w:color w:val="auto"/>
              </w:rPr>
            </w:pPr>
            <w:r>
              <w:rPr>
                <w:rFonts w:ascii="Arial" w:cs="Arial" w:eastAsia="Arial" w:hAnsi="Arial"/>
                <w:sz w:val="18"/>
                <w:szCs w:val="18"/>
                <w:color w:val="auto"/>
              </w:rPr>
              <w:t>Allocations of Profits and Losses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5.4</w:t>
            </w:r>
          </w:p>
        </w:tc>
        <w:tc>
          <w:tcPr>
            <w:tcW w:w="9800" w:type="dxa"/>
            <w:vAlign w:val="bottom"/>
          </w:tcPr>
          <w:p>
            <w:pPr>
              <w:ind w:left="340"/>
              <w:spacing w:after="0"/>
              <w:rPr>
                <w:sz w:val="20"/>
                <w:szCs w:val="20"/>
                <w:color w:val="auto"/>
              </w:rPr>
            </w:pPr>
            <w:r>
              <w:rPr>
                <w:rFonts w:ascii="Arial" w:cs="Arial" w:eastAsia="Arial" w:hAnsi="Arial"/>
                <w:sz w:val="18"/>
                <w:szCs w:val="18"/>
                <w:color w:val="auto"/>
              </w:rPr>
              <w:t>Special Allocations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5.5</w:t>
            </w:r>
          </w:p>
        </w:tc>
        <w:tc>
          <w:tcPr>
            <w:tcW w:w="9800" w:type="dxa"/>
            <w:vAlign w:val="bottom"/>
          </w:tcPr>
          <w:p>
            <w:pPr>
              <w:ind w:left="340"/>
              <w:spacing w:after="0"/>
              <w:rPr>
                <w:sz w:val="20"/>
                <w:szCs w:val="20"/>
                <w:color w:val="auto"/>
              </w:rPr>
            </w:pPr>
            <w:r>
              <w:rPr>
                <w:rFonts w:ascii="Arial" w:cs="Arial" w:eastAsia="Arial" w:hAnsi="Arial"/>
                <w:sz w:val="18"/>
                <w:szCs w:val="18"/>
                <w:color w:val="auto"/>
              </w:rPr>
              <w:t>Tax Allocations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5.6</w:t>
            </w:r>
          </w:p>
        </w:tc>
        <w:tc>
          <w:tcPr>
            <w:tcW w:w="9800" w:type="dxa"/>
            <w:vAlign w:val="bottom"/>
          </w:tcPr>
          <w:p>
            <w:pPr>
              <w:ind w:left="340"/>
              <w:spacing w:after="0"/>
              <w:rPr>
                <w:sz w:val="20"/>
                <w:szCs w:val="20"/>
                <w:color w:val="auto"/>
              </w:rPr>
            </w:pPr>
            <w:r>
              <w:rPr>
                <w:rFonts w:ascii="Arial" w:cs="Arial" w:eastAsia="Arial" w:hAnsi="Arial"/>
                <w:sz w:val="18"/>
                <w:szCs w:val="18"/>
                <w:color w:val="auto"/>
              </w:rPr>
              <w:t>Tax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SECTION 5.7</w:t>
            </w:r>
          </w:p>
        </w:tc>
        <w:tc>
          <w:tcPr>
            <w:tcW w:w="9800" w:type="dxa"/>
            <w:vAlign w:val="bottom"/>
          </w:tcPr>
          <w:p>
            <w:pPr>
              <w:ind w:left="34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970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9700" w:type="dxa"/>
            <w:vAlign w:val="bottom"/>
          </w:tcPr>
          <w:p>
            <w:pPr>
              <w:ind w:left="3820"/>
              <w:spacing w:after="0"/>
              <w:rPr>
                <w:sz w:val="20"/>
                <w:szCs w:val="20"/>
                <w:color w:val="auto"/>
              </w:rPr>
            </w:pPr>
            <w:r>
              <w:rPr>
                <w:rFonts w:ascii="Arial" w:cs="Arial" w:eastAsia="Arial" w:hAnsi="Arial"/>
                <w:sz w:val="18"/>
                <w:szCs w:val="18"/>
                <w:b w:val="1"/>
                <w:bCs w:val="1"/>
                <w:color w:val="auto"/>
              </w:rPr>
              <w:t>(Continued)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9700" w:type="dxa"/>
            <w:vAlign w:val="bottom"/>
            <w:vMerge w:val="restart"/>
          </w:tcPr>
          <w:p>
            <w:pPr>
              <w:jc w:val="center"/>
              <w:spacing w:after="0"/>
              <w:rPr>
                <w:sz w:val="20"/>
                <w:szCs w:val="20"/>
                <w:color w:val="auto"/>
              </w:rPr>
            </w:pPr>
            <w:r>
              <w:rPr>
                <w:rFonts w:ascii="Arial" w:cs="Arial" w:eastAsia="Arial" w:hAnsi="Arial"/>
                <w:sz w:val="18"/>
                <w:szCs w:val="18"/>
                <w:color w:val="auto"/>
                <w:w w:val="94"/>
              </w:rPr>
              <w:t>ARTICLE VI BOOKS AND REPORTS; TAX MATTERS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97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SECTION 6.1</w:t>
            </w:r>
          </w:p>
        </w:tc>
        <w:tc>
          <w:tcPr>
            <w:tcW w:w="9700" w:type="dxa"/>
            <w:vAlign w:val="bottom"/>
          </w:tcPr>
          <w:p>
            <w:pPr>
              <w:ind w:left="240"/>
              <w:spacing w:after="0"/>
              <w:rPr>
                <w:sz w:val="20"/>
                <w:szCs w:val="20"/>
                <w:color w:val="auto"/>
              </w:rPr>
            </w:pPr>
            <w:r>
              <w:rPr>
                <w:rFonts w:ascii="Arial" w:cs="Arial" w:eastAsia="Arial" w:hAnsi="Arial"/>
                <w:sz w:val="18"/>
                <w:szCs w:val="18"/>
                <w:color w:val="auto"/>
              </w:rPr>
              <w:t>General Accounting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6.2</w:t>
            </w:r>
          </w:p>
        </w:tc>
        <w:tc>
          <w:tcPr>
            <w:tcW w:w="970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6.3</w:t>
            </w:r>
          </w:p>
        </w:tc>
        <w:tc>
          <w:tcPr>
            <w:tcW w:w="9700" w:type="dxa"/>
            <w:vAlign w:val="bottom"/>
          </w:tcPr>
          <w:p>
            <w:pPr>
              <w:ind w:left="240"/>
              <w:spacing w:after="0"/>
              <w:rPr>
                <w:sz w:val="20"/>
                <w:szCs w:val="20"/>
                <w:color w:val="auto"/>
              </w:rPr>
            </w:pPr>
            <w:r>
              <w:rPr>
                <w:rFonts w:ascii="Arial" w:cs="Arial" w:eastAsia="Arial" w:hAnsi="Arial"/>
                <w:sz w:val="18"/>
                <w:szCs w:val="18"/>
                <w:color w:val="auto"/>
              </w:rPr>
              <w:t>Certain 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9700" w:type="dxa"/>
            <w:vAlign w:val="bottom"/>
          </w:tcPr>
          <w:p>
            <w:pPr>
              <w:jc w:val="center"/>
              <w:spacing w:after="0"/>
              <w:rPr>
                <w:sz w:val="20"/>
                <w:szCs w:val="20"/>
                <w:color w:val="auto"/>
              </w:rPr>
            </w:pPr>
            <w:r>
              <w:rPr>
                <w:rFonts w:ascii="Arial" w:cs="Arial" w:eastAsia="Arial" w:hAnsi="Arial"/>
                <w:sz w:val="18"/>
                <w:szCs w:val="18"/>
                <w:color w:val="auto"/>
                <w:w w:val="96"/>
              </w:rPr>
              <w:t>ARTICLE VII DISSOLUTION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SECTION 7.1</w:t>
            </w:r>
          </w:p>
        </w:tc>
        <w:tc>
          <w:tcPr>
            <w:tcW w:w="9700" w:type="dxa"/>
            <w:vAlign w:val="bottom"/>
          </w:tcPr>
          <w:p>
            <w:pPr>
              <w:ind w:left="240"/>
              <w:spacing w:after="0"/>
              <w:rPr>
                <w:sz w:val="20"/>
                <w:szCs w:val="20"/>
                <w:color w:val="auto"/>
              </w:rPr>
            </w:pPr>
            <w:r>
              <w:rPr>
                <w:rFonts w:ascii="Arial" w:cs="Arial" w:eastAsia="Arial" w:hAnsi="Arial"/>
                <w:sz w:val="18"/>
                <w:szCs w:val="18"/>
                <w:color w:val="auto"/>
              </w:rPr>
              <w:t>Dissolution</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7.2</w:t>
            </w:r>
          </w:p>
        </w:tc>
        <w:tc>
          <w:tcPr>
            <w:tcW w:w="9700" w:type="dxa"/>
            <w:vAlign w:val="bottom"/>
          </w:tcPr>
          <w:p>
            <w:pPr>
              <w:ind w:left="240"/>
              <w:spacing w:after="0"/>
              <w:rPr>
                <w:sz w:val="20"/>
                <w:szCs w:val="20"/>
                <w:color w:val="auto"/>
              </w:rPr>
            </w:pPr>
            <w:r>
              <w:rPr>
                <w:rFonts w:ascii="Arial" w:cs="Arial" w:eastAsia="Arial" w:hAnsi="Arial"/>
                <w:sz w:val="18"/>
                <w:szCs w:val="18"/>
                <w:color w:val="auto"/>
              </w:rPr>
              <w:t>Winding-up</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7.3</w:t>
            </w:r>
          </w:p>
        </w:tc>
        <w:tc>
          <w:tcPr>
            <w:tcW w:w="9700" w:type="dxa"/>
            <w:vAlign w:val="bottom"/>
          </w:tcPr>
          <w:p>
            <w:pPr>
              <w:ind w:left="240"/>
              <w:spacing w:after="0"/>
              <w:rPr>
                <w:sz w:val="20"/>
                <w:szCs w:val="20"/>
                <w:color w:val="auto"/>
              </w:rPr>
            </w:pPr>
            <w:r>
              <w:rPr>
                <w:rFonts w:ascii="Arial" w:cs="Arial" w:eastAsia="Arial" w:hAnsi="Arial"/>
                <w:sz w:val="18"/>
                <w:szCs w:val="18"/>
                <w:color w:val="auto"/>
              </w:rPr>
              <w:t>Final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7.4</w:t>
            </w:r>
          </w:p>
        </w:tc>
        <w:tc>
          <w:tcPr>
            <w:tcW w:w="9700" w:type="dxa"/>
            <w:vAlign w:val="bottom"/>
          </w:tcPr>
          <w:p>
            <w:pPr>
              <w:ind w:left="240"/>
              <w:spacing w:after="0"/>
              <w:rPr>
                <w:sz w:val="20"/>
                <w:szCs w:val="20"/>
                <w:color w:val="auto"/>
              </w:rPr>
            </w:pPr>
            <w:r>
              <w:rPr>
                <w:rFonts w:ascii="Arial" w:cs="Arial" w:eastAsia="Arial" w:hAnsi="Arial"/>
                <w:sz w:val="18"/>
                <w:szCs w:val="18"/>
                <w:color w:val="auto"/>
              </w:rPr>
              <w:t>No Obligation to Restore Capital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9700" w:type="dxa"/>
            <w:vAlign w:val="bottom"/>
          </w:tcPr>
          <w:p>
            <w:pPr>
              <w:jc w:val="center"/>
              <w:spacing w:after="0"/>
              <w:rPr>
                <w:sz w:val="20"/>
                <w:szCs w:val="20"/>
                <w:color w:val="auto"/>
              </w:rPr>
            </w:pPr>
            <w:r>
              <w:rPr>
                <w:rFonts w:ascii="Arial" w:cs="Arial" w:eastAsia="Arial" w:hAnsi="Arial"/>
                <w:sz w:val="18"/>
                <w:szCs w:val="18"/>
                <w:color w:val="auto"/>
                <w:w w:val="93"/>
              </w:rPr>
              <w:t>ARTICLE VIII TRANSFER OF PARTNERS’ INTERESTS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SECTION 8.1</w:t>
            </w:r>
          </w:p>
        </w:tc>
        <w:tc>
          <w:tcPr>
            <w:tcW w:w="9700" w:type="dxa"/>
            <w:vAlign w:val="bottom"/>
          </w:tcPr>
          <w:p>
            <w:pPr>
              <w:ind w:left="240"/>
              <w:spacing w:after="0"/>
              <w:rPr>
                <w:sz w:val="20"/>
                <w:szCs w:val="20"/>
                <w:color w:val="auto"/>
              </w:rPr>
            </w:pPr>
            <w:r>
              <w:rPr>
                <w:rFonts w:ascii="Arial" w:cs="Arial" w:eastAsia="Arial" w:hAnsi="Arial"/>
                <w:sz w:val="18"/>
                <w:szCs w:val="18"/>
                <w:color w:val="auto"/>
              </w:rPr>
              <w:t>Transfer of Partnership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9700" w:type="dxa"/>
            <w:vAlign w:val="bottom"/>
          </w:tcPr>
          <w:p>
            <w:pPr>
              <w:jc w:val="center"/>
              <w:spacing w:after="0"/>
              <w:rPr>
                <w:sz w:val="20"/>
                <w:szCs w:val="20"/>
                <w:color w:val="auto"/>
              </w:rPr>
            </w:pPr>
            <w:r>
              <w:rPr>
                <w:rFonts w:ascii="Arial" w:cs="Arial" w:eastAsia="Arial" w:hAnsi="Arial"/>
                <w:sz w:val="18"/>
                <w:szCs w:val="18"/>
                <w:color w:val="auto"/>
                <w:w w:val="95"/>
              </w:rPr>
              <w:t>ARTICLE IX ADDITIONAL PARTNERS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SECTION 9.1</w:t>
            </w:r>
          </w:p>
        </w:tc>
        <w:tc>
          <w:tcPr>
            <w:tcW w:w="9700" w:type="dxa"/>
            <w:vAlign w:val="bottom"/>
          </w:tcPr>
          <w:p>
            <w:pPr>
              <w:ind w:left="240"/>
              <w:spacing w:after="0"/>
              <w:rPr>
                <w:sz w:val="20"/>
                <w:szCs w:val="20"/>
                <w:color w:val="auto"/>
              </w:rPr>
            </w:pPr>
            <w:r>
              <w:rPr>
                <w:rFonts w:ascii="Arial" w:cs="Arial" w:eastAsia="Arial" w:hAnsi="Arial"/>
                <w:sz w:val="18"/>
                <w:szCs w:val="18"/>
                <w:color w:val="auto"/>
              </w:rPr>
              <w:t>Admission of Additional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9700" w:type="dxa"/>
            <w:vAlign w:val="bottom"/>
          </w:tcPr>
          <w:p>
            <w:pPr>
              <w:jc w:val="center"/>
              <w:spacing w:after="0"/>
              <w:rPr>
                <w:sz w:val="20"/>
                <w:szCs w:val="20"/>
                <w:color w:val="auto"/>
              </w:rPr>
            </w:pPr>
            <w:r>
              <w:rPr>
                <w:rFonts w:ascii="Arial" w:cs="Arial" w:eastAsia="Arial" w:hAnsi="Arial"/>
                <w:sz w:val="18"/>
                <w:szCs w:val="18"/>
                <w:color w:val="auto"/>
                <w:w w:val="95"/>
              </w:rPr>
              <w:t>ARTICLE X MISCELLANEOUS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440" w:type="dxa"/>
            <w:vAlign w:val="bottom"/>
          </w:tcPr>
          <w:p>
            <w:pPr>
              <w:spacing w:after="0"/>
              <w:rPr>
                <w:sz w:val="20"/>
                <w:szCs w:val="20"/>
                <w:color w:val="auto"/>
              </w:rPr>
            </w:pPr>
            <w:r>
              <w:rPr>
                <w:rFonts w:ascii="Arial" w:cs="Arial" w:eastAsia="Arial" w:hAnsi="Arial"/>
                <w:sz w:val="18"/>
                <w:szCs w:val="18"/>
                <w:color w:val="auto"/>
              </w:rPr>
              <w:t>SECTION 10.1</w:t>
            </w:r>
          </w:p>
        </w:tc>
        <w:tc>
          <w:tcPr>
            <w:tcW w:w="9700" w:type="dxa"/>
            <w:vAlign w:val="bottom"/>
          </w:tcPr>
          <w:p>
            <w:pPr>
              <w:ind w:left="240"/>
              <w:spacing w:after="0"/>
              <w:rPr>
                <w:sz w:val="20"/>
                <w:szCs w:val="20"/>
                <w:color w:val="auto"/>
              </w:rPr>
            </w:pPr>
            <w:r>
              <w:rPr>
                <w:rFonts w:ascii="Arial" w:cs="Arial" w:eastAsia="Arial" w:hAnsi="Arial"/>
                <w:sz w:val="18"/>
                <w:szCs w:val="18"/>
                <w:color w:val="auto"/>
              </w:rPr>
              <w:t>Arbitration; Waiver of Partition/Action for Accounting</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w:t>
            </w:r>
          </w:p>
        </w:tc>
        <w:tc>
          <w:tcPr>
            <w:tcW w:w="970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10.3</w:t>
            </w:r>
          </w:p>
        </w:tc>
        <w:tc>
          <w:tcPr>
            <w:tcW w:w="9700" w:type="dxa"/>
            <w:vAlign w:val="bottom"/>
          </w:tcPr>
          <w:p>
            <w:pPr>
              <w:ind w:left="240"/>
              <w:spacing w:after="0"/>
              <w:rPr>
                <w:sz w:val="20"/>
                <w:szCs w:val="20"/>
                <w:color w:val="auto"/>
              </w:rPr>
            </w:pPr>
            <w:r>
              <w:rPr>
                <w:rFonts w:ascii="Arial" w:cs="Arial" w:eastAsia="Arial" w:hAnsi="Arial"/>
                <w:sz w:val="18"/>
                <w:szCs w:val="18"/>
                <w:color w:val="auto"/>
              </w:rPr>
              <w:t>Other Covenants of the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10.4</w:t>
            </w:r>
          </w:p>
        </w:tc>
        <w:tc>
          <w:tcPr>
            <w:tcW w:w="9700" w:type="dxa"/>
            <w:vAlign w:val="bottom"/>
          </w:tcPr>
          <w:p>
            <w:pPr>
              <w:ind w:left="24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10.5</w:t>
            </w:r>
          </w:p>
        </w:tc>
        <w:tc>
          <w:tcPr>
            <w:tcW w:w="970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10.6</w:t>
            </w:r>
          </w:p>
        </w:tc>
        <w:tc>
          <w:tcPr>
            <w:tcW w:w="9700" w:type="dxa"/>
            <w:vAlign w:val="bottom"/>
          </w:tcPr>
          <w:p>
            <w:pPr>
              <w:ind w:left="240"/>
              <w:spacing w:after="0"/>
              <w:rPr>
                <w:sz w:val="20"/>
                <w:szCs w:val="20"/>
                <w:color w:val="auto"/>
              </w:rPr>
            </w:pPr>
            <w:r>
              <w:rPr>
                <w:rFonts w:ascii="Arial" w:cs="Arial" w:eastAsia="Arial" w:hAnsi="Arial"/>
                <w:sz w:val="18"/>
                <w:szCs w:val="18"/>
                <w:color w:val="auto"/>
              </w:rPr>
              <w:t>Entire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10.7</w:t>
            </w:r>
          </w:p>
        </w:tc>
        <w:tc>
          <w:tcPr>
            <w:tcW w:w="9700" w:type="dxa"/>
            <w:vAlign w:val="bottom"/>
          </w:tcPr>
          <w:p>
            <w:pPr>
              <w:ind w:left="240"/>
              <w:spacing w:after="0"/>
              <w:rPr>
                <w:sz w:val="20"/>
                <w:szCs w:val="20"/>
                <w:color w:val="auto"/>
              </w:rPr>
            </w:pPr>
            <w:r>
              <w:rPr>
                <w:rFonts w:ascii="Arial" w:cs="Arial" w:eastAsia="Arial" w:hAnsi="Arial"/>
                <w:sz w:val="18"/>
                <w:szCs w:val="18"/>
                <w:color w:val="auto"/>
              </w:rPr>
              <w:t>Amendments; Power of Attorney</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10.8</w:t>
            </w:r>
          </w:p>
        </w:tc>
        <w:tc>
          <w:tcPr>
            <w:tcW w:w="9700" w:type="dxa"/>
            <w:vAlign w:val="bottom"/>
          </w:tcPr>
          <w:p>
            <w:pPr>
              <w:ind w:left="240"/>
              <w:spacing w:after="0"/>
              <w:rPr>
                <w:sz w:val="20"/>
                <w:szCs w:val="20"/>
                <w:color w:val="auto"/>
              </w:rPr>
            </w:pPr>
            <w:r>
              <w:rPr>
                <w:rFonts w:ascii="Arial" w:cs="Arial" w:eastAsia="Arial" w:hAnsi="Arial"/>
                <w:sz w:val="18"/>
                <w:szCs w:val="18"/>
                <w:color w:val="auto"/>
              </w:rPr>
              <w:t>Titles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10.9</w:t>
            </w:r>
          </w:p>
        </w:tc>
        <w:tc>
          <w:tcPr>
            <w:tcW w:w="9700" w:type="dxa"/>
            <w:vAlign w:val="bottom"/>
          </w:tcPr>
          <w:p>
            <w:pPr>
              <w:ind w:left="24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10.10</w:t>
            </w:r>
          </w:p>
        </w:tc>
        <w:tc>
          <w:tcPr>
            <w:tcW w:w="9700" w:type="dxa"/>
            <w:vAlign w:val="bottom"/>
          </w:tcPr>
          <w:p>
            <w:pPr>
              <w:ind w:left="240"/>
              <w:spacing w:after="0"/>
              <w:rPr>
                <w:sz w:val="20"/>
                <w:szCs w:val="20"/>
                <w:color w:val="auto"/>
              </w:rPr>
            </w:pPr>
            <w:r>
              <w:rPr>
                <w:rFonts w:ascii="Arial" w:cs="Arial" w:eastAsia="Arial" w:hAnsi="Arial"/>
                <w:sz w:val="18"/>
                <w:szCs w:val="18"/>
                <w:color w:val="auto"/>
              </w:rPr>
              <w:t>Division of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10.11</w:t>
            </w:r>
          </w:p>
        </w:tc>
        <w:tc>
          <w:tcPr>
            <w:tcW w:w="9700" w:type="dxa"/>
            <w:vAlign w:val="bottom"/>
          </w:tcPr>
          <w:p>
            <w:pPr>
              <w:ind w:left="240"/>
              <w:spacing w:after="0"/>
              <w:rPr>
                <w:sz w:val="20"/>
                <w:szCs w:val="20"/>
                <w:color w:val="auto"/>
              </w:rPr>
            </w:pPr>
            <w:r>
              <w:rPr>
                <w:rFonts w:ascii="Arial" w:cs="Arial" w:eastAsia="Arial" w:hAnsi="Arial"/>
                <w:sz w:val="18"/>
                <w:szCs w:val="18"/>
                <w:color w:val="auto"/>
              </w:rPr>
              <w:t>Other Covenants of the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10.12</w:t>
            </w:r>
          </w:p>
        </w:tc>
        <w:tc>
          <w:tcPr>
            <w:tcW w:w="970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10.13</w:t>
            </w:r>
          </w:p>
        </w:tc>
        <w:tc>
          <w:tcPr>
            <w:tcW w:w="9700" w:type="dxa"/>
            <w:vAlign w:val="bottom"/>
          </w:tcPr>
          <w:p>
            <w:pPr>
              <w:ind w:left="240"/>
              <w:spacing w:after="0"/>
              <w:rPr>
                <w:sz w:val="20"/>
                <w:szCs w:val="20"/>
                <w:color w:val="auto"/>
              </w:rPr>
            </w:pPr>
            <w:r>
              <w:rPr>
                <w:rFonts w:ascii="Arial" w:cs="Arial" w:eastAsia="Arial" w:hAnsi="Arial"/>
                <w:sz w:val="18"/>
                <w:szCs w:val="18"/>
                <w:color w:val="auto"/>
              </w:rPr>
              <w:t>Irreparable Harm</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10.14</w:t>
            </w:r>
          </w:p>
        </w:tc>
        <w:tc>
          <w:tcPr>
            <w:tcW w:w="9700" w:type="dxa"/>
            <w:vAlign w:val="bottom"/>
          </w:tcPr>
          <w:p>
            <w:pPr>
              <w:ind w:left="240"/>
              <w:spacing w:after="0"/>
              <w:rPr>
                <w:sz w:val="20"/>
                <w:szCs w:val="20"/>
                <w:color w:val="auto"/>
              </w:rPr>
            </w:pPr>
            <w:r>
              <w:rPr>
                <w:rFonts w:ascii="Arial" w:cs="Arial" w:eastAsia="Arial" w:hAnsi="Arial"/>
                <w:sz w:val="18"/>
                <w:szCs w:val="18"/>
                <w:color w:val="auto"/>
              </w:rPr>
              <w:t>Partnership Tax Treatment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10.15</w:t>
            </w:r>
          </w:p>
        </w:tc>
        <w:tc>
          <w:tcPr>
            <w:tcW w:w="9700" w:type="dxa"/>
            <w:vAlign w:val="bottom"/>
          </w:tcPr>
          <w:p>
            <w:pPr>
              <w:ind w:left="240"/>
              <w:spacing w:after="0"/>
              <w:rPr>
                <w:sz w:val="20"/>
                <w:szCs w:val="20"/>
                <w:color w:val="auto"/>
              </w:rPr>
            </w:pPr>
            <w:r>
              <w:rPr>
                <w:rFonts w:ascii="Arial" w:cs="Arial" w:eastAsia="Arial" w:hAnsi="Arial"/>
                <w:sz w:val="18"/>
                <w:szCs w:val="18"/>
                <w:color w:val="auto"/>
              </w:rPr>
              <w:t>Joint and Several Liability of EPI Limited Partners and Family</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SECTION 10.16</w:t>
            </w:r>
          </w:p>
        </w:tc>
        <w:tc>
          <w:tcPr>
            <w:tcW w:w="9700" w:type="dxa"/>
            <w:vAlign w:val="bottom"/>
          </w:tcPr>
          <w:p>
            <w:pPr>
              <w:ind w:left="240"/>
              <w:spacing w:after="0"/>
              <w:rPr>
                <w:sz w:val="20"/>
                <w:szCs w:val="20"/>
                <w:color w:val="auto"/>
              </w:rPr>
            </w:pPr>
            <w:r>
              <w:rPr>
                <w:rFonts w:ascii="Arial" w:cs="Arial" w:eastAsia="Arial" w:hAnsi="Arial"/>
                <w:sz w:val="18"/>
                <w:szCs w:val="18"/>
                <w:color w:val="auto"/>
              </w:rPr>
              <w:t>Consistent Treatment for Family Related Limited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860" w:right="4860" w:hanging="5656"/>
        <w:spacing w:after="0" w:line="440" w:lineRule="auto"/>
        <w:tabs>
          <w:tab w:leader="none" w:pos="840" w:val="left"/>
        </w:tabs>
        <w:rPr>
          <w:sz w:val="20"/>
          <w:szCs w:val="20"/>
          <w:color w:val="auto"/>
        </w:rPr>
      </w:pPr>
      <w:r>
        <w:rPr>
          <w:rFonts w:ascii="Arial" w:cs="Arial" w:eastAsia="Arial" w:hAnsi="Arial"/>
          <w:sz w:val="18"/>
          <w:szCs w:val="18"/>
          <w:color w:val="auto"/>
        </w:rPr>
        <w:t>Annex A</w:t>
        <w:tab/>
        <w:t>Names and Addresses of General Partner and Limited Partners of the Partnership ii</w:t>
      </w:r>
    </w:p>
    <w:p>
      <w:pPr>
        <w:sectPr>
          <w:pgSz w:w="11900" w:h="16838" w:orient="portrait"/>
          <w:cols w:equalWidth="0" w:num="1">
            <w:col w:w="11420"/>
          </w:cols>
          <w:pgMar w:left="240" w:top="274" w:right="239" w:bottom="1440" w:gutter="0" w:footer="0" w:header="0"/>
        </w:sectPr>
      </w:pPr>
    </w:p>
    <w:bookmarkStart w:id="129" w:name="page130"/>
    <w:bookmarkEnd w:id="129"/>
    <w:p>
      <w:pPr>
        <w:ind w:right="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AMENDED AND RESTATED LIMITED PARTNERSHIP AGREEMENT of EVERCORE MEXICO PARTNERS II L.P., a limited partnership organized under the laws of the Province of Ontario, Canada (the “</w:t>
      </w:r>
      <w:r>
        <w:rPr>
          <w:rFonts w:ascii="Arial" w:cs="Arial" w:eastAsia="Arial" w:hAnsi="Arial"/>
          <w:sz w:val="16"/>
          <w:szCs w:val="16"/>
          <w:u w:val="single" w:color="auto"/>
          <w:color w:val="auto"/>
        </w:rPr>
        <w:t>Partnership</w:t>
      </w:r>
      <w:r>
        <w:rPr>
          <w:rFonts w:ascii="Arial" w:cs="Arial" w:eastAsia="Arial" w:hAnsi="Arial"/>
          <w:sz w:val="16"/>
          <w:szCs w:val="16"/>
          <w:color w:val="auto"/>
        </w:rPr>
        <w:t>”), dated as of December 18, 2008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entered into by and among Evercore Mexico GP Holdings LLC, a Delaware limited liability company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Evercore Mexico Management II, L.L.C., a Delaware limited liability company as the organizational limited partner (the “</w:t>
      </w:r>
      <w:r>
        <w:rPr>
          <w:rFonts w:ascii="Arial" w:cs="Arial" w:eastAsia="Arial" w:hAnsi="Arial"/>
          <w:sz w:val="16"/>
          <w:szCs w:val="16"/>
          <w:u w:val="single" w:color="auto"/>
          <w:color w:val="auto"/>
        </w:rPr>
        <w:t>Organizational Limited Partner</w:t>
      </w:r>
      <w:r>
        <w:rPr>
          <w:rFonts w:ascii="Arial" w:cs="Arial" w:eastAsia="Arial" w:hAnsi="Arial"/>
          <w:sz w:val="16"/>
          <w:szCs w:val="16"/>
          <w:color w:val="auto"/>
        </w:rPr>
        <w:t>”), the limited partners named in Annex A hereto and such other parties which may from time to time be admitted as limited partners in accordance with this agreement (the “</w:t>
      </w:r>
      <w:r>
        <w:rPr>
          <w:rFonts w:ascii="Arial" w:cs="Arial" w:eastAsia="Arial" w:hAnsi="Arial"/>
          <w:sz w:val="16"/>
          <w:szCs w:val="16"/>
          <w:u w:val="single" w:color="auto"/>
          <w:color w:val="auto"/>
        </w:rPr>
        <w:t>Limited Partners</w:t>
      </w:r>
      <w:r>
        <w:rPr>
          <w:rFonts w:ascii="Arial" w:cs="Arial" w:eastAsia="Arial" w:hAnsi="Arial"/>
          <w:sz w:val="16"/>
          <w:szCs w:val="16"/>
          <w:color w:val="auto"/>
        </w:rPr>
        <w:t>”).</w:t>
      </w:r>
    </w:p>
    <w:p>
      <w:pPr>
        <w:spacing w:after="0" w:line="116"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 xml:space="preserve">WHEREAS, the Partnership was formed pursuant to a Declaration of Limited Partnership, which was executed by the General Partner and filed for recordation in the office of the Registrar under the </w:t>
      </w:r>
      <w:r>
        <w:rPr>
          <w:rFonts w:ascii="Arial" w:cs="Arial" w:eastAsia="Arial" w:hAnsi="Arial"/>
          <w:sz w:val="16"/>
          <w:szCs w:val="16"/>
          <w:i w:val="1"/>
          <w:iCs w:val="1"/>
          <w:color w:val="auto"/>
        </w:rPr>
        <w:t>Limited Partnerships Act</w:t>
      </w:r>
      <w:r>
        <w:rPr>
          <w:rFonts w:ascii="Arial" w:cs="Arial" w:eastAsia="Arial" w:hAnsi="Arial"/>
          <w:sz w:val="16"/>
          <w:szCs w:val="16"/>
          <w:color w:val="auto"/>
        </w:rPr>
        <w:t xml:space="preserve"> (Ontario) on September 24, 2007 and the entering into a Limited Partnership Agreement dated as of September 11, 2007 between the General Partner and the Organizational Limited Partner; and</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WHEREAS, the parties hereto desire to enter into this Amended and Restated Limited Partnership Agreement of the Partnership to permit the withdrawal of the Organizational Limited Partner and the admission of the Limited Partners and further to make the modifications hereinafter set forth;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1.1 Definitions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 the following terms shall have the following meanings for purposes of this Agreement:</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Limited Partnerships Act</w:t>
      </w:r>
      <w:r>
        <w:rPr>
          <w:rFonts w:ascii="Arial" w:cs="Arial" w:eastAsia="Arial" w:hAnsi="Arial"/>
          <w:sz w:val="18"/>
          <w:szCs w:val="18"/>
          <w:color w:val="auto"/>
        </w:rPr>
        <w:t xml:space="preserve"> (Ontario) as amended from time to time.</w:t>
      </w:r>
    </w:p>
    <w:p>
      <w:pPr>
        <w:spacing w:after="0" w:line="90"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Capital Account Balance</w:t>
      </w:r>
      <w:r>
        <w:rPr>
          <w:rFonts w:ascii="Arial" w:cs="Arial" w:eastAsia="Arial" w:hAnsi="Arial"/>
          <w:sz w:val="16"/>
          <w:szCs w:val="16"/>
          <w:color w:val="auto"/>
        </w:rPr>
        <w:t>” means, with respect to any Partner, the balance in such Partner’s Capital Account adjusted (i) by taking into account the adjustments, allocations and distributions described in Treasury Regulations Sections 1.704-1(b)(2)(ii)(d)(4), (5) and (6); and (ii) by adding to such balance such Partner’s share of Partnership Minimum Gain and Partner Nonrecourse Debt Minimum Gain, determined pursuant to Treasury Regulations Sections 1.704-2(g) and 1.704 2(i)(5) and any amounts such Partner is obligated to restore pursuant to any provision of this Agreement. The foregoing definition of Adjusted Capital Account Balance is intended to comply with the provisions of Treasury Regulations Section 1.704-1(b)(2)(ii)(d) and shall be interpreted consistently therewith.</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80" w:right="299" w:bottom="1440" w:gutter="0" w:footer="0" w:header="0"/>
        </w:sectPr>
      </w:pPr>
    </w:p>
    <w:bookmarkStart w:id="130" w:name="page131"/>
    <w:bookmarkEnd w:id="13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the Fund Partnership Agreement.</w:t>
      </w:r>
    </w:p>
    <w:p>
      <w:pPr>
        <w:spacing w:after="0" w:line="90" w:lineRule="exact"/>
        <w:rPr>
          <w:sz w:val="20"/>
          <w:szCs w:val="20"/>
          <w:color w:val="auto"/>
        </w:rPr>
      </w:pPr>
    </w:p>
    <w:p>
      <w:pPr>
        <w:ind w:left="460" w:right="200" w:firstLine="4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Capital Proceeds</w:t>
      </w:r>
      <w:r>
        <w:rPr>
          <w:rFonts w:ascii="Arial" w:cs="Arial" w:eastAsia="Arial" w:hAnsi="Arial"/>
          <w:sz w:val="18"/>
          <w:szCs w:val="18"/>
          <w:color w:val="auto"/>
        </w:rPr>
        <w:t>” attributable to any distribution of Capital Proceeds means the difference between (a) the amount of such distribution of Capital Proceeds minus (b) the product of (i) the taxable income related to such Capital Proceeds and (ii) the Assumed Income Tax Rate.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Carried Interest Amount</w:t>
      </w:r>
      <w:r>
        <w:rPr>
          <w:rFonts w:ascii="Arial" w:cs="Arial" w:eastAsia="Arial" w:hAnsi="Arial"/>
          <w:sz w:val="18"/>
          <w:szCs w:val="18"/>
          <w:color w:val="auto"/>
        </w:rPr>
        <w:t>” with respect to any Partner means an amount equal to:</w:t>
      </w:r>
    </w:p>
    <w:p>
      <w:pPr>
        <w:spacing w:after="0" w:line="90" w:lineRule="exact"/>
        <w:rPr>
          <w:sz w:val="20"/>
          <w:szCs w:val="20"/>
          <w:color w:val="auto"/>
        </w:rPr>
      </w:pPr>
    </w:p>
    <w:p>
      <w:pPr>
        <w:ind w:left="460" w:right="120" w:firstLine="421"/>
        <w:spacing w:after="0" w:line="268" w:lineRule="auto"/>
        <w:tabs>
          <w:tab w:leader="none" w:pos="1119"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amount of any Carried Interest Proceeds distributed or deemed distributed to such Partner (including any amounts placed on behalf of such Partner into the Holdback Account pursuant to Section 4.5(a)), </w:t>
      </w:r>
      <w:r>
        <w:rPr>
          <w:rFonts w:ascii="Arial" w:cs="Arial" w:eastAsia="Arial" w:hAnsi="Arial"/>
          <w:sz w:val="18"/>
          <w:szCs w:val="18"/>
          <w:u w:val="single" w:color="auto"/>
          <w:color w:val="auto"/>
        </w:rPr>
        <w:t>minus</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Income Tax Amount with respect to such Carried Interest Proceeds.</w:t>
      </w:r>
    </w:p>
    <w:p>
      <w:pPr>
        <w:spacing w:after="0" w:line="90"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Limited Partnership Agreement of the Partnership, including annexes hereto, as it may be amended, supplemented, modified or restated from time to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Investment Vehicle</w:t>
      </w:r>
      <w:r>
        <w:rPr>
          <w:rFonts w:ascii="Arial" w:cs="Arial" w:eastAsia="Arial" w:hAnsi="Arial"/>
          <w:sz w:val="18"/>
          <w:szCs w:val="18"/>
          <w:color w:val="auto"/>
        </w:rPr>
        <w:t>” has the meaning set forth in the Fund Partnership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set forth in Section 8.1(b).</w:t>
      </w:r>
    </w:p>
    <w:p>
      <w:pPr>
        <w:spacing w:after="0" w:line="90" w:lineRule="exact"/>
        <w:rPr>
          <w:sz w:val="20"/>
          <w:szCs w:val="20"/>
          <w:color w:val="auto"/>
        </w:rPr>
      </w:pPr>
    </w:p>
    <w:p>
      <w:pPr>
        <w:ind w:right="1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Income Tax Rate</w:t>
      </w:r>
      <w:r>
        <w:rPr>
          <w:rFonts w:ascii="Arial" w:cs="Arial" w:eastAsia="Arial" w:hAnsi="Arial"/>
          <w:sz w:val="18"/>
          <w:szCs w:val="18"/>
          <w:color w:val="auto"/>
        </w:rPr>
        <w:t>” means the highest effective marginal combined U.S. Federal, state and local income tax rate for a Fiscal Year prescribed for an individual residing in New York, New York (taking into account (a) the deductibility of state and local income taxes for Federal income tax purposes assuming the limitation described in Section 68(a)(2) of the Code applies and (b) the character of the applicable income (</w:t>
      </w:r>
      <w:r>
        <w:rPr>
          <w:rFonts w:ascii="Arial" w:cs="Arial" w:eastAsia="Arial" w:hAnsi="Arial"/>
          <w:sz w:val="18"/>
          <w:szCs w:val="18"/>
          <w:u w:val="single" w:color="auto"/>
          <w:color w:val="auto"/>
        </w:rPr>
        <w:t>e.g</w:t>
      </w:r>
      <w:r>
        <w:rPr>
          <w:rFonts w:ascii="Arial" w:cs="Arial" w:eastAsia="Arial" w:hAnsi="Arial"/>
          <w:sz w:val="18"/>
          <w:szCs w:val="18"/>
          <w:color w:val="auto"/>
        </w:rPr>
        <w:t>., long-term or short-term capital gain or ordinary or exempt)).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which is not a Saturday, Sunday or a day on which banks in New York City are closed.</w:t>
      </w:r>
    </w:p>
    <w:p>
      <w:pPr>
        <w:spacing w:after="0" w:line="90" w:lineRule="exact"/>
        <w:rPr>
          <w:sz w:val="20"/>
          <w:szCs w:val="20"/>
          <w:color w:val="auto"/>
        </w:rPr>
      </w:pPr>
    </w:p>
    <w:p>
      <w:pPr>
        <w:ind w:right="6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Canadian-Resident Person</w:t>
      </w:r>
      <w:r>
        <w:rPr>
          <w:rFonts w:ascii="Arial" w:cs="Arial" w:eastAsia="Arial" w:hAnsi="Arial"/>
          <w:sz w:val="18"/>
          <w:szCs w:val="18"/>
          <w:color w:val="auto"/>
        </w:rPr>
        <w:t xml:space="preserve">” means an individual or entity that is resident in Canada for the purposes of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or the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(Ontario) and any successor legislation thereto.</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has the meaning set forth in Section 5.2.</w:t>
      </w:r>
    </w:p>
    <w:p>
      <w:pPr>
        <w:spacing w:after="0" w:line="9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Commitment</w:t>
      </w:r>
      <w:r>
        <w:rPr>
          <w:rFonts w:ascii="Arial" w:cs="Arial" w:eastAsia="Arial" w:hAnsi="Arial"/>
          <w:sz w:val="18"/>
          <w:szCs w:val="18"/>
          <w:color w:val="auto"/>
        </w:rPr>
        <w:t>” means, as of any date, with respect to any Partner, an amount equal to such Partner’s Profit Sharing Percentage multiplied by the General Partner Capital Commitment as of such date, which amount shall be set forth in the books and records of the Partnership, including in the Record of Limited Partners.</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700" w:top="280" w:right="299" w:bottom="1440" w:gutter="0" w:footer="0" w:header="0"/>
        </w:sectPr>
      </w:pPr>
    </w:p>
    <w:bookmarkStart w:id="131" w:name="page132"/>
    <w:bookmarkEnd w:id="1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Capital Proceeds</w:t>
      </w:r>
      <w:r>
        <w:rPr>
          <w:rFonts w:ascii="Arial" w:cs="Arial" w:eastAsia="Arial" w:hAnsi="Arial"/>
          <w:sz w:val="18"/>
          <w:szCs w:val="18"/>
          <w:color w:val="auto"/>
        </w:rPr>
        <w:t>” has the meaning set forth in Section 4.1(c)(ii).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Carried Interes</w:t>
      </w:r>
      <w:r>
        <w:rPr>
          <w:rFonts w:ascii="Arial" w:cs="Arial" w:eastAsia="Arial" w:hAnsi="Arial"/>
          <w:sz w:val="18"/>
          <w:szCs w:val="18"/>
          <w:color w:val="auto"/>
        </w:rPr>
        <w:t>t” has the meaning set forth in the Fund Partnership Agreement.</w:t>
      </w:r>
    </w:p>
    <w:p>
      <w:pPr>
        <w:spacing w:after="0" w:line="90" w:lineRule="exact"/>
        <w:rPr>
          <w:sz w:val="20"/>
          <w:szCs w:val="20"/>
          <w:color w:val="auto"/>
        </w:rPr>
      </w:pPr>
    </w:p>
    <w:p>
      <w:pPr>
        <w:ind w:right="60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Carried Interest Give Back Percentage</w:t>
      </w:r>
      <w:r>
        <w:rPr>
          <w:rFonts w:ascii="Arial" w:cs="Arial" w:eastAsia="Arial" w:hAnsi="Arial"/>
          <w:sz w:val="16"/>
          <w:szCs w:val="16"/>
          <w:color w:val="auto"/>
        </w:rPr>
        <w:t>” shall mean, for any Partner, the percentage determined by dividing (i) the After-Tax Carried Interest Amount with respect to such Partner by (ii) the aggregate After-Tax Carried Interest Amounts with respect to all Partners.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Carried Interest Proceeds</w:t>
      </w:r>
      <w:r>
        <w:rPr>
          <w:rFonts w:ascii="Arial" w:cs="Arial" w:eastAsia="Arial" w:hAnsi="Arial"/>
          <w:sz w:val="18"/>
          <w:szCs w:val="18"/>
          <w:color w:val="auto"/>
        </w:rPr>
        <w:t>” has the meaning set forth in Section 4.1(c)(iii).</w:t>
      </w:r>
    </w:p>
    <w:p>
      <w:pPr>
        <w:spacing w:after="0" w:line="90"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Carrying Value</w:t>
      </w:r>
      <w:r>
        <w:rPr>
          <w:rFonts w:ascii="Arial" w:cs="Arial" w:eastAsia="Arial" w:hAnsi="Arial"/>
          <w:sz w:val="16"/>
          <w:szCs w:val="16"/>
          <w:color w:val="auto"/>
        </w:rPr>
        <w:t xml:space="preserve">” means, with respect to any asset of the Partnership or any entity treated as a partnership for U.S. Federal income tax purposes in which it invests, the asset’s adjusted basis for U.S. Federal income tax purposes, except that the Carrying Values of all such assets shall be adjusted to equal their respective fair market values (as reasonably determined by the General Partner in a manner consistent with determinations thereof for the Fund) in accordance with the rules set forth in Treasury Regulations Section 1.704 1(b)(2)(iv)(f), except as otherwise provided herein, immediately prior to: (a) the date of the acquisition of any additional Interest by any new or existing Partner in exchange for more than a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capital contribution to the Partnership, (b) the date of the distribution of more than a </w:t>
      </w:r>
      <w:r>
        <w:rPr>
          <w:rFonts w:ascii="Arial" w:cs="Arial" w:eastAsia="Arial" w:hAnsi="Arial"/>
          <w:sz w:val="16"/>
          <w:szCs w:val="16"/>
          <w:u w:val="single" w:color="auto"/>
          <w:color w:val="auto"/>
        </w:rPr>
        <w:t>de minimis</w:t>
      </w:r>
      <w:r>
        <w:rPr>
          <w:rFonts w:ascii="Arial" w:cs="Arial" w:eastAsia="Arial" w:hAnsi="Arial"/>
          <w:sz w:val="16"/>
          <w:szCs w:val="16"/>
          <w:color w:val="auto"/>
        </w:rPr>
        <w:t xml:space="preserve"> amount of Partnership property (other than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to a Partner or</w:t>
      </w:r>
    </w:p>
    <w:p>
      <w:pPr>
        <w:spacing w:after="0" w:line="1" w:lineRule="exact"/>
        <w:rPr>
          <w:sz w:val="20"/>
          <w:szCs w:val="20"/>
          <w:color w:val="auto"/>
        </w:rPr>
      </w:pPr>
    </w:p>
    <w:p>
      <w:pPr>
        <w:ind w:right="160" w:firstLine="4"/>
        <w:spacing w:after="0" w:line="288" w:lineRule="auto"/>
        <w:tabs>
          <w:tab w:leader="none" w:pos="239"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date of a grant of any additional Interest to any new or existing Partner as consideration for the provision of services to or for the benefit of the Partnership;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adjustments pursuant to clauses (a), (b) and (c) above shall be made only if the General Partner in good faith determines that such adjustments are necessary or appropriate to reflect the relative economic interests of the Partners. The Carrying Value of any asset distributed to any Partner shall be adjusted immediately prior to such distribution to equal its fair market value. The Carrying Value of any asset contributed by a Partner to the Partnership will be the fair market value of the asset as of the date of its contribution thereto. In the case of any asset that has a Carrying Value that differs from its adjusted tax basis, Carrying Value shall be adjusted by the amount of depreciation calculated for purposes of the definition of “Profits and Losses” rather than the amount of depreciation determined for U.S. Federal income tax purposes.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the occurrence or existence of any of the following with respect to an EPI Limited Partner:</w:t>
      </w:r>
    </w:p>
    <w:p>
      <w:pPr>
        <w:spacing w:after="0" w:line="90" w:lineRule="exact"/>
        <w:rPr>
          <w:sz w:val="20"/>
          <w:szCs w:val="20"/>
          <w:color w:val="auto"/>
        </w:rPr>
      </w:pPr>
    </w:p>
    <w:p>
      <w:pPr>
        <w:ind w:left="460" w:right="200" w:firstLine="421"/>
        <w:spacing w:after="0" w:line="268" w:lineRule="auto"/>
        <w:tabs>
          <w:tab w:leader="none" w:pos="11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breach of (after giving effect to any applicable grace periods) any of such Partner’s or any of his or her Family Related Limited Partners’ material obligations under (i) this Agreement (including such</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132" w:name="page133"/>
    <w:bookmarkEnd w:id="132"/>
    <w:p>
      <w:pPr>
        <w:ind w:lef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Partner’s or any of his or her Family Related Limited Partners’ obligations pursuant to Sections 5.1(a), 10.3 and 10.11 (without giving effect to any modification thereof pursuant to Section 10.12)), (ii) any Fund Partnership Agreement (including such Partner’s or any of his or her Family Related Limited Partners’ obligations to make capital contributions pursuant to the terms of such Fund Partnership Agreement) or (iii) the stockholders agreement, certificate of incorporation, by-laws, limited liability company agreement, limited partnership agreement or equivalent documents of EPI, the Investment Advisor, the Investment Manager or any of their respective Affiliates;</w:t>
      </w:r>
    </w:p>
    <w:p>
      <w:pPr>
        <w:spacing w:after="0" w:line="35" w:lineRule="exact"/>
        <w:rPr>
          <w:sz w:val="20"/>
          <w:szCs w:val="20"/>
          <w:color w:val="auto"/>
        </w:rPr>
      </w:pPr>
    </w:p>
    <w:p>
      <w:pPr>
        <w:ind w:left="680" w:hanging="239"/>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conviction of, or plea of guilty or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by, such Partner in respect of any felony;</w:t>
      </w:r>
    </w:p>
    <w:p>
      <w:pPr>
        <w:spacing w:after="0" w:line="90" w:lineRule="exact"/>
        <w:rPr>
          <w:rFonts w:ascii="Arial" w:cs="Arial" w:eastAsia="Arial" w:hAnsi="Arial"/>
          <w:sz w:val="18"/>
          <w:szCs w:val="18"/>
          <w:color w:val="auto"/>
        </w:rPr>
      </w:pPr>
    </w:p>
    <w:p>
      <w:pPr>
        <w:ind w:left="20" w:right="420" w:firstLine="421"/>
        <w:spacing w:after="0" w:line="268" w:lineRule="auto"/>
        <w:tabs>
          <w:tab w:leader="none" w:pos="6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perpetration by such Partner of fraud against the Partnership, the Investment Advisor, the Investment Manager, the Fund, EPI, any Portfolio Company or any of their respective Affiliates;</w:t>
      </w:r>
    </w:p>
    <w:p>
      <w:pPr>
        <w:spacing w:after="0" w:line="50" w:lineRule="exact"/>
        <w:rPr>
          <w:rFonts w:ascii="Arial" w:cs="Arial" w:eastAsia="Arial" w:hAnsi="Arial"/>
          <w:sz w:val="18"/>
          <w:szCs w:val="18"/>
          <w:color w:val="auto"/>
        </w:rPr>
      </w:pPr>
    </w:p>
    <w:p>
      <w:pPr>
        <w:ind w:left="20" w:firstLine="421"/>
        <w:spacing w:after="0" w:line="294" w:lineRule="auto"/>
        <w:tabs>
          <w:tab w:leader="none" w:pos="68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willful and continued failure by such Partner to substantially perform such Partner’s duties with EPI, the Investment Advisor, the Investment Manager, the Partnership or any of their respective Affiliates in such Partner’s position on a full-time basis (other than any such failure resulting from such Partner’s death or Permanent Disability), provided that an act, or a failure to act, on such Partner’s part shall be deemed “willful” only if done, or omitted to be done, by him not in good faith or without a reasonable belief that such Partner’s action or omission was in or not opposed to the best interests of EPI, the Investment Advisor, the Investment Manager, the Partnership and the Fund;</w:t>
      </w:r>
    </w:p>
    <w:p>
      <w:pPr>
        <w:spacing w:after="0" w:line="34" w:lineRule="exact"/>
        <w:rPr>
          <w:rFonts w:ascii="Arial" w:cs="Arial" w:eastAsia="Arial" w:hAnsi="Arial"/>
          <w:sz w:val="16"/>
          <w:szCs w:val="16"/>
          <w:color w:val="auto"/>
        </w:rPr>
      </w:pPr>
    </w:p>
    <w:p>
      <w:pPr>
        <w:ind w:left="20" w:right="300" w:firstLine="421"/>
        <w:spacing w:after="0" w:line="298" w:lineRule="auto"/>
        <w:tabs>
          <w:tab w:leader="none" w:pos="679"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willful misconduct which could have, or could reasonably be expected to have, an adverse effect in any material respect on (i) such Partner’s ability to function as an employee or consultant of EPI, the Investment Advisor, the Investment Manager or any of their respective Affiliates, taking into account the services required of such Partner or (ii) the business and/or reputation of the Partnership, the Fund, EPI, the Investment Advisor, the Investment Manager or any of their respective Affiliates; or</w:t>
      </w:r>
    </w:p>
    <w:p>
      <w:pPr>
        <w:spacing w:after="0" w:line="31" w:lineRule="exact"/>
        <w:rPr>
          <w:rFonts w:ascii="Arial" w:cs="Arial" w:eastAsia="Arial" w:hAnsi="Arial"/>
          <w:sz w:val="16"/>
          <w:szCs w:val="16"/>
          <w:color w:val="auto"/>
        </w:rPr>
      </w:pPr>
    </w:p>
    <w:p>
      <w:pPr>
        <w:ind w:left="660" w:hanging="219"/>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conduct by such Partner constituting “Disabling Conduct” as defined in any Fund Partnership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determinations of Cause shall be made by the General Partner.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has the meaning set forth in Section 3.2(a).</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1140" w:top="280" w:right="259" w:bottom="1440" w:gutter="0" w:footer="0" w:header="0"/>
        </w:sectPr>
      </w:pPr>
    </w:p>
    <w:bookmarkStart w:id="133" w:name="page134"/>
    <w:bookmarkEnd w:id="133"/>
    <w:p>
      <w:pPr>
        <w:ind w:right="12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Creditable Foreign Tax</w:t>
      </w:r>
      <w:r>
        <w:rPr>
          <w:rFonts w:ascii="Arial" w:cs="Arial" w:eastAsia="Arial" w:hAnsi="Arial"/>
          <w:sz w:val="16"/>
          <w:szCs w:val="16"/>
          <w:color w:val="auto"/>
        </w:rPr>
        <w:t>” means a foreign tax paid or accrued for United States federal income tax purposes by the Partnership, in either case to the extent that such tax is eligible for credit under Section 901(a) of the Code. A foreign tax is a creditable foreign tax for these purposes without regard to whether a partner receiving an allocation of such foreign tax elects to claim a credit for such amount. This definition is intended to be consistent with the definition of “creditable foreign tax” in temporary treasury Regulations Section 1.704-1T(b)(4)(xi)(b), and shall be interpreted consistently therewith.</w:t>
      </w:r>
    </w:p>
    <w:p>
      <w:pPr>
        <w:spacing w:after="0" w:line="32" w:lineRule="exact"/>
        <w:rPr>
          <w:sz w:val="20"/>
          <w:szCs w:val="20"/>
          <w:color w:val="auto"/>
        </w:rPr>
      </w:pPr>
    </w:p>
    <w:p>
      <w:pPr>
        <w:ind w:right="2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Declaration of Limited Partnership</w:t>
      </w:r>
      <w:r>
        <w:rPr>
          <w:rFonts w:ascii="Arial" w:cs="Arial" w:eastAsia="Arial" w:hAnsi="Arial"/>
          <w:sz w:val="16"/>
          <w:szCs w:val="16"/>
          <w:color w:val="auto"/>
        </w:rPr>
        <w:t>” means the Declaration of Limited Partnership of the Partnership which was executed by the General Partner and filled in the office of the Registrar under the Act on September 24, 2007, and all subsequent amendments thereto and restatements thereof.</w:t>
      </w:r>
    </w:p>
    <w:p>
      <w:pPr>
        <w:spacing w:after="0" w:line="4"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Interest Rate</w:t>
      </w:r>
      <w:r>
        <w:rPr>
          <w:rFonts w:ascii="Arial" w:cs="Arial" w:eastAsia="Arial" w:hAnsi="Arial"/>
          <w:sz w:val="18"/>
          <w:szCs w:val="18"/>
          <w:color w:val="auto"/>
        </w:rPr>
        <w:t>” shall mean the lower of (i) the sum of (a) the rate of interest per annum publicly announced from time to time by J.P. Morgan Chase as its prime rate and (b) 5%, and (ii) the highest rate of interest permitted under applicable law.</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Amount</w:t>
      </w:r>
      <w:r>
        <w:rPr>
          <w:rFonts w:ascii="Arial" w:cs="Arial" w:eastAsia="Arial" w:hAnsi="Arial"/>
          <w:sz w:val="18"/>
          <w:szCs w:val="18"/>
          <w:color w:val="auto"/>
        </w:rPr>
        <w:t>” has the meaning set forth in Section 4.5(c)(ii).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Partner</w:t>
      </w:r>
      <w:r>
        <w:rPr>
          <w:rFonts w:ascii="Arial" w:cs="Arial" w:eastAsia="Arial" w:hAnsi="Arial"/>
          <w:sz w:val="18"/>
          <w:szCs w:val="18"/>
          <w:color w:val="auto"/>
        </w:rPr>
        <w:t>” has the meaning set forth in Section 5.1(b).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 to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EPI</w:t>
      </w:r>
      <w:r>
        <w:rPr>
          <w:rFonts w:ascii="Arial" w:cs="Arial" w:eastAsia="Arial" w:hAnsi="Arial"/>
          <w:sz w:val="18"/>
          <w:szCs w:val="18"/>
          <w:color w:val="auto"/>
        </w:rPr>
        <w:t>” means Evercore Partners Inc.</w:t>
      </w:r>
    </w:p>
    <w:p>
      <w:pPr>
        <w:spacing w:after="0" w:line="90"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EPI Limited Partner</w:t>
      </w:r>
      <w:r>
        <w:rPr>
          <w:rFonts w:ascii="Arial" w:cs="Arial" w:eastAsia="Arial" w:hAnsi="Arial"/>
          <w:sz w:val="18"/>
          <w:szCs w:val="18"/>
          <w:color w:val="auto"/>
        </w:rPr>
        <w:t>” means each of William O. Hiltz, Pedro Aspe, and Kathleen G. Reiland and any other individual admitted to the Partnership by the General Partner as an EPI Limited Partner in accordance with the provisions of this Agreement, in each case for so long as such person remains an EPI Limited Partner hereunder. Once an EPI Limited Partner ceases to be employed by or, in the case of an Operating Executive, a consultant to, any of EPI, the Investment Adviser, the Investment Manager or any of their respective Affiliates, such EPI Limited Partner shall automatically cease to be a EPI Limited Partner and shall become a Special Limited Partner.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Income Tax Amount</w:t>
      </w:r>
      <w:r>
        <w:rPr>
          <w:rFonts w:ascii="Arial" w:cs="Arial" w:eastAsia="Arial" w:hAnsi="Arial"/>
          <w:sz w:val="18"/>
          <w:szCs w:val="18"/>
          <w:color w:val="auto"/>
        </w:rPr>
        <w:t>” has the meaning set forth in Section 4.5(e).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Income Tax Amount</w:t>
      </w:r>
      <w:r>
        <w:rPr>
          <w:rFonts w:ascii="Arial" w:cs="Arial" w:eastAsia="Arial" w:hAnsi="Arial"/>
          <w:sz w:val="18"/>
          <w:szCs w:val="18"/>
          <w:color w:val="auto"/>
        </w:rPr>
        <w:t>” has the meaning set forth in Section 4.5(e).</w:t>
      </w:r>
    </w:p>
    <w:p>
      <w:pPr>
        <w:spacing w:after="0" w:line="90"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to any asset, unless otherwise specified, the fair market value of such asset determined on a basis consistent with the Fund Partnership Agreement and otherwise as reasonably determined by the General Partner.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134" w:name="page135"/>
    <w:bookmarkEnd w:id="134"/>
    <w:p>
      <w:pPr>
        <w:ind w:right="120" w:firstLine="43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Family Related Limited Partner</w:t>
      </w:r>
      <w:r>
        <w:rPr>
          <w:rFonts w:ascii="Arial" w:cs="Arial" w:eastAsia="Arial" w:hAnsi="Arial"/>
          <w:sz w:val="16"/>
          <w:szCs w:val="16"/>
          <w:color w:val="auto"/>
        </w:rPr>
        <w:t>” means, with respect to any EPI Limited Partner, any Partner who is a member of such EPI Limited Partner’s family or any Partner which is a trust, partnership or other entity formed by such EPI Limited Partner for investment by or for the benefit of members of such EPI Limited Partner’s family, such EPI Limited Partner’s other relatives or charitable organizations.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has the meaning set forth in Section 6.3.</w:t>
      </w:r>
    </w:p>
    <w:p>
      <w:pPr>
        <w:spacing w:after="0" w:line="90" w:lineRule="exact"/>
        <w:rPr>
          <w:sz w:val="20"/>
          <w:szCs w:val="20"/>
          <w:color w:val="auto"/>
        </w:rPr>
      </w:pPr>
    </w:p>
    <w:p>
      <w:pPr>
        <w:jc w:val="both"/>
        <w:ind w:right="28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Fund</w:t>
      </w:r>
      <w:r>
        <w:rPr>
          <w:rFonts w:ascii="Arial" w:cs="Arial" w:eastAsia="Arial" w:hAnsi="Arial"/>
          <w:sz w:val="15"/>
          <w:szCs w:val="15"/>
          <w:color w:val="auto"/>
        </w:rPr>
        <w:t>” means Evercore Mexico Capital Partners II L.P., an Ontario limited partnership, any Parallel Investment Vehicle (as defined in the Fund Partnership Agreements) and, where the context so requires, any Alternative Investment Vehicle formed pursuant to the Fund Partnership Agreement.</w:t>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Investment</w:t>
      </w:r>
      <w:r>
        <w:rPr>
          <w:rFonts w:ascii="Arial" w:cs="Arial" w:eastAsia="Arial" w:hAnsi="Arial"/>
          <w:sz w:val="18"/>
          <w:szCs w:val="18"/>
          <w:color w:val="auto"/>
        </w:rPr>
        <w:t>” means an investment by the Fund.</w:t>
      </w:r>
    </w:p>
    <w:p>
      <w:pPr>
        <w:spacing w:after="0" w:line="90"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Partnership Agreement</w:t>
      </w:r>
      <w:r>
        <w:rPr>
          <w:rFonts w:ascii="Arial" w:cs="Arial" w:eastAsia="Arial" w:hAnsi="Arial"/>
          <w:sz w:val="18"/>
          <w:szCs w:val="18"/>
          <w:color w:val="auto"/>
        </w:rPr>
        <w:t>” means the amended and restated agreement of limited partnership of the Fund, dated as of December 18, 2007, as may be further amended or modified from time to time.</w:t>
      </w:r>
    </w:p>
    <w:p>
      <w:pPr>
        <w:spacing w:after="0" w:line="51"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Private Equity Investments</w:t>
      </w:r>
      <w:r>
        <w:rPr>
          <w:rFonts w:ascii="Arial" w:cs="Arial" w:eastAsia="Arial" w:hAnsi="Arial"/>
          <w:sz w:val="18"/>
          <w:szCs w:val="18"/>
          <w:color w:val="auto"/>
        </w:rPr>
        <w:t>” as of any date of determination means Private Equity Investments the capital contributions for which were made prior to such date.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Partner</w:t>
      </w:r>
      <w:r>
        <w:rPr>
          <w:rFonts w:ascii="Arial" w:cs="Arial" w:eastAsia="Arial" w:hAnsi="Arial"/>
          <w:sz w:val="16"/>
          <w:szCs w:val="16"/>
          <w:color w:val="auto"/>
        </w:rPr>
        <w:t>” means Evercore Mexico GP Holdings LLC, the general partner of the partnership, and any successors in such capacity.</w:t>
      </w:r>
    </w:p>
    <w:p>
      <w:pPr>
        <w:spacing w:after="0" w:line="113"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 Capital Commitment</w:t>
      </w:r>
      <w:r>
        <w:rPr>
          <w:rFonts w:ascii="Arial" w:cs="Arial" w:eastAsia="Arial" w:hAnsi="Arial"/>
          <w:sz w:val="18"/>
          <w:szCs w:val="18"/>
          <w:color w:val="auto"/>
        </w:rPr>
        <w:t>” means the aggregate capital commitment of the Partnership to the Fund, as such amount may increase from time to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Give-Back Amount</w:t>
      </w:r>
      <w:r>
        <w:rPr>
          <w:rFonts w:ascii="Arial" w:cs="Arial" w:eastAsia="Arial" w:hAnsi="Arial"/>
          <w:sz w:val="18"/>
          <w:szCs w:val="18"/>
          <w:color w:val="auto"/>
        </w:rPr>
        <w:t>” has the meaning set forth in Section 4.5(c)(i)(A).</w:t>
      </w:r>
    </w:p>
    <w:p>
      <w:pPr>
        <w:spacing w:after="0" w:line="90" w:lineRule="exact"/>
        <w:rPr>
          <w:sz w:val="20"/>
          <w:szCs w:val="20"/>
          <w:color w:val="auto"/>
        </w:rPr>
      </w:pPr>
    </w:p>
    <w:p>
      <w:pPr>
        <w:ind w:right="5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Give-Back Obligation</w:t>
      </w:r>
      <w:r>
        <w:rPr>
          <w:rFonts w:ascii="Arial" w:cs="Arial" w:eastAsia="Arial" w:hAnsi="Arial"/>
          <w:sz w:val="18"/>
          <w:szCs w:val="18"/>
          <w:color w:val="auto"/>
        </w:rPr>
        <w:t>” means any amount the Partnership is required to return to the Fund pursuant to Section 7.3 of the Fund Partnership Agreement.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Holdings</w:t>
      </w:r>
      <w:r>
        <w:rPr>
          <w:rFonts w:ascii="Arial" w:cs="Arial" w:eastAsia="Arial" w:hAnsi="Arial"/>
          <w:sz w:val="18"/>
          <w:szCs w:val="18"/>
          <w:color w:val="auto"/>
        </w:rPr>
        <w:t>” means Evercore GP Holdings L.L.C.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Account</w:t>
      </w:r>
      <w:r>
        <w:rPr>
          <w:rFonts w:ascii="Arial" w:cs="Arial" w:eastAsia="Arial" w:hAnsi="Arial"/>
          <w:sz w:val="18"/>
          <w:szCs w:val="18"/>
          <w:color w:val="auto"/>
        </w:rPr>
        <w:t>” has the meaning set forth in Section 4.5(a).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Partner</w:t>
      </w:r>
      <w:r>
        <w:rPr>
          <w:rFonts w:ascii="Arial" w:cs="Arial" w:eastAsia="Arial" w:hAnsi="Arial"/>
          <w:sz w:val="18"/>
          <w:szCs w:val="18"/>
          <w:color w:val="auto"/>
        </w:rPr>
        <w:t>” has the meaning set forth in Section 4.5(e).</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Percentage</w:t>
      </w:r>
      <w:r>
        <w:rPr>
          <w:rFonts w:ascii="Arial" w:cs="Arial" w:eastAsia="Arial" w:hAnsi="Arial"/>
          <w:sz w:val="18"/>
          <w:szCs w:val="18"/>
          <w:color w:val="auto"/>
        </w:rPr>
        <w:t>” of a Partner means the designated percentage of the Carried Interest Proceeds allocated to such Partner, which shall initially be as set forth in such Partner’s Terms Letter.</w:t>
      </w:r>
    </w:p>
    <w:p>
      <w:pPr>
        <w:spacing w:after="0" w:line="1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0"/>
          </w:cols>
          <w:pgMar w:left="700" w:top="280" w:right="379" w:bottom="1440" w:gutter="0" w:footer="0" w:header="0"/>
        </w:sectPr>
      </w:pPr>
    </w:p>
    <w:bookmarkStart w:id="135" w:name="page136"/>
    <w:bookmarkEnd w:id="135"/>
    <w:p>
      <w:pPr>
        <w:ind w:right="40" w:firstLine="43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Income Tax Amount</w:t>
      </w:r>
      <w:r>
        <w:rPr>
          <w:rFonts w:ascii="Arial" w:cs="Arial" w:eastAsia="Arial" w:hAnsi="Arial"/>
          <w:sz w:val="16"/>
          <w:szCs w:val="16"/>
          <w:color w:val="auto"/>
        </w:rPr>
        <w:t>” means, with respect to Carried Interest Proceeds distributed or deemed distributed to a Partner (including amounts credited to such Partner’s sub-accounts in the Holdback Account pursuant to Section 4.5(a)), the amount of income tax assumed to be imposed on allocations of taxable income related to such Carried Interest Proceeds (including taxes that would be borne by a Partner assuming an immediate sale of securities initially received in kind pursuant to Section 7.4(b) of the Fund Partnership Agreement), with such income tax calculated by assuming that (i) the tax rate imposed is the Assumed Income Tax Rate in effect in the Fiscal Year of any such allocation and (ii) capital losses from the disposition of a Private Equity Investment allocated to such Partner relating to Carried Interest Proceeds (“Capital Losses”) shall reduce capital gains from the Disposition of a Private Equity Investment allocated to such Partner relating to Carried Interest Proceeds (“Capital Gains”) only to the extent of the amount of Capital Gains recognized in the Fiscal Year of the recognition of a Capital Loss or a subsequent Fiscal Year (only to the extent that Capital Gain may properly offset such Capital Loss), reduced by the amount of any tax benefit actually realized by such Partner (or, if such Partner is treated as a partnership for federal income tax purposes, its direct or indirect owners) in the year in which the Partnership is required to make a payment of a Give-Back Amount, which tax benefit is attributable solely to the making of such payment (or adjustment) and which benefit shall be determined assuming the only items of income, gain, loss, deduction or credit of such Partner (or, if such Partner is treated as a partnership for federal income tax purposes, its direct or indirect owners) are attributable to such Partner’s investment in the Partnership.</w:t>
      </w:r>
    </w:p>
    <w:p>
      <w:pPr>
        <w:spacing w:after="0" w:line="4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Closing Date</w:t>
      </w:r>
      <w:r>
        <w:rPr>
          <w:rFonts w:ascii="Arial" w:cs="Arial" w:eastAsia="Arial" w:hAnsi="Arial"/>
          <w:sz w:val="18"/>
          <w:szCs w:val="18"/>
          <w:color w:val="auto"/>
        </w:rPr>
        <w:t>” means the date established by the General Partner for the admission to the Partnership of the initial Limited Partners other than the Organizational Limited Partner.</w:t>
      </w:r>
    </w:p>
    <w:p>
      <w:pPr>
        <w:spacing w:after="0" w:line="51" w:lineRule="exact"/>
        <w:rPr>
          <w:sz w:val="20"/>
          <w:szCs w:val="20"/>
          <w:color w:val="auto"/>
        </w:rPr>
      </w:pPr>
    </w:p>
    <w:p>
      <w:pPr>
        <w:jc w:val="both"/>
        <w:ind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the entire partnership interest owned by a Partner in the Partnership at any particular time, including the right of such Partner to any and all benefits to which a Partner may be entitled as provided in this Agreement, together with the obligations of such Partner to comply with all the terms and provisions of this Agreement.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Advisor</w:t>
      </w:r>
      <w:r>
        <w:rPr>
          <w:rFonts w:ascii="Arial" w:cs="Arial" w:eastAsia="Arial" w:hAnsi="Arial"/>
          <w:sz w:val="16"/>
          <w:szCs w:val="16"/>
          <w:color w:val="auto"/>
        </w:rPr>
        <w:t xml:space="preserve">” means Administradora Evercore, S.C., a Mexican </w:t>
      </w:r>
      <w:r>
        <w:rPr>
          <w:rFonts w:ascii="Arial" w:cs="Arial" w:eastAsia="Arial" w:hAnsi="Arial"/>
          <w:sz w:val="16"/>
          <w:szCs w:val="16"/>
          <w:i w:val="1"/>
          <w:iCs w:val="1"/>
          <w:color w:val="auto"/>
        </w:rPr>
        <w:t>sociedad civil</w:t>
      </w:r>
      <w:r>
        <w:rPr>
          <w:rFonts w:ascii="Arial" w:cs="Arial" w:eastAsia="Arial" w:hAnsi="Arial"/>
          <w:sz w:val="16"/>
          <w:szCs w:val="16"/>
          <w:color w:val="auto"/>
        </w:rPr>
        <w:t>, or any successor thereto as investment advisor to the Fund.</w:t>
      </w:r>
    </w:p>
    <w:p>
      <w:pPr>
        <w:spacing w:after="0" w:line="113" w:lineRule="exact"/>
        <w:rPr>
          <w:sz w:val="20"/>
          <w:szCs w:val="20"/>
          <w:color w:val="auto"/>
        </w:rPr>
      </w:pPr>
    </w:p>
    <w:p>
      <w:pPr>
        <w:ind w:right="6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means the Investment Advisory Agreement, dated as of December 18, 2007, between the Partnership, the Investment Advisor and the Investment Manager as amended or modified from time to time.</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Management Agreement</w:t>
      </w:r>
      <w:r>
        <w:rPr>
          <w:rFonts w:ascii="Arial" w:cs="Arial" w:eastAsia="Arial" w:hAnsi="Arial"/>
          <w:sz w:val="18"/>
          <w:szCs w:val="18"/>
          <w:color w:val="auto"/>
        </w:rPr>
        <w:t>” means the Investment Management Agreement dated as of the date hereof between the Partnership, as general partner on behalf of the Fund, and the Investment Manager.</w:t>
      </w:r>
    </w:p>
    <w:p>
      <w:pPr>
        <w:spacing w:after="0" w:line="51" w:lineRule="exact"/>
        <w:rPr>
          <w:sz w:val="20"/>
          <w:szCs w:val="20"/>
          <w:color w:val="auto"/>
        </w:rPr>
      </w:pPr>
    </w:p>
    <w:p>
      <w:pPr>
        <w:ind w:right="6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Manager</w:t>
      </w:r>
      <w:r>
        <w:rPr>
          <w:rFonts w:ascii="Arial" w:cs="Arial" w:eastAsia="Arial" w:hAnsi="Arial"/>
          <w:sz w:val="18"/>
          <w:szCs w:val="18"/>
          <w:color w:val="auto"/>
        </w:rPr>
        <w:t>” means Evercore Mexico Management II, L.L.C., a limited liability company organized under the laws of the State of Delaware.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36" w:name="page137"/>
    <w:bookmarkEnd w:id="1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Issuance Items</w:t>
      </w:r>
      <w:r>
        <w:rPr>
          <w:rFonts w:ascii="Arial" w:cs="Arial" w:eastAsia="Arial" w:hAnsi="Arial"/>
          <w:sz w:val="18"/>
          <w:szCs w:val="18"/>
          <w:color w:val="auto"/>
        </w:rPr>
        <w:t>” has the meaning set forth in Section 5.4(g).</w:t>
      </w:r>
    </w:p>
    <w:p>
      <w:pPr>
        <w:spacing w:after="0" w:line="90" w:lineRule="exact"/>
        <w:rPr>
          <w:sz w:val="20"/>
          <w:szCs w:val="20"/>
          <w:color w:val="auto"/>
        </w:rPr>
      </w:pPr>
    </w:p>
    <w:p>
      <w:pPr>
        <w:ind w:right="2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Partner</w:t>
      </w:r>
      <w:r>
        <w:rPr>
          <w:rFonts w:ascii="Arial" w:cs="Arial" w:eastAsia="Arial" w:hAnsi="Arial"/>
          <w:sz w:val="18"/>
          <w:szCs w:val="18"/>
          <w:color w:val="auto"/>
        </w:rPr>
        <w:t>” means, at any time, any Person who is at such time a limited partner of the Partnership and shown as such on the books and records of the Partnership (other than the Organizational Limited Partner), including EPI Limited Partners, Family Related Limited Partners and Special Limited Partners and shall not include any Person who is a Canadian-Resident Person.</w:t>
      </w:r>
    </w:p>
    <w:p>
      <w:pPr>
        <w:spacing w:after="0" w:line="59" w:lineRule="exact"/>
        <w:rPr>
          <w:sz w:val="20"/>
          <w:szCs w:val="20"/>
          <w:color w:val="auto"/>
        </w:rPr>
      </w:pPr>
    </w:p>
    <w:p>
      <w:pPr>
        <w:ind w:right="3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has the meaning set forth in Treasury Regulations Section 1.704-2(b). The amount of Nonrecourse Deductions of the Partnership for a fiscal year equals the net increase, if any, in the amount of Partnership Minimum Gain of the Partnership during that fiscal year, determined according to the provisions of Treasury Regulations Section 1.704-2(c).</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Executives</w:t>
      </w:r>
      <w:r>
        <w:rPr>
          <w:rFonts w:ascii="Arial" w:cs="Arial" w:eastAsia="Arial" w:hAnsi="Arial"/>
          <w:sz w:val="18"/>
          <w:szCs w:val="18"/>
          <w:color w:val="auto"/>
        </w:rPr>
        <w:t>” means any person admitted to the Partnership as such in accordance with the provisions of this Agreement.</w:t>
      </w:r>
    </w:p>
    <w:p>
      <w:pPr>
        <w:spacing w:after="0" w:line="90" w:lineRule="exact"/>
        <w:rPr>
          <w:sz w:val="20"/>
          <w:szCs w:val="20"/>
          <w:color w:val="auto"/>
        </w:rPr>
      </w:pPr>
    </w:p>
    <w:p>
      <w:pPr>
        <w:ind w:right="4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Reserve</w:t>
      </w:r>
      <w:r>
        <w:rPr>
          <w:rFonts w:ascii="Arial" w:cs="Arial" w:eastAsia="Arial" w:hAnsi="Arial"/>
          <w:sz w:val="18"/>
          <w:szCs w:val="18"/>
          <w:color w:val="auto"/>
        </w:rPr>
        <w:t>” means such amount as is determined by the General Partner in good faith to be necessary or prudent for the Partnership to maintain in cash or Temporary Investments in order to satisfy the Partnership’s accrued expenses and otherwise to meet the operational needs of the Partnership’s business.</w:t>
      </w:r>
    </w:p>
    <w:p>
      <w:pPr>
        <w:spacing w:after="0" w:line="59"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Limited Partner</w:t>
      </w:r>
      <w:r>
        <w:rPr>
          <w:rFonts w:ascii="Arial" w:cs="Arial" w:eastAsia="Arial" w:hAnsi="Arial"/>
          <w:sz w:val="18"/>
          <w:szCs w:val="18"/>
          <w:color w:val="auto"/>
        </w:rPr>
        <w:t>” means Evercore Mexico Management II, L.L.C., a limited liability company organized under the laws of the State of Delaware.</w:t>
      </w:r>
    </w:p>
    <w:p>
      <w:pPr>
        <w:spacing w:after="0" w:line="51"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Investment Vehicle</w:t>
      </w:r>
      <w:r>
        <w:rPr>
          <w:rFonts w:ascii="Arial" w:cs="Arial" w:eastAsia="Arial" w:hAnsi="Arial"/>
          <w:sz w:val="18"/>
          <w:szCs w:val="18"/>
          <w:color w:val="auto"/>
        </w:rPr>
        <w:t>” means any investment vehicle organized to make all or any category of investments in Portfolio Companies in parallel with the Partnership, as described in Section 5.4 of the Fund Partnership Agreement.</w:t>
      </w:r>
    </w:p>
    <w:p>
      <w:pPr>
        <w:spacing w:after="0" w:line="51" w:lineRule="exact"/>
        <w:rPr>
          <w:sz w:val="20"/>
          <w:szCs w:val="20"/>
          <w:color w:val="auto"/>
        </w:rPr>
      </w:pPr>
    </w:p>
    <w:p>
      <w:pPr>
        <w:ind w:right="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Participation Agreement</w:t>
      </w:r>
      <w:r>
        <w:rPr>
          <w:rFonts w:ascii="Arial" w:cs="Arial" w:eastAsia="Arial" w:hAnsi="Arial"/>
          <w:sz w:val="16"/>
          <w:szCs w:val="16"/>
          <w:color w:val="auto"/>
        </w:rPr>
        <w:t>” means the Participation Agreement among the EPI Limited Partners and their Family Related Limited Partners relating to the allocation of certain distributions from the Partnership and certain of its Affiliates into common pools, as amended from time to time.</w:t>
      </w:r>
    </w:p>
    <w:p>
      <w:pPr>
        <w:spacing w:after="0" w:line="4"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w:t>
      </w:r>
      <w:r>
        <w:rPr>
          <w:rFonts w:ascii="Arial" w:cs="Arial" w:eastAsia="Arial" w:hAnsi="Arial"/>
          <w:sz w:val="18"/>
          <w:szCs w:val="18"/>
          <w:color w:val="auto"/>
        </w:rPr>
        <w:t>” means each of the persons listed as a Partner in Annex A hereto and any person admitted to the Partnership as an additional or substituted partner of the Partnership in accordance with the provisions of this Agreement and the Act.</w:t>
      </w:r>
    </w:p>
    <w:p>
      <w:pPr>
        <w:spacing w:after="0" w:line="51"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 Nonrecourse Debt Minimum Gain</w:t>
      </w:r>
      <w:r>
        <w:rPr>
          <w:rFonts w:ascii="Arial" w:cs="Arial" w:eastAsia="Arial" w:hAnsi="Arial"/>
          <w:sz w:val="16"/>
          <w:szCs w:val="16"/>
          <w:color w:val="auto"/>
        </w:rPr>
        <w:t>” means an amount with respect to each partner nonrecourse debt (as defined in Treasury Regulations Section 1.704-2(b)(4)) equal to the Partnership Minimum Gain that would result if such partner nonrecourse debt were treated as a nonrecourse liability (as defined in Treasury Regulations Section 1.752-1(a)(2)) determined in accordance with Treasury Regulations Section 1.704-2(i)(3).</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137" w:name="page138"/>
    <w:bookmarkEnd w:id="137"/>
    <w:p>
      <w:pPr>
        <w:ind w:right="6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Partner Nonrecourse Deductions</w:t>
      </w:r>
      <w:r>
        <w:rPr>
          <w:rFonts w:ascii="Arial" w:cs="Arial" w:eastAsia="Arial" w:hAnsi="Arial"/>
          <w:sz w:val="18"/>
          <w:szCs w:val="18"/>
          <w:color w:val="auto"/>
        </w:rPr>
        <w:t>” has the meaning ascribed to the term “partner nonrecourse deductions” set forth in Treasury Regulations Section 1.704-2(i)(2).</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Evercore Mexico Partners II, L.P., an Ontario limited partnership.</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Minimum Gain</w:t>
      </w:r>
      <w:r>
        <w:rPr>
          <w:rFonts w:ascii="Arial" w:cs="Arial" w:eastAsia="Arial" w:hAnsi="Arial"/>
          <w:sz w:val="16"/>
          <w:szCs w:val="16"/>
          <w:color w:val="auto"/>
        </w:rPr>
        <w:t>” has the meaning ascribed to the term as set forth in Treasury Regulations Section 1.704-2(b)(2) and 1.704-2(d).</w:t>
      </w:r>
    </w:p>
    <w:p>
      <w:pPr>
        <w:spacing w:after="0" w:line="113" w:lineRule="exact"/>
        <w:rPr>
          <w:sz w:val="20"/>
          <w:szCs w:val="20"/>
          <w:color w:val="auto"/>
        </w:rPr>
      </w:pPr>
    </w:p>
    <w:p>
      <w:pPr>
        <w:ind w:right="4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Permanent Disability</w:t>
      </w:r>
      <w:r>
        <w:rPr>
          <w:rFonts w:ascii="Arial" w:cs="Arial" w:eastAsia="Arial" w:hAnsi="Arial"/>
          <w:sz w:val="16"/>
          <w:szCs w:val="16"/>
          <w:color w:val="auto"/>
        </w:rPr>
        <w:t>” with respect to any person means a reasonable determination by the General Partner that such person has been unable to perform the important duties of his or her employment or, in the case of an Operating Executive, consultancy with EPI, the Investment Advisor, the Investment Manager or any of their respective Affiliates on a full-time basis for a period of 180 consecutive days and is reasonably likely to continue to be unable to do so, because of (a) an accidental bodily loss or harm or (b) an illness or disease. For this purpose, “full-time” shall mean at least 30 hours per week. All determinations of Permanent Disability shall be made by the General Partner .</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trust or other entity.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Company</w:t>
      </w:r>
      <w:r>
        <w:rPr>
          <w:rFonts w:ascii="Arial" w:cs="Arial" w:eastAsia="Arial" w:hAnsi="Arial"/>
          <w:sz w:val="18"/>
          <w:szCs w:val="18"/>
          <w:color w:val="auto"/>
        </w:rPr>
        <w:t>” has the meaning set forth in the Fund Partnership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Equity Investment</w:t>
      </w:r>
      <w:r>
        <w:rPr>
          <w:rFonts w:ascii="Arial" w:cs="Arial" w:eastAsia="Arial" w:hAnsi="Arial"/>
          <w:sz w:val="18"/>
          <w:szCs w:val="18"/>
          <w:color w:val="auto"/>
        </w:rPr>
        <w:t>” has the meaning set forth in the Fund Partnership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set forth in the Fund Partnership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 Agent</w:t>
      </w:r>
      <w:r>
        <w:rPr>
          <w:rFonts w:ascii="Arial" w:cs="Arial" w:eastAsia="Arial" w:hAnsi="Arial"/>
          <w:sz w:val="18"/>
          <w:szCs w:val="18"/>
          <w:color w:val="auto"/>
        </w:rPr>
        <w:t>” has the meaning set forth in Section 2.1(b).</w:t>
      </w:r>
    </w:p>
    <w:p>
      <w:pPr>
        <w:spacing w:after="0" w:line="90"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Profits</w:t>
      </w:r>
      <w:r>
        <w:rPr>
          <w:rFonts w:ascii="Arial" w:cs="Arial" w:eastAsia="Arial" w:hAnsi="Arial"/>
          <w:sz w:val="16"/>
          <w:szCs w:val="16"/>
          <w:color w:val="auto"/>
        </w:rPr>
        <w:t>” and “</w:t>
      </w:r>
      <w:r>
        <w:rPr>
          <w:rFonts w:ascii="Arial" w:cs="Arial" w:eastAsia="Arial" w:hAnsi="Arial"/>
          <w:sz w:val="16"/>
          <w:szCs w:val="16"/>
          <w:u w:val="single" w:color="auto"/>
          <w:color w:val="auto"/>
        </w:rPr>
        <w:t>Losses</w:t>
      </w:r>
      <w:r>
        <w:rPr>
          <w:rFonts w:ascii="Arial" w:cs="Arial" w:eastAsia="Arial" w:hAnsi="Arial"/>
          <w:sz w:val="16"/>
          <w:szCs w:val="16"/>
          <w:color w:val="auto"/>
        </w:rPr>
        <w:t>” means, for each Fiscal Year or other period, the taxable income or loss of the Partnership, or particular items thereof, determined in accordance with the accounting method used by the Partnership for federal income tax purposes with the following adjustments: (a) all items of income, gain, loss or deduction allocated pursuant to Section 5.4 shall not be taken into account in computing such taxable income or loss; (b) any income of the Partnership that is exempt from federal income taxation and not otherwise taken into account in computing Profits and Losses shall be added to such taxable income or loss; (c) if the Carrying Value of any asset differs from its adjusted tax basis for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38" w:name="page139"/>
    <w:bookmarkEnd w:id="13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Carrying Value of any asset differs from its adjusted tax basis for federal income tax purposes, the amount of depreciation, amortization or cost recovery deductions with respect to such asset for purposes of determining Profits and Losses, if any, shall be an amount which bears the same ratio to such Carrying Value as the federal income tax depreciation, amortization or other cost recovery deductions bears to such adjusted tax basis (provided that if the federal income tax depreciation, amortization or other cost recovery deduction is zero, the General Partner may use any reasonable method for purposes of determining depreciation, amortization or other cost recovery deductions in calculating Profits and Losses); and (f) except for items in (a) above, any expenditures of the Partnership not deductible in computing taxable income or loss, not properly capitalizable and not otherwise taken into account in computing Profits and Losses pursuant to this definition shall be treated as deductible items.</w:t>
      </w:r>
    </w:p>
    <w:p>
      <w:pPr>
        <w:spacing w:after="0" w:line="37" w:lineRule="exact"/>
        <w:rPr>
          <w:sz w:val="20"/>
          <w:szCs w:val="20"/>
          <w:color w:val="auto"/>
        </w:rPr>
      </w:pPr>
    </w:p>
    <w:p>
      <w:pPr>
        <w:ind w:right="2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Sharing Percentage</w:t>
      </w:r>
      <w:r>
        <w:rPr>
          <w:rFonts w:ascii="Arial" w:cs="Arial" w:eastAsia="Arial" w:hAnsi="Arial"/>
          <w:sz w:val="18"/>
          <w:szCs w:val="18"/>
          <w:color w:val="auto"/>
        </w:rPr>
        <w:t>” of a Partner means the percentage interest of such Partner in Carried Interest Proceeds to be distributed to the Partners from the Carried Interest earned by the Partnership from the Fund. The Profit Sharing Percentage of a Partner initially shall be as set forth in the Terms Letter between the Partnership and such Partner.</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Recalculated Income Tax Amount</w:t>
      </w:r>
      <w:r>
        <w:rPr>
          <w:rFonts w:ascii="Arial" w:cs="Arial" w:eastAsia="Arial" w:hAnsi="Arial"/>
          <w:sz w:val="18"/>
          <w:szCs w:val="18"/>
          <w:color w:val="auto"/>
        </w:rPr>
        <w:t>” has the meaning set forth in Section 4.5(e).</w:t>
      </w:r>
    </w:p>
    <w:p>
      <w:pPr>
        <w:spacing w:after="0" w:line="90" w:lineRule="exact"/>
        <w:rPr>
          <w:sz w:val="20"/>
          <w:szCs w:val="20"/>
          <w:color w:val="auto"/>
        </w:rPr>
      </w:pPr>
    </w:p>
    <w:p>
      <w:pPr>
        <w:ind w:right="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Record of Limited Partners</w:t>
      </w:r>
      <w:r>
        <w:rPr>
          <w:rFonts w:ascii="Arial" w:cs="Arial" w:eastAsia="Arial" w:hAnsi="Arial"/>
          <w:sz w:val="16"/>
          <w:szCs w:val="16"/>
          <w:color w:val="auto"/>
        </w:rPr>
        <w:t>” means the current record of the Limited Partners maintained by the General Partner and kept at the Partnership’s office in Ontario, stating for each Limited Partner, its name, address, amount of Capital Commitment and any other information required by the Act.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means a public servant of the Ontario Ministry of Public Services.</w:t>
      </w:r>
    </w:p>
    <w:p>
      <w:pPr>
        <w:spacing w:after="0" w:line="90" w:lineRule="exact"/>
        <w:rPr>
          <w:sz w:val="20"/>
          <w:szCs w:val="20"/>
          <w:color w:val="auto"/>
        </w:rPr>
      </w:pPr>
    </w:p>
    <w:p>
      <w:pPr>
        <w:ind w:right="3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Repurchased Capital Contributions</w:t>
      </w:r>
      <w:r>
        <w:rPr>
          <w:rFonts w:ascii="Arial" w:cs="Arial" w:eastAsia="Arial" w:hAnsi="Arial"/>
          <w:sz w:val="16"/>
          <w:szCs w:val="16"/>
          <w:color w:val="auto"/>
        </w:rPr>
        <w:t>” means, with respect to any Partner, (i) an amount equal to the portion of the aggregate capital contributions made by such Partner to the Partnership, on or prior to the Termination Date, in respect of a particular Private Equity Investment that relates to the Repurchase Percentage of such Partner’s Profit Sharing Percentage, net of (ii) any Capital Proceeds received by such Partner in respect of such capital contributions referred to in the foregoing clause (i) on or prior to the Termination Date.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Notice</w:t>
      </w:r>
      <w:r>
        <w:rPr>
          <w:rFonts w:ascii="Arial" w:cs="Arial" w:eastAsia="Arial" w:hAnsi="Arial"/>
          <w:sz w:val="18"/>
          <w:szCs w:val="18"/>
          <w:color w:val="auto"/>
        </w:rPr>
        <w:t>” has the meaning set forth in Section 4.4(c).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 Percentage</w:t>
      </w:r>
      <w:r>
        <w:rPr>
          <w:rFonts w:ascii="Arial" w:cs="Arial" w:eastAsia="Arial" w:hAnsi="Arial"/>
          <w:sz w:val="16"/>
          <w:szCs w:val="16"/>
          <w:color w:val="auto"/>
        </w:rPr>
        <w:t>” means, with respect to any Partner, the relevant percentage set forth in this Agreement and such Partner’s Terms Letter.</w:t>
      </w:r>
    </w:p>
    <w:p>
      <w:pPr>
        <w:spacing w:after="0" w:line="113" w:lineRule="exact"/>
        <w:rPr>
          <w:sz w:val="20"/>
          <w:szCs w:val="20"/>
          <w:color w:val="auto"/>
        </w:rPr>
      </w:pPr>
    </w:p>
    <w:p>
      <w:pPr>
        <w:jc w:val="both"/>
        <w:ind w:right="4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Price</w:t>
      </w:r>
      <w:r>
        <w:rPr>
          <w:rFonts w:ascii="Arial" w:cs="Arial" w:eastAsia="Arial" w:hAnsi="Arial"/>
          <w:sz w:val="18"/>
          <w:szCs w:val="18"/>
          <w:color w:val="auto"/>
        </w:rPr>
        <w:t>” means, with respect to any Partner, the aggregate amount of all portions of the Repurchase Price payable with respect to all Unfunded Private Equity Investments and Funded Private Equity Investments; the portion of the Repurchase Price payable with respect to a particular Private Equity Investment shall mean:</w:t>
      </w:r>
    </w:p>
    <w:p>
      <w:pPr>
        <w:spacing w:after="0" w:line="59" w:lineRule="exact"/>
        <w:rPr>
          <w:sz w:val="20"/>
          <w:szCs w:val="20"/>
          <w:color w:val="auto"/>
        </w:rPr>
      </w:pPr>
    </w:p>
    <w:p>
      <w:pPr>
        <w:ind w:left="460" w:right="100" w:firstLine="421"/>
        <w:spacing w:after="0" w:line="268" w:lineRule="auto"/>
        <w:tabs>
          <w:tab w:leader="none" w:pos="11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aggregate amount of the Capital Proceeds received by the Partnership in respect of such Repurchased Capital Contributions after the Termination Date (if any) exceeds the Repurchased Capital Contributions, then</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139" w:name="page140"/>
    <w:bookmarkEnd w:id="139"/>
    <w:p>
      <w:pPr>
        <w:ind w:left="1640" w:hanging="211"/>
        <w:spacing w:after="0"/>
        <w:tabs>
          <w:tab w:leader="none" w:pos="1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Repurchased Capital Contributions, plus</w:t>
      </w:r>
    </w:p>
    <w:p>
      <w:pPr>
        <w:spacing w:after="0" w:line="90" w:lineRule="exact"/>
        <w:rPr>
          <w:rFonts w:ascii="Arial" w:cs="Arial" w:eastAsia="Arial" w:hAnsi="Arial"/>
          <w:sz w:val="18"/>
          <w:szCs w:val="18"/>
          <w:color w:val="auto"/>
        </w:rPr>
      </w:pPr>
    </w:p>
    <w:p>
      <w:pPr>
        <w:ind w:left="1040" w:right="340" w:firstLine="389"/>
        <w:spacing w:after="0" w:line="332" w:lineRule="auto"/>
        <w:tabs>
          <w:tab w:leader="none" w:pos="1695"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amount by which the aggregate amount of the Capital Proceeds received by the Partnership in respect of such Repurchased Capital Contributions after the Termination Date (if any) exceeds the Repurchased Capital Contributions, minus</w:t>
      </w:r>
    </w:p>
    <w:p>
      <w:pPr>
        <w:spacing w:after="0" w:line="4" w:lineRule="exact"/>
        <w:rPr>
          <w:rFonts w:ascii="Arial" w:cs="Arial" w:eastAsia="Arial" w:hAnsi="Arial"/>
          <w:sz w:val="16"/>
          <w:szCs w:val="16"/>
          <w:color w:val="auto"/>
        </w:rPr>
      </w:pPr>
    </w:p>
    <w:p>
      <w:pPr>
        <w:ind w:left="1040" w:right="440" w:firstLine="389"/>
        <w:spacing w:after="0" w:line="268" w:lineRule="auto"/>
        <w:tabs>
          <w:tab w:leader="none" w:pos="174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aggregate amount of any portion of the Repurchase Price previously paid to such Partner after the Termination Date with respect to such Private Equity Investment.</w:t>
      </w:r>
    </w:p>
    <w:p>
      <w:pPr>
        <w:spacing w:after="0" w:line="50" w:lineRule="exact"/>
        <w:rPr>
          <w:rFonts w:ascii="Arial" w:cs="Arial" w:eastAsia="Arial" w:hAnsi="Arial"/>
          <w:sz w:val="18"/>
          <w:szCs w:val="18"/>
          <w:color w:val="auto"/>
        </w:rPr>
      </w:pPr>
    </w:p>
    <w:p>
      <w:pPr>
        <w:ind w:left="460" w:right="80" w:firstLine="421"/>
        <w:spacing w:after="0" w:line="268" w:lineRule="auto"/>
        <w:tabs>
          <w:tab w:leader="none" w:pos="11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aggregate amount of the Capital Proceeds received by the Partnership in respect of such Repurchased Capital Contributions after the Termination Date (if any) is less than or equal to the Repurchased Capital Contributions, then</w:t>
      </w:r>
    </w:p>
    <w:p>
      <w:pPr>
        <w:spacing w:after="0" w:line="50" w:lineRule="exact"/>
        <w:rPr>
          <w:rFonts w:ascii="Arial" w:cs="Arial" w:eastAsia="Arial" w:hAnsi="Arial"/>
          <w:sz w:val="18"/>
          <w:szCs w:val="18"/>
          <w:color w:val="auto"/>
        </w:rPr>
      </w:pPr>
    </w:p>
    <w:p>
      <w:pPr>
        <w:ind w:left="1640" w:hanging="211"/>
        <w:spacing w:after="0"/>
        <w:tabs>
          <w:tab w:leader="none" w:pos="1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Repurchased Capital Contributions, minus</w:t>
      </w:r>
    </w:p>
    <w:p>
      <w:pPr>
        <w:spacing w:after="0" w:line="90" w:lineRule="exact"/>
        <w:rPr>
          <w:rFonts w:ascii="Arial" w:cs="Arial" w:eastAsia="Arial" w:hAnsi="Arial"/>
          <w:sz w:val="18"/>
          <w:szCs w:val="18"/>
          <w:color w:val="auto"/>
        </w:rPr>
      </w:pPr>
    </w:p>
    <w:p>
      <w:pPr>
        <w:ind w:left="1040" w:right="40" w:firstLine="389"/>
        <w:spacing w:after="0" w:line="332" w:lineRule="auto"/>
        <w:tabs>
          <w:tab w:leader="none" w:pos="1695"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amount by which the Repurchased Capital Contributions exceeds the aggregate amount of the Capital Proceeds received by the Partnership in respect of such Repurchased Capital Contributions after the Termination Date (if any), minus</w:t>
      </w:r>
    </w:p>
    <w:p>
      <w:pPr>
        <w:spacing w:after="0" w:line="4" w:lineRule="exact"/>
        <w:rPr>
          <w:rFonts w:ascii="Arial" w:cs="Arial" w:eastAsia="Arial" w:hAnsi="Arial"/>
          <w:sz w:val="16"/>
          <w:szCs w:val="16"/>
          <w:color w:val="auto"/>
        </w:rPr>
      </w:pPr>
    </w:p>
    <w:p>
      <w:pPr>
        <w:ind w:left="1040" w:right="440" w:firstLine="389"/>
        <w:spacing w:after="0" w:line="268" w:lineRule="auto"/>
        <w:tabs>
          <w:tab w:leader="none" w:pos="174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aggregate amount of any portion of the Repurchase Price previously paid to such Partner after the Termination Date with respect to such Private Equity Investment.</w:t>
      </w:r>
    </w:p>
    <w:p>
      <w:pPr>
        <w:spacing w:after="0" w:line="51" w:lineRule="exact"/>
        <w:rPr>
          <w:sz w:val="20"/>
          <w:szCs w:val="20"/>
          <w:color w:val="auto"/>
        </w:rPr>
      </w:pPr>
    </w:p>
    <w:p>
      <w:pPr>
        <w:ind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of the following, whether readily marketable or not: (a) capital stock, foreign securities, shares or units of beneficial interest in a trust, partnership interests, warrants, bonds, notes, debentures, whether subordinated, convertible or otherwise, no-load mutual funds, money market funds, commercial paper, certificates of deposit, bank debt, trade claims, obligations of the United States, any State thereof, any foreign country or political subdivision thereof and instrumentalities of any of them, bankers’ acceptances, trust receipts and other obligations, and evidences of indebtedness or other instruments commonly referred to as securities of whatever kind or nature of any person, corporation, government or entity whatsoever, (b) rights and options</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140" w:name="page141"/>
    <w:bookmarkEnd w:id="14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relating thereto, and (c) options, futures contracts, options on futures contracts, forward contracts, “spot” transactions and swap arrangements involving securities indices or other indices, financial instruments, interest rates, currencies and commodities.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set forth in Section 10.9(c)(vii).</w:t>
      </w:r>
    </w:p>
    <w:p>
      <w:pPr>
        <w:spacing w:after="0" w:line="90" w:lineRule="exact"/>
        <w:rPr>
          <w:sz w:val="20"/>
          <w:szCs w:val="20"/>
          <w:color w:val="auto"/>
        </w:rPr>
      </w:pPr>
    </w:p>
    <w:p>
      <w:pPr>
        <w:ind w:right="2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Limited Partner</w:t>
      </w:r>
      <w:r>
        <w:rPr>
          <w:rFonts w:ascii="Arial" w:cs="Arial" w:eastAsia="Arial" w:hAnsi="Arial"/>
          <w:sz w:val="16"/>
          <w:szCs w:val="16"/>
          <w:color w:val="auto"/>
        </w:rPr>
        <w:t>” means any EPI Limited Partner who has ceased to be employed or, in the case of an Operating Executive, retained as a consultant by any of EPI, the Investment Advisor, the Investment Manager or any of their Respective Affiliates.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Advances</w:t>
      </w:r>
      <w:r>
        <w:rPr>
          <w:rFonts w:ascii="Arial" w:cs="Arial" w:eastAsia="Arial" w:hAnsi="Arial"/>
          <w:sz w:val="18"/>
          <w:szCs w:val="18"/>
          <w:color w:val="auto"/>
        </w:rPr>
        <w:t>” has the meaning set forth in Section 5.6.</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Partner</w:t>
      </w:r>
      <w:r>
        <w:rPr>
          <w:rFonts w:ascii="Arial" w:cs="Arial" w:eastAsia="Arial" w:hAnsi="Arial"/>
          <w:sz w:val="18"/>
          <w:szCs w:val="18"/>
          <w:color w:val="auto"/>
        </w:rPr>
        <w:t>” has the meaning set forth in Section 6.4.</w:t>
      </w:r>
    </w:p>
    <w:p>
      <w:pPr>
        <w:spacing w:after="0" w:line="90" w:lineRule="exact"/>
        <w:rPr>
          <w:sz w:val="20"/>
          <w:szCs w:val="20"/>
          <w:color w:val="auto"/>
        </w:rPr>
      </w:pPr>
    </w:p>
    <w:p>
      <w:pPr>
        <w:ind w:right="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Temporary Investments</w:t>
      </w:r>
      <w:r>
        <w:rPr>
          <w:rFonts w:ascii="Arial" w:cs="Arial" w:eastAsia="Arial" w:hAnsi="Arial"/>
          <w:sz w:val="16"/>
          <w:szCs w:val="16"/>
          <w:color w:val="auto"/>
        </w:rPr>
        <w:t>” means (a) United States government and agency obligations maturing within three years, (b) commercial paper rated not lower than A 1 by Standard &amp; Poor’s Corporation or P 1 by Moody’s Investor Services, Inc. with maturities of not more than nine (9) months, (c) interest bearing deposits in banks having one of the ratings referred to above, maturing within one year, (d) municipal bonds and other tax-exempt securities rated not lower than AA by Standard &amp; Poor’s Corporation or Aa by Moody’s Investor Services, Inc. with maturities of not more than one year and (e) money market mutual funds the assets of which are reasonably believed by the General Partner to consist primarily of items described in one or more of the foregoing clauses (a), (b), (c) or (d), or (f) any other investments as the General Partner may determine.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Investment Proceeds</w:t>
      </w:r>
      <w:r>
        <w:rPr>
          <w:rFonts w:ascii="Arial" w:cs="Arial" w:eastAsia="Arial" w:hAnsi="Arial"/>
          <w:sz w:val="18"/>
          <w:szCs w:val="18"/>
          <w:color w:val="auto"/>
        </w:rPr>
        <w:t>” has the meaning set forth in Section 4.1(c)(i).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has the meaning set forth in Section 4.4(a).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Terms Letter</w:t>
      </w:r>
      <w:r>
        <w:rPr>
          <w:rFonts w:ascii="Arial" w:cs="Arial" w:eastAsia="Arial" w:hAnsi="Arial"/>
          <w:sz w:val="15"/>
          <w:szCs w:val="15"/>
          <w:color w:val="auto"/>
        </w:rPr>
        <w:t>” means, with respect to any Partner, the letter agreement between the Partnership and such Partner setting forth, among other matters,</w:t>
      </w:r>
    </w:p>
    <w:p>
      <w:pPr>
        <w:spacing w:after="0" w:line="50" w:lineRule="exact"/>
        <w:rPr>
          <w:sz w:val="20"/>
          <w:szCs w:val="20"/>
          <w:color w:val="auto"/>
        </w:rPr>
      </w:pPr>
    </w:p>
    <w:p>
      <w:pPr>
        <w:ind w:right="40" w:firstLine="4"/>
        <w:spacing w:after="0" w:line="295" w:lineRule="auto"/>
        <w:tabs>
          <w:tab w:leader="none" w:pos="239"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such Partner’s Profit Sharing Percentage applicable to Private Equity Investments, (b) such Partner’s Holdback Percentage, (c) the Repurchase Percentage of such Partner’s Profit Sharing Percentage following the termination of employment or, in the case of an Operative Executive, consultancy of such Partner (or in the case of a Family Related Limited Partner, its associated EPI Limited Partner) with EPI, the Investment Advisor, the Investment Manager and their respective Affiliates, or otherwise and (d) the conditions to such Partner’s post-employment Profit Sharing Percentage, if any.</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means any assignment, sale, exchange, transfer, pledge, encumbrance, hypothecation or other disposition of all or any part of an Interest.</w:t>
      </w:r>
    </w:p>
    <w:p>
      <w:pPr>
        <w:spacing w:after="0" w:line="19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700" w:top="280" w:right="339" w:bottom="1440" w:gutter="0" w:footer="0" w:header="0"/>
        </w:sectPr>
      </w:pPr>
    </w:p>
    <w:bookmarkStart w:id="141" w:name="page142"/>
    <w:bookmarkEnd w:id="141"/>
    <w:p>
      <w:pPr>
        <w:ind w:left="460" w:right="4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by the U.S. Treasury Department under the Code, and unless the context otherwise specifies means the final regulations.</w:t>
      </w:r>
    </w:p>
    <w:p>
      <w:pPr>
        <w:spacing w:after="0" w:line="51" w:lineRule="exact"/>
        <w:rPr>
          <w:sz w:val="20"/>
          <w:szCs w:val="20"/>
          <w:color w:val="auto"/>
        </w:rPr>
      </w:pPr>
    </w:p>
    <w:p>
      <w:pPr>
        <w:ind w:left="460"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Private Equity Investments</w:t>
      </w:r>
      <w:r>
        <w:rPr>
          <w:rFonts w:ascii="Arial" w:cs="Arial" w:eastAsia="Arial" w:hAnsi="Arial"/>
          <w:sz w:val="18"/>
          <w:szCs w:val="18"/>
          <w:color w:val="auto"/>
        </w:rPr>
        <w:t>” means, as of any date of determination, any Private Equity Investments which the Fund will make in the future but for which capital contributions have not been made to the Fund as of such date.</w:t>
      </w:r>
    </w:p>
    <w:p>
      <w:pPr>
        <w:spacing w:after="0" w:line="51"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Unpaid Capital Commitment</w:t>
      </w:r>
      <w:r>
        <w:rPr>
          <w:rFonts w:ascii="Arial" w:cs="Arial" w:eastAsia="Arial" w:hAnsi="Arial"/>
          <w:sz w:val="16"/>
          <w:szCs w:val="16"/>
          <w:color w:val="auto"/>
        </w:rPr>
        <w:t xml:space="preserve">” means, with respect to any Partner as of any date, an amount equal to (a) the Capital Commitment of such Partner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capital contributions made by such Partner to the Partnership on or prior to such date pursuant to Section 5.1(a)(i) or (ii),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any amounts of Capital Proceeds distributed to the Partner, other than a Partner whose Capital Commitment has been reduced to zero, to the extent that when such amounts were received by the Partnership, it increased the Partnership’s “Unfunded Capital Commitment” (as defined in the Fund Partnership Agreement) and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minus</w:t>
      </w:r>
      <w:r>
        <w:rPr>
          <w:rFonts w:ascii="Arial" w:cs="Arial" w:eastAsia="Arial" w:hAnsi="Arial"/>
          <w:sz w:val="16"/>
          <w:szCs w:val="16"/>
          <w:color w:val="auto"/>
        </w:rPr>
        <w:t>, as the case may be, (d) any adjustments to such Partner’s Unpaid Capital Commitment on or prior to such date pursuant to Section 5.1 (to the extent applicable).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1.2 Terms Generally</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definitions in Section 1.1 shall apply equally to both the singular and plural forms of the terms defined. Whenever the context may require, any pronoun shall include the corresponding masculine, feminine and neuter forms. The term “person” includes individuals, partnerships, limited liability companies, joint ventures, corporations, trusts, governments (or agencies or political subdivisions thereof) and other associations and entities. Unless the context requires otherwise, the words “include”, “includes” and “including” shall be deemed to be followed by the phrase “without limitation”.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General Provisions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 Formation</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54"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Province of Ontario, and the federal laws of Canada applicable therein. In particular, the Partnership is formed pursuant to the Act, and the rights and liabilities of the Partners and the restrictions, limitations and prohibitions applicable to the Partners, shall be as provided therein, except as herein otherwise expressly provided. If, nevertheless, it shall be determined by a court of competent jurisdiction that any provision or wording of this Agreement shall be invalid or unenforceable under such Act or other applicable law, such invalidity or unenforceability shall not invalidate the entire Agreement. In that case, this Agreement shall be construed so as to limit any term or provision so as to make it enforceable or valid within the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42" w:name="page143"/>
    <w:bookmarkEnd w:id="142"/>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of the Act or other applicable law, and, in the event such term or provision cannot be so limited, this Agreement shall be construed to omit such invalid or unenforceable provisions.</w:t>
      </w:r>
    </w:p>
    <w:p>
      <w:pPr>
        <w:spacing w:after="0" w:line="132" w:lineRule="exact"/>
        <w:rPr>
          <w:sz w:val="20"/>
          <w:szCs w:val="20"/>
          <w:color w:val="auto"/>
        </w:rPr>
      </w:pPr>
    </w:p>
    <w:p>
      <w:pPr>
        <w:ind w:firstLine="464"/>
        <w:spacing w:after="0" w:line="289" w:lineRule="auto"/>
        <w:tabs>
          <w:tab w:leader="none" w:pos="705"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party hereto irrevocably submits to the exclusive jurisdiction of the courts of competent jurisdiction in the Province of Ontario in respect of any action or proceeding relating in any way to this Agreement. The parties shall not raise any objection to the venue of any proceedings in any such court, including the objection that the proceedings have been brought in an inconvenient forum. The General Partner irrevocably appoints Osler, Hoskin &amp; Harcourt LLP (the “</w:t>
      </w:r>
      <w:r>
        <w:rPr>
          <w:rFonts w:ascii="Arial" w:cs="Arial" w:eastAsia="Arial" w:hAnsi="Arial"/>
          <w:sz w:val="16"/>
          <w:szCs w:val="16"/>
          <w:u w:val="single" w:color="auto"/>
          <w:color w:val="auto"/>
        </w:rPr>
        <w:t>Process Agent</w:t>
      </w:r>
      <w:r>
        <w:rPr>
          <w:rFonts w:ascii="Arial" w:cs="Arial" w:eastAsia="Arial" w:hAnsi="Arial"/>
          <w:sz w:val="16"/>
          <w:szCs w:val="16"/>
          <w:color w:val="auto"/>
        </w:rPr>
        <w:t>”), with an office on the date of this Agreement at Box 50, 1 First Canadian Place, Toronto, Ontario, Canada M5X 1B8, as its agent to receive on behalf of it service of copies of the statement of claim and any other process which may be served in any such action or proceeding. Such service may be made by delivering a copy of such process to the General Partner in care of the Process Agent at the Process Agent’s most recent address in Toronto as set out herein, and the General Partner irrevocably authorizes and directs the Process Agent to accept such service on its behalf. A final judgment in any such action or proceeding may be enforced in other jurisdictions by suit on the judgment or in any other manner specified by law and shall not be re-litigated on the merits.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2.2 Partners</w:t>
      </w:r>
      <w:r>
        <w:rPr>
          <w:rFonts w:ascii="Arial" w:cs="Arial" w:eastAsia="Arial" w:hAnsi="Arial"/>
          <w:sz w:val="18"/>
          <w:szCs w:val="18"/>
          <w:color w:val="auto"/>
        </w:rPr>
        <w:t>.</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Annex A attached hereto contains the name and address of each Partner as of the Effective Date. The General Partner is authorized to revise Annex A from time to time to reflect the admission or withdrawal of a Partner in accordance with the terms of this Agreement and the Act and other modifications to or changes in the information set forth therein. As of the Effective Date, GP Holdings has been admitted as a Limited Partner with a Profit Sharing Percentage equal to 50% of the aggregate Profit Sharing Percentage.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2.3 Name</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Partnership shall conduct its activities under the name of “Evercore Mexico Partners II L.P.” The Partnership’s business may be conducted under any other name or names as the General Partner may determine, in accordance with the Act. The General Partner shall give prompt notice of any such name change to each Limited Partner.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2.4 Liability of the Partners Generally</w:t>
      </w:r>
      <w:r>
        <w:rPr>
          <w:rFonts w:ascii="Arial" w:cs="Arial" w:eastAsia="Arial" w:hAnsi="Arial"/>
          <w:sz w:val="18"/>
          <w:szCs w:val="18"/>
          <w:color w:val="auto"/>
        </w:rPr>
        <w:t>.</w:t>
      </w:r>
    </w:p>
    <w:p>
      <w:pPr>
        <w:spacing w:after="0" w:line="171" w:lineRule="exact"/>
        <w:rPr>
          <w:sz w:val="20"/>
          <w:szCs w:val="20"/>
          <w:color w:val="auto"/>
        </w:rPr>
      </w:pPr>
    </w:p>
    <w:p>
      <w:pPr>
        <w:ind w:right="580" w:firstLine="464"/>
        <w:spacing w:after="0" w:line="268"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provided in this Agreement and to the extent permitted by the Act, the General Partner shall have the liabilities of a general partner as provided in the Act.</w:t>
      </w:r>
    </w:p>
    <w:p>
      <w:pPr>
        <w:spacing w:after="0" w:line="131" w:lineRule="exact"/>
        <w:rPr>
          <w:rFonts w:ascii="Arial" w:cs="Arial" w:eastAsia="Arial" w:hAnsi="Arial"/>
          <w:sz w:val="18"/>
          <w:szCs w:val="18"/>
          <w:color w:val="auto"/>
        </w:rPr>
      </w:pPr>
    </w:p>
    <w:p>
      <w:pPr>
        <w:ind w:firstLine="464"/>
        <w:spacing w:after="0" w:line="268"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Except as expressly provided in this Agreement and the Act, no Limited Partner (or former Limited Partner) shall be obligated to make any contribution of capital to the Partnership or have any liability for the debts and obligations of the Partnership.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2.5 Term</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term of the Partnership commenced upon the filing of the Declaration of Limited Partnership in the office of the Registrar. The existence of the Partnership shall continue unless and until the Partnership is dissolved, wound up and terminated in accordance with Article VII. No Partner shall have the right, and each Partner hereby agrees not to, withdraw from the Partnership, nor to dissolve, terminate or liquidate, or to petition a court for the dissolution, termination or liquidation of the Partnership, in each case except as expressly provided in this Agreement or the Act; and, except with the consent of the General Partner in its sole and absolute discretion, no Partner at any time shall have the right to petition or to take any action to subject Partnership assets or any part thereof to the authority of any court or other governmental body in connection with any bankruptcy, insolvency, receivership or similar proceeding, except as permitted in the Act.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2.6 Purpose; Powers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54"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purpose of the Partnership shall be, directly or indirectly through subsidiaries or Affiliates, (i) to serve as a general partner of the Fund and as a general partner or in a similar capacity for other investment partnerships formed pursuant to the Fund Partnership Agreement, perform the functions required of a general partner of the Fund and as a general partner or in a similar capacity for such other investment partnerships and make capital contributions thereto, (ii) to provide investment management services to other investment vehicles and accounts formed pursuant to the Fund Partnership Agreement, (iii) to engage in any other lawful business under the Act and applicable law that the General Partner determines the Partnership shall engage in and (iv) to do all things necessary or incidental thereto.</w:t>
      </w:r>
    </w:p>
    <w:p>
      <w:pPr>
        <w:spacing w:after="0" w:line="144"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furtherance of its purposes, the Partnership shall have all powers necessary, suitable or convenient for the accomplishment of its purposes, alone or with others, including the following:</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render investment and asset management services to the Fund and other persons;</w:t>
      </w:r>
    </w:p>
    <w:p>
      <w:pPr>
        <w:spacing w:after="0" w:line="90" w:lineRule="exact"/>
        <w:rPr>
          <w:rFonts w:ascii="Arial" w:cs="Arial" w:eastAsia="Arial" w:hAnsi="Arial"/>
          <w:sz w:val="18"/>
          <w:szCs w:val="18"/>
          <w:color w:val="auto"/>
        </w:rPr>
      </w:pPr>
    </w:p>
    <w:p>
      <w:pPr>
        <w:ind w:left="460" w:right="180" w:firstLine="443"/>
        <w:spacing w:after="0" w:line="332" w:lineRule="auto"/>
        <w:tabs>
          <w:tab w:leader="none" w:pos="1157"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hold, receive, mortgage, pledge, transfer, exchange, otherwise dispose of, grant options with respect to and otherwise deal in and exercise all rights, powers, privileges and other incidents of ownership or possession with respect to all Securities and other property;</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invest and reinvest cash assets of the Partnership in any investments, including the Fund and Temporary Investments;</w:t>
      </w:r>
    </w:p>
    <w:p>
      <w:pPr>
        <w:spacing w:after="0" w:line="90" w:lineRule="exact"/>
        <w:rPr>
          <w:rFonts w:ascii="Arial" w:cs="Arial" w:eastAsia="Arial" w:hAnsi="Arial"/>
          <w:sz w:val="18"/>
          <w:szCs w:val="18"/>
          <w:color w:val="auto"/>
        </w:rPr>
      </w:pPr>
    </w:p>
    <w:p>
      <w:pPr>
        <w:ind w:left="460" w:firstLine="443"/>
        <w:spacing w:after="0" w:line="259" w:lineRule="auto"/>
        <w:tabs>
          <w:tab w:leader="none" w:pos="1196"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have and maintain one or more offices outside Canada, or to the extent necessary to comply with the requirements of the Act, within the Province of Ontario and, in connection therewith, to rent or acquire office space, engage personnel and do such other acts and things as may be advisable or necessary in connection with the maintenance of such office or offices;</w:t>
      </w:r>
    </w:p>
    <w:p>
      <w:pPr>
        <w:spacing w:after="0" w:line="59"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open, maintain and close bank accounts and draw checks and other orders for the payment of moneys and to open, maintain and close accounts with brokers, custodians and others;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44" w:name="page145"/>
    <w:bookmarkEnd w:id="144"/>
    <w:p>
      <w:pPr>
        <w:ind w:left="460" w:right="120" w:firstLine="443"/>
        <w:spacing w:after="0" w:line="259" w:lineRule="auto"/>
        <w:tabs>
          <w:tab w:leader="none" w:pos="1196"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engage accountants, auditors, custodians, consultants, attorneys and any and all other agents and assistants, both professional and nonprofessional, including Partners and their Affiliates, and to compensate them as may be necessary or advisable; provided that the Partnership shall not have any paid employees;</w:t>
      </w:r>
    </w:p>
    <w:p>
      <w:pPr>
        <w:spacing w:after="0" w:line="59" w:lineRule="exact"/>
        <w:rPr>
          <w:rFonts w:ascii="Arial" w:cs="Arial" w:eastAsia="Arial" w:hAnsi="Arial"/>
          <w:sz w:val="18"/>
          <w:szCs w:val="18"/>
          <w:color w:val="auto"/>
        </w:rPr>
      </w:pPr>
    </w:p>
    <w:p>
      <w:pPr>
        <w:ind w:left="460" w:firstLine="443"/>
        <w:spacing w:after="0" w:line="268" w:lineRule="auto"/>
        <w:tabs>
          <w:tab w:leader="none" w:pos="12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form or cause to be formed and to own the stock of one or more corporations, whether foreign or domestic, and to form or cause to be formed and to participate in partnerships and joint ventures, whether foreign or domestic;</w:t>
      </w:r>
    </w:p>
    <w:p>
      <w:pPr>
        <w:spacing w:after="0" w:line="50" w:lineRule="exact"/>
        <w:rPr>
          <w:rFonts w:ascii="Arial" w:cs="Arial" w:eastAsia="Arial" w:hAnsi="Arial"/>
          <w:sz w:val="18"/>
          <w:szCs w:val="18"/>
          <w:color w:val="auto"/>
        </w:rPr>
      </w:pPr>
    </w:p>
    <w:p>
      <w:pPr>
        <w:ind w:left="460" w:right="480" w:firstLine="443"/>
        <w:spacing w:after="0" w:line="268" w:lineRule="auto"/>
        <w:tabs>
          <w:tab w:leader="none" w:pos="12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enter into, make and perform all contracts, agreements and other undertakings as may be deemed necessary or advisable or incident to carrying out its purposes;</w:t>
      </w:r>
    </w:p>
    <w:p>
      <w:pPr>
        <w:spacing w:after="0" w:line="50" w:lineRule="exact"/>
        <w:rPr>
          <w:rFonts w:ascii="Arial" w:cs="Arial" w:eastAsia="Arial" w:hAnsi="Arial"/>
          <w:sz w:val="18"/>
          <w:szCs w:val="18"/>
          <w:color w:val="auto"/>
        </w:rPr>
      </w:pPr>
    </w:p>
    <w:p>
      <w:pPr>
        <w:ind w:left="460" w:right="820" w:firstLine="443"/>
        <w:spacing w:after="0" w:line="332" w:lineRule="auto"/>
        <w:tabs>
          <w:tab w:leader="none" w:pos="1196"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sue, prosecute, settle or compromise all claims against third parties, to compromise, settle or accept judgment of claims against the Partnership, and to execute all documents and make all representations, admissions and waivers in connection therewith;</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borrow money from any person or to guarantee loans or other extensions of credit for any purpose;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make loans and extend other forms of credit;</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2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distribute, subject to the terms of this Agreement and the Act, at any time and from time to time to Partners cash or investments or other property of the Partnership, or any combination thereof;</w:t>
      </w:r>
    </w:p>
    <w:p>
      <w:pPr>
        <w:spacing w:after="0" w:line="50" w:lineRule="exact"/>
        <w:rPr>
          <w:rFonts w:ascii="Arial" w:cs="Arial" w:eastAsia="Arial" w:hAnsi="Arial"/>
          <w:sz w:val="18"/>
          <w:szCs w:val="18"/>
          <w:color w:val="auto"/>
        </w:rPr>
      </w:pPr>
    </w:p>
    <w:p>
      <w:pPr>
        <w:ind w:left="1300" w:hanging="397"/>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take such other actions necessary or incidental thereto as may be permitted under applicable law; and</w:t>
      </w:r>
    </w:p>
    <w:p>
      <w:pPr>
        <w:spacing w:after="0" w:line="90" w:lineRule="exact"/>
        <w:rPr>
          <w:rFonts w:ascii="Arial" w:cs="Arial" w:eastAsia="Arial" w:hAnsi="Arial"/>
          <w:sz w:val="18"/>
          <w:szCs w:val="18"/>
          <w:color w:val="auto"/>
        </w:rPr>
      </w:pPr>
    </w:p>
    <w:p>
      <w:pPr>
        <w:ind w:left="460" w:right="100" w:firstLine="443"/>
        <w:spacing w:after="0" w:line="259" w:lineRule="auto"/>
        <w:tabs>
          <w:tab w:leader="none" w:pos="12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enter into and perform any agency cross transaction in which EPI or any other Affiliate of the General Partner acts as broker for both the Partnership and a party on the other side of the transaction and any agency transaction in which the Partnership is a principal and in which any Affiliate of the General Partner acts as broker for the party on the other side of the transaction.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possible, the activities contemplated by this Section 2.6 shall be conducted outside of Canada.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2.7 Principal Place of Business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Partnership shall maintain its principal place of business at, and its business shall be conducted from, c/o Evercore Partners Inc., 55 East 52nd Street, 43rd Floor, New York, NY 10055, USA, or such other place as the General Partner shall determine. The activities of the Partnership will generally be carried out from the principal business office of the General Partner and any other places as determined by the General Partner, subject to Section 3.1(e). The activities of the Partnership shall generally be carried out from the principal business office of the General Partner. The General Partner will promptly give written notice of any change of such address to the Limited Partners.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2.8 Office</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Partnership shall maintain an office in the Province of Ontario, Canada, and the name and address of such office in the Province of Ontario, Canada is, Osler, Hoskin &amp; Harcourt LLP, 100 King Street West, Suite 6600, Toronto, Ontario, Canada M5X 1B8, or such other office location in Ontario as the General Partner shall determine.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Admission of Limited Partners</w:t>
      </w:r>
    </w:p>
    <w:p>
      <w:pPr>
        <w:spacing w:after="0" w:line="171" w:lineRule="exact"/>
        <w:rPr>
          <w:sz w:val="20"/>
          <w:szCs w:val="20"/>
          <w:color w:val="auto"/>
        </w:rPr>
      </w:pPr>
    </w:p>
    <w:p>
      <w:pPr>
        <w:ind w:right="160" w:firstLine="464"/>
        <w:spacing w:after="0" w:line="332"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On the Initial Closing Date, upon the admission of Persons subscribing for Interests as Limited Partners to the Partnership, the Organizational Limited Partner shall withdraw from the Partnership and shall be entitled to receive the return of its capital contribution without interest or deduction.</w:t>
      </w:r>
    </w:p>
    <w:p>
      <w:pPr>
        <w:spacing w:after="0" w:line="85" w:lineRule="exact"/>
        <w:rPr>
          <w:rFonts w:ascii="Arial" w:cs="Arial" w:eastAsia="Arial" w:hAnsi="Arial"/>
          <w:sz w:val="16"/>
          <w:szCs w:val="16"/>
          <w:color w:val="auto"/>
        </w:rPr>
      </w:pPr>
    </w:p>
    <w:p>
      <w:pPr>
        <w:ind w:right="60" w:firstLine="464"/>
        <w:spacing w:after="0" w:line="332"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On the Initial Closing Date, each Person whose subscription for an Interest has been accepted by the General Partner shall, upon execution and delivery of the Terms Letters and this Agreement, become a Limited Partner and shall be shown as such on the books and records of the Partnership.</w:t>
      </w:r>
    </w:p>
    <w:p>
      <w:pPr>
        <w:spacing w:after="0" w:line="85" w:lineRule="exact"/>
        <w:rPr>
          <w:rFonts w:ascii="Arial" w:cs="Arial" w:eastAsia="Arial" w:hAnsi="Arial"/>
          <w:sz w:val="16"/>
          <w:szCs w:val="16"/>
          <w:color w:val="auto"/>
        </w:rPr>
      </w:pPr>
    </w:p>
    <w:p>
      <w:pPr>
        <w:ind w:right="160" w:firstLine="464"/>
        <w:spacing w:after="0" w:line="268"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General Partner may in its discretion allow other Persons to be admitted as additional Limited Partners or allow any Partner to increase its Capital Commitment.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Management and Operation of the Partnership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3.1 General Partner</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89"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management, control and operation of the Partnership shall be vested exclusively in the General Partner. The General Partner shall have the sole power and authority on behalf of and in the name of the Partnership to carry out any and all of the objects and purposes and exercise any and all of the powers of the Partnership contemplated by Section 2.6 and to perform all acts which it may deem necessary or advisable in connection therewith. The General Partner shall not take any action that would subject any Limited Partner to liability for the debts and obligations of the Partnership. The Limited Partners shall have no part in the management, control or operation of the Partnership and shall have no authority or right to act on behalf of the Partnership in connection with any matter. No Limited Partner shall (i) execute any document that binds, or purports to bind, the Partnership or a Partner other than itself; or (ii) hold itself out as having the power or authority to bind the Partnership or a Partner other than itself. Except as otherwise provided herein or as required under the Act, the Limited Partners shall not have voting rights with respect to any Partnership matters.</w:t>
      </w:r>
    </w:p>
    <w:p>
      <w:pPr>
        <w:spacing w:after="0" w:line="118" w:lineRule="exact"/>
        <w:rPr>
          <w:rFonts w:ascii="Arial" w:cs="Arial" w:eastAsia="Arial" w:hAnsi="Arial"/>
          <w:sz w:val="16"/>
          <w:szCs w:val="16"/>
          <w:color w:val="auto"/>
        </w:rPr>
      </w:pPr>
    </w:p>
    <w:p>
      <w:pPr>
        <w:ind w:firstLine="464"/>
        <w:spacing w:after="0" w:line="259"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Partners agree that all actions made or taken by the General Partner on behalf of the Partnership shall bind the Partnership, the Limited Partners and their respective successors, assigns and personal representatives. Persons dealing with the Partnership are entitled to rely conclusively upon the power and authority of the General Partner as herein set forth.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46" w:name="page147"/>
    <w:bookmarkEnd w:id="146"/>
    <w:p>
      <w:pPr>
        <w:ind w:left="-40" w:right="140" w:firstLine="464"/>
        <w:spacing w:after="0" w:line="254" w:lineRule="auto"/>
        <w:tabs>
          <w:tab w:leader="none" w:pos="655"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General Partner may delegate to any Person or Persons all or any of the powers, rights, privileges, duties and discretion vested in it in this Article III and such delegation may be made upon such terms and conditions as the General Partner shall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delegation shall modify the obligations or liabilities of the General Partner as general partner of the Partnership under the Act and under this Agreement, or shall cause the Partnership to be deemed to be engaged in a trade or business in any jurisdiction for local income tax purposes;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such delegation shall cause the Partnership to be deemed to be engaged in a trade or business in Canada for Canadian income tax purposes nor shall any delegation be made to a Canadian-Resident Person.</w:t>
      </w:r>
    </w:p>
    <w:p>
      <w:pPr>
        <w:spacing w:after="0" w:line="144" w:lineRule="exact"/>
        <w:rPr>
          <w:rFonts w:ascii="Arial" w:cs="Arial" w:eastAsia="Arial" w:hAnsi="Arial"/>
          <w:sz w:val="18"/>
          <w:szCs w:val="18"/>
          <w:color w:val="auto"/>
        </w:rPr>
      </w:pPr>
    </w:p>
    <w:p>
      <w:pPr>
        <w:ind w:left="-40" w:right="80" w:firstLine="464"/>
        <w:spacing w:after="0" w:line="256" w:lineRule="auto"/>
        <w:tabs>
          <w:tab w:leader="none" w:pos="66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General Partner (or any other Affiliate of the General Partner) is hereby authorized to (i) purchase property from, sell property to, lend money or otherwise deal with any Affiliates, any Limited Partner, the Partnership, any of its portfolio companies or any Affiliates of any of the foregoing Persons, (ii) obtain services from any Partner or any Affiliate of any Partner and (iii) otherwise cause or permit the Partnership, its portfolio companies and Affiliates to enter into any such transaction.</w:t>
      </w:r>
    </w:p>
    <w:p>
      <w:pPr>
        <w:spacing w:after="0" w:line="143" w:lineRule="exact"/>
        <w:rPr>
          <w:rFonts w:ascii="Arial" w:cs="Arial" w:eastAsia="Arial" w:hAnsi="Arial"/>
          <w:sz w:val="18"/>
          <w:szCs w:val="18"/>
          <w:color w:val="auto"/>
        </w:rPr>
      </w:pPr>
    </w:p>
    <w:p>
      <w:pPr>
        <w:ind w:left="-40" w:right="160" w:firstLine="464"/>
        <w:spacing w:after="0" w:line="332" w:lineRule="auto"/>
        <w:tabs>
          <w:tab w:leader="none" w:pos="655"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General Partner agrees to use commercially reasonable best efforts to ensure that the Partnership is not engaged, or deemed engaged, in a trade or business in Canada for Canadian income tax purposes and is not otherwise subject to taxation on a net income basis in Canada.</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SECTION 3.2 Exculpation and Indemnification</w:t>
      </w:r>
      <w:r>
        <w:rPr>
          <w:rFonts w:ascii="Arial" w:cs="Arial" w:eastAsia="Arial" w:hAnsi="Arial"/>
          <w:sz w:val="18"/>
          <w:szCs w:val="18"/>
          <w:color w:val="auto"/>
        </w:rPr>
        <w:t>.</w:t>
      </w:r>
    </w:p>
    <w:p>
      <w:pPr>
        <w:spacing w:after="0" w:line="171" w:lineRule="exact"/>
        <w:rPr>
          <w:sz w:val="20"/>
          <w:szCs w:val="20"/>
          <w:color w:val="auto"/>
        </w:rPr>
      </w:pPr>
    </w:p>
    <w:p>
      <w:pPr>
        <w:ind w:left="-40" w:firstLine="464"/>
        <w:spacing w:after="0" w:line="287" w:lineRule="auto"/>
        <w:tabs>
          <w:tab w:leader="none" w:pos="6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Notwithstanding any other terms of this Agreement, whether express or implied, or any obligation or duty at law or in equity, no Partner nor any of its officers, directors, shareholders, members, partners, employees, representatives or agents nor any officer, employee, representative or agent of the Partnership or its Affiliates (individually, a “</w:t>
      </w:r>
      <w:r>
        <w:rPr>
          <w:rFonts w:ascii="Arial" w:cs="Arial" w:eastAsia="Arial" w:hAnsi="Arial"/>
          <w:sz w:val="16"/>
          <w:szCs w:val="16"/>
          <w:u w:val="single" w:color="auto"/>
          <w:color w:val="auto"/>
        </w:rPr>
        <w:t>Covered Person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Covered Persons</w:t>
      </w:r>
      <w:r>
        <w:rPr>
          <w:rFonts w:ascii="Arial" w:cs="Arial" w:eastAsia="Arial" w:hAnsi="Arial"/>
          <w:sz w:val="16"/>
          <w:szCs w:val="16"/>
          <w:color w:val="auto"/>
        </w:rPr>
        <w:t>”) shall be liable to the Partnership or any other Partner for (i) any act or omission taken or suffered by such Covered Person in connection with the Partnership or otherwise in connection with this Agreement, any related document or the matters contemplated hereby or thereby, unless such act or omission resulted from fraud, bad faith, willful misconduct, gross negligence, a violation of applicable securities laws or a willful material uncured breach of this Agreement, the Investment Advisory Agreement, the Investment Management Agreement, the Fund Partnership Agreement or any related document by such Covered Person, or (ii) any mistake, negligence, dishonesty or bad faith of any broker or other agent of the Partnership unless such Covered Person was responsible for the selection or monitoring of such broker or agent and acted in such capacity with gross negligence, and except that nothing herein shall constitute a waiver or limitation of any rights which a Partner or the General Partner, on behalf of the Partnership, may have under applicable securities laws or of any rights under other laws which as a matter of law may not be waived.</w:t>
      </w:r>
    </w:p>
    <w:p>
      <w:pPr>
        <w:spacing w:after="0" w:line="122" w:lineRule="exact"/>
        <w:rPr>
          <w:rFonts w:ascii="Arial" w:cs="Arial" w:eastAsia="Arial" w:hAnsi="Arial"/>
          <w:sz w:val="16"/>
          <w:szCs w:val="16"/>
          <w:color w:val="auto"/>
        </w:rPr>
      </w:pPr>
    </w:p>
    <w:p>
      <w:pPr>
        <w:ind w:left="-40" w:right="40" w:firstLine="464"/>
        <w:spacing w:after="0" w:line="306" w:lineRule="auto"/>
        <w:tabs>
          <w:tab w:leader="none" w:pos="6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the fullest extent permitted by law, the Partnership shall indemnify and save harmless (but only to the extent of its assets) each Covered Person from and against any and all claims, liabilities, damages, losses, costs and expenses (including amounts paid in satisfaction of judgments, in compromises and settlements, as fines and penalties and legal or other costs and reasonable expenses of investigating or defending against any claim or alleged claim) of 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80" w:top="280" w:right="259" w:bottom="1440" w:gutter="0" w:footer="0" w:header="0"/>
        </w:sectPr>
      </w:pPr>
    </w:p>
    <w:bookmarkStart w:id="147" w:name="page148"/>
    <w:bookmarkEnd w:id="14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nature whatsoever, known or unknown, liquidated or unliquidated, arising from any and all claims, demands, actions, suits or proceedings, civil, criminal, administrative or investigative, in which the Covered Person may be involved, or threatened to be involved, as a party or otherwise, which relates to or arises out of or in connection with the Partnership, its property, its business or affairs, including acting as a director or the equivalent of a company any securities of which are or were a Private Equity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Covered Person shall be entitled to indemnification hereunder only to the extent that such Covered Person’s conduct did not constitute fraud, bad faith, willful misconduct, gross negligence or a willful material uncured breach of this Agreement, the Investment Advisory Agreement, the Investment Management Agreement, the Fund Partnership Agreement or any related document by such Covered Person, and nothing herein shall constitute a waiver or limitation of any rights which a Partner or the General Partner, on behalf of the Partnership, may have under applicable securities laws or of rights under other laws which as a matter of law may not be waived. To the fullest extent permitted by law, expenses (including legal fees) incurred by a Covered Person in defense or settlement of any claim, demand, action, suit or proceeding may, with the approval of the General Partner, from time to time, be advanced by the Partnership prior to the final disposition of such claim, demand, action, suit or proceeding upon receipt by the Partnership of a written undertaking by or on behalf of the Covered Person to repay such amount to the extent that it shall be determined that the Covered Person is not entitled to be indemnified as authorized hereunder.</w:t>
      </w:r>
    </w:p>
    <w:p>
      <w:pPr>
        <w:spacing w:after="0" w:line="124" w:lineRule="exact"/>
        <w:rPr>
          <w:sz w:val="20"/>
          <w:szCs w:val="20"/>
          <w:color w:val="auto"/>
        </w:rPr>
      </w:pPr>
    </w:p>
    <w:p>
      <w:pPr>
        <w:jc w:val="both"/>
        <w:ind w:right="360" w:firstLine="464"/>
        <w:spacing w:after="0" w:line="259"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 of any Covered Person to the indemnification provided herein shall be cumulative of, and in addition to, any and all rights to which such Covered Person may otherwise be entitled by contract or as a matter of law or equity and shall extend to such Covered Person’s successors, assigns and legal representatives.</w:t>
      </w:r>
    </w:p>
    <w:p>
      <w:pPr>
        <w:spacing w:after="0" w:line="140" w:lineRule="exact"/>
        <w:rPr>
          <w:rFonts w:ascii="Arial" w:cs="Arial" w:eastAsia="Arial" w:hAnsi="Arial"/>
          <w:sz w:val="18"/>
          <w:szCs w:val="18"/>
          <w:color w:val="auto"/>
        </w:rPr>
      </w:pPr>
    </w:p>
    <w:p>
      <w:pPr>
        <w:ind w:right="120" w:firstLine="464"/>
        <w:spacing w:after="0" w:line="298"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the extent that, at law or in equity, a Partner has duties (including fiduciary duties) and liabilities relating thereto to the Partnership or to another Partner, such Partner acting under this Agreement shall not be liable to the Partnership or to any such other Partner for his or her good faith reliance on the provisions of this Agreement. The provisions of this Agreement, to the extent that they expand or restrict the duties and liabilities of a Partner otherwise existing at law or in equity, are agreed by the Partners to modify to that extent such other duties and liabilities of such Partner.</w:t>
      </w:r>
    </w:p>
    <w:p>
      <w:pPr>
        <w:spacing w:after="0" w:line="112" w:lineRule="exact"/>
        <w:rPr>
          <w:rFonts w:ascii="Arial" w:cs="Arial" w:eastAsia="Arial" w:hAnsi="Arial"/>
          <w:sz w:val="16"/>
          <w:szCs w:val="16"/>
          <w:color w:val="auto"/>
        </w:rPr>
      </w:pPr>
    </w:p>
    <w:p>
      <w:pPr>
        <w:ind w:right="300" w:firstLine="464"/>
        <w:spacing w:after="0" w:line="298"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Whenever in this Agreement a person is permitted or required to make a decision (i) in his or her “sole discretion,” “sole and absolute discretion” or “discretion” or under a grant of similar authority or latitude, the person shall be entitled to consider any interests and factors as it desires, including its own interests, or (ii) in its “good faith” or under another express standard, the person shall act under such express standard and shall not be subject to any other or different standards imposed by this Agreement or any other agreement contemplated herein or by relevant provisions of law or in equity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3.3 Officers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direction of the General Partner, the day-to-day administration of the business of the Partnership may be carried out by employees and agents of the General Partner who may be designated as officers, with titles including but not limited to “founder,” “chairman,” “vice-chairman,” “principal,” “president,” “vice president,” “treasurer,” “assistant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48" w:name="page149"/>
    <w:bookmarkEnd w:id="14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treasurer,” “secretary,” “assistant secretary,” “general manager,” “senior managing director,” “managing director,” “director,” “chief operating officer,” “and “chief financial officer,” as and to the extent authorized by the General Partner. The officers of the Partnership shall have such titles and powers and perform such duties as shall be determined from time to time by the General Partner and otherwise as shall customarily pertain to such offices. Any number of offices may be held by the same person. Where such employees or agents administer the business of the Partnership, such administration shall be conducted outside of Canada to the extent possible.</w:t>
      </w: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Distributions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4.1 Distributions — General Principles and Definitions</w:t>
      </w:r>
      <w:r>
        <w:rPr>
          <w:rFonts w:ascii="Arial" w:cs="Arial" w:eastAsia="Arial" w:hAnsi="Arial"/>
          <w:sz w:val="18"/>
          <w:szCs w:val="18"/>
          <w:color w:val="auto"/>
        </w:rPr>
        <w:t>.</w:t>
      </w:r>
    </w:p>
    <w:p>
      <w:pPr>
        <w:spacing w:after="0" w:line="171" w:lineRule="exact"/>
        <w:rPr>
          <w:sz w:val="20"/>
          <w:szCs w:val="20"/>
          <w:color w:val="auto"/>
        </w:rPr>
      </w:pPr>
    </w:p>
    <w:p>
      <w:pPr>
        <w:jc w:val="both"/>
        <w:ind w:right="200" w:firstLine="464"/>
        <w:spacing w:after="0" w:line="256"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Except as otherwise expressly provided in this Article IV or in Article VII of this Agreement or as permitted under the Act, no Partner shall have the right to withdraw capital from the Partnership or to receive any distribution or return of any capital contribution. Notwithstanding any provision to the contrary contained in this Agreement, the Partnership shall not be required to make a distribution to a Partner on account of such Partner’s interest in the Partnership if such distribution would violate the Act or any other applicable law.</w:t>
      </w:r>
    </w:p>
    <w:p>
      <w:pPr>
        <w:spacing w:after="0" w:line="143" w:lineRule="exact"/>
        <w:rPr>
          <w:rFonts w:ascii="Arial" w:cs="Arial" w:eastAsia="Arial" w:hAnsi="Arial"/>
          <w:sz w:val="18"/>
          <w:szCs w:val="18"/>
          <w:color w:val="auto"/>
        </w:rPr>
      </w:pPr>
    </w:p>
    <w:p>
      <w:pPr>
        <w:ind w:right="20" w:firstLine="464"/>
        <w:spacing w:after="0" w:line="290"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Distributions pursuant to this Article IV may be made in cash or in Securities, provided that distributions of Carried Interest Proceeds and Capital Proceeds shall be made to the extent practicable in the same form and proportions as such Carried Interest Proceeds and Capital Proceeds are received by the Partnership from the Fund. Distributions of Securities shall be made in the same manner as if cash in an amount equal to the Fair Market Value of such Securities were to be distributed. Distributions consisting of both cash and Securities shall be made, to the extent practicable, in the same proportions of cash and Securities to each Partner receiving such distributions. To the extent practicable, distributions consisting of or including Securities shall be made in a manner such that each Partner entitled to receive such a distribution shall receive Securities with the same rights attendant thereto (including registration, voting and anti-dilution rights) as the other Partners receiving such Securities in any concurrent distribution.</w:t>
      </w:r>
    </w:p>
    <w:p>
      <w:pPr>
        <w:spacing w:after="0" w:line="37" w:lineRule="exact"/>
        <w:rPr>
          <w:rFonts w:ascii="Arial" w:cs="Arial" w:eastAsia="Arial" w:hAnsi="Arial"/>
          <w:sz w:val="16"/>
          <w:szCs w:val="16"/>
          <w:color w:val="auto"/>
        </w:rPr>
      </w:pPr>
    </w:p>
    <w:p>
      <w:pPr>
        <w:ind w:left="460" w:right="140" w:firstLine="443"/>
        <w:spacing w:after="0" w:line="268" w:lineRule="auto"/>
        <w:tabs>
          <w:tab w:leader="none" w:pos="1108"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Temporary Investment Proceeds</w:t>
      </w:r>
      <w:r>
        <w:rPr>
          <w:rFonts w:ascii="Arial" w:cs="Arial" w:eastAsia="Arial" w:hAnsi="Arial"/>
          <w:sz w:val="18"/>
          <w:szCs w:val="18"/>
          <w:color w:val="auto"/>
        </w:rPr>
        <w:t>” means income from sources other than the Fund or Private Equity Investments, net of Partnership expenses and reserves for Partnership expenses allocable thereto.</w:t>
      </w:r>
    </w:p>
    <w:p>
      <w:pPr>
        <w:spacing w:after="0" w:line="50" w:lineRule="exact"/>
        <w:rPr>
          <w:rFonts w:ascii="Arial" w:cs="Arial" w:eastAsia="Arial" w:hAnsi="Arial"/>
          <w:sz w:val="18"/>
          <w:szCs w:val="18"/>
          <w:color w:val="auto"/>
        </w:rPr>
      </w:pPr>
    </w:p>
    <w:p>
      <w:pPr>
        <w:jc w:val="both"/>
        <w:ind w:left="460" w:right="40" w:firstLine="443"/>
        <w:spacing w:after="0" w:line="256" w:lineRule="auto"/>
        <w:tabs>
          <w:tab w:leader="none" w:pos="1157"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Proceeds</w:t>
      </w:r>
      <w:r>
        <w:rPr>
          <w:rFonts w:ascii="Arial" w:cs="Arial" w:eastAsia="Arial" w:hAnsi="Arial"/>
          <w:sz w:val="18"/>
          <w:szCs w:val="18"/>
          <w:color w:val="auto"/>
        </w:rPr>
        <w:t>” with respect to the Partnership or any other person means the distributions and proceeds to the Partnership or such other person from the Fund or Private Equity Investments other than Carried Interest Proceeds, including distributions and proceeds representing the return (whether of current income or disposition proceeds) in respect of having made capital contributions for such Private Equity Investments, net of Partnership expenses and reserves for Partnership expenses allocable thereto.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49" w:name="page150"/>
    <w:bookmarkEnd w:id="149"/>
    <w:p>
      <w:pPr>
        <w:ind w:left="460" w:right="220" w:firstLine="443"/>
        <w:spacing w:after="0" w:line="259" w:lineRule="auto"/>
        <w:tabs>
          <w:tab w:leader="none" w:pos="1205" w:val="left"/>
        </w:tabs>
        <w:numPr>
          <w:ilvl w:val="1"/>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Carried Interest Proceeds</w:t>
      </w:r>
      <w:r>
        <w:rPr>
          <w:rFonts w:ascii="Arial" w:cs="Arial" w:eastAsia="Arial" w:hAnsi="Arial"/>
          <w:sz w:val="18"/>
          <w:szCs w:val="18"/>
          <w:color w:val="auto"/>
        </w:rPr>
        <w:t>” with respect to the Partnership or any other person means the distributions and proceeds to the Partnership or such other person of Carried Interest (including any amounts placed on behalf of such other person into the Holdback Account pursuant to Section 4.5(a) hereof).</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Section 4.5 and to the maintenance of the Operating Reserve, distributions to the Partners of Capital Proceeds and Carried Interest Proceeds shall be made as soon as practicable after the date such Capital Proceeds and Carried Interest Proceeds are received by the Partnership. Subject to the maintenance of the Operating Reserve, Temporary Investment Proceeds shall be distributed on an annual basis, or at such times as determined in the sole and absolute discretion of the General Partner.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4.2 Amounts and Priority of Distributions</w:t>
      </w:r>
      <w:r>
        <w:rPr>
          <w:rFonts w:ascii="Arial" w:cs="Arial" w:eastAsia="Arial" w:hAnsi="Arial"/>
          <w:sz w:val="18"/>
          <w:szCs w:val="18"/>
          <w:color w:val="auto"/>
        </w:rPr>
        <w:t>.</w:t>
      </w:r>
    </w:p>
    <w:p>
      <w:pPr>
        <w:spacing w:after="0" w:line="171" w:lineRule="exact"/>
        <w:rPr>
          <w:sz w:val="20"/>
          <w:szCs w:val="20"/>
          <w:color w:val="auto"/>
        </w:rPr>
      </w:pPr>
    </w:p>
    <w:p>
      <w:pPr>
        <w:jc w:val="both"/>
        <w:ind w:right="260" w:firstLine="464"/>
        <w:spacing w:after="0" w:line="284"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Treatment of Capital Proceeds</w:t>
      </w:r>
      <w:r>
        <w:rPr>
          <w:rFonts w:ascii="Arial" w:cs="Arial" w:eastAsia="Arial" w:hAnsi="Arial"/>
          <w:sz w:val="16"/>
          <w:szCs w:val="16"/>
          <w:color w:val="auto"/>
        </w:rPr>
        <w:t>. Each distribution of Capital Proceeds from a Private Equity Investment shall be made to the Partners in proportion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respective capital contributions through the Partnership for such Private Equity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order to avoid duplicative distributions, with respect to Special Limited Partners, for purposes of calculating any distribution of Capital Proceeds from a Private Equity Investment pursuant to this</w:t>
      </w:r>
    </w:p>
    <w:p>
      <w:pPr>
        <w:spacing w:after="0" w:line="1"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Section 4.2(a), the amount of the capital contributions made by such Special Limited Partner through the Partnership for such Private Equity Investment shall be reduced by the amount of the Repurchased Capital Contributions with respect to such Private Equity Investment.</w:t>
      </w:r>
    </w:p>
    <w:p>
      <w:pPr>
        <w:spacing w:after="0" w:line="137" w:lineRule="exact"/>
        <w:rPr>
          <w:rFonts w:ascii="Arial" w:cs="Arial" w:eastAsia="Arial" w:hAnsi="Arial"/>
          <w:sz w:val="16"/>
          <w:szCs w:val="16"/>
          <w:color w:val="auto"/>
        </w:rPr>
      </w:pPr>
    </w:p>
    <w:p>
      <w:pPr>
        <w:ind w:right="240" w:firstLine="464"/>
        <w:spacing w:after="0" w:line="259"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Treatment of Carried Interest Proceeds</w:t>
      </w:r>
      <w:r>
        <w:rPr>
          <w:rFonts w:ascii="Arial" w:cs="Arial" w:eastAsia="Arial" w:hAnsi="Arial"/>
          <w:sz w:val="18"/>
          <w:szCs w:val="18"/>
          <w:color w:val="auto"/>
        </w:rPr>
        <w:t>. Subject to Section 4.5, any Carried Interest Proceeds shall be paid to the Partners in proportion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Profit Sharing Percentages as of the date of such Partners’ distribution (taking into account adjustments as provided herein, including the repurchase rights provided in Section 4.4).</w:t>
      </w:r>
    </w:p>
    <w:p>
      <w:pPr>
        <w:spacing w:after="0" w:line="140" w:lineRule="exact"/>
        <w:rPr>
          <w:rFonts w:ascii="Arial" w:cs="Arial" w:eastAsia="Arial" w:hAnsi="Arial"/>
          <w:sz w:val="18"/>
          <w:szCs w:val="18"/>
          <w:color w:val="auto"/>
        </w:rPr>
      </w:pPr>
    </w:p>
    <w:p>
      <w:pPr>
        <w:ind w:right="480" w:firstLine="464"/>
        <w:spacing w:after="0" w:line="259"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Treatment of Temporary Investment Proceeds</w:t>
      </w:r>
      <w:r>
        <w:rPr>
          <w:rFonts w:ascii="Arial" w:cs="Arial" w:eastAsia="Arial" w:hAnsi="Arial"/>
          <w:sz w:val="18"/>
          <w:szCs w:val="18"/>
          <w:color w:val="auto"/>
        </w:rPr>
        <w:t>. Each distribution of Temporary Investment Proceeds shall be distributed among the Partners in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 to their respective proportionate interests in the Partnership property or funds that produced such Temporary Investment Proceeds, as reasonably determined by the General Partner.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4.3 Certain Adjustments in Profit Sharing Percentages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306"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Increases in Profit Sharing Percentages of Partners Following Various Events Specified in Section 4.4</w:t>
      </w:r>
      <w:r>
        <w:rPr>
          <w:rFonts w:ascii="Arial" w:cs="Arial" w:eastAsia="Arial" w:hAnsi="Arial"/>
          <w:sz w:val="16"/>
          <w:szCs w:val="16"/>
          <w:color w:val="auto"/>
        </w:rPr>
        <w:t>. The amount, if any, by which the Profit Sharing</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a Partner is reduced pursuant to Section 4.4 shall be reallocated among the other Partners (other than GP Holdings) in proportion to their existing Profit Sharing Percentages or in such other manner and in such other amounts (which need not be proportionate) as the General Partner shall determine.</w:t>
      </w:r>
    </w:p>
    <w:p>
      <w:pPr>
        <w:spacing w:after="0" w:line="106" w:lineRule="exact"/>
        <w:rPr>
          <w:rFonts w:ascii="Arial" w:cs="Arial" w:eastAsia="Arial" w:hAnsi="Arial"/>
          <w:sz w:val="16"/>
          <w:szCs w:val="16"/>
          <w:color w:val="auto"/>
        </w:rPr>
      </w:pPr>
    </w:p>
    <w:p>
      <w:pPr>
        <w:ind w:right="60" w:firstLine="464"/>
        <w:spacing w:after="0" w:line="256"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Restriction on Reduction in Profit Sharing Percentages</w:t>
      </w:r>
      <w:r>
        <w:rPr>
          <w:rFonts w:ascii="Arial" w:cs="Arial" w:eastAsia="Arial" w:hAnsi="Arial"/>
          <w:sz w:val="18"/>
          <w:szCs w:val="18"/>
          <w:color w:val="auto"/>
        </w:rPr>
        <w:t>. Except as provided in a Partner’s Terms Letter or in Sections 4.3(c) and 4.4 herein, the Profit</w:t>
      </w:r>
      <w:r>
        <w:rPr>
          <w:rFonts w:ascii="Arial" w:cs="Arial" w:eastAsia="Arial" w:hAnsi="Arial"/>
          <w:sz w:val="18"/>
          <w:szCs w:val="18"/>
          <w:i w:val="1"/>
          <w:iCs w:val="1"/>
          <w:color w:val="auto"/>
        </w:rPr>
        <w:t xml:space="preserve"> </w:t>
      </w:r>
      <w:r>
        <w:rPr>
          <w:rFonts w:ascii="Arial" w:cs="Arial" w:eastAsia="Arial" w:hAnsi="Arial"/>
          <w:sz w:val="18"/>
          <w:szCs w:val="18"/>
          <w:color w:val="auto"/>
        </w:rPr>
        <w:t>Sharing Percentage of any Partner and his or her Family Related Limited Partners shall not be reduced without his or her consent. Except as provided in a Special Limited Partner’s Terms Letter or other agreement with the Partnership regarding the termination of such Special Limited Partner’s employment or consultancy, or pursuant to Section 4.3(c) or 4.4 hereof, the Profit Sharing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50" w:name="page151"/>
    <w:bookmarkEnd w:id="150"/>
    <w:p>
      <w:pPr>
        <w:jc w:val="both"/>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Percentage of a Special Limited Partner shall not be subject to reduction. The Profit Sharing Percentage of GP Holdings shall not be subject to reduction or increase. For the avoidance of doubt, any adjustments in Profit Sharing Percentages pursuant to Section 4.3(c) shall not be considered “reductions” in Profit Sharing Percentages for purposes of this Section 4.3(b).</w:t>
      </w:r>
    </w:p>
    <w:p>
      <w:pPr>
        <w:spacing w:after="0" w:line="140" w:lineRule="exact"/>
        <w:rPr>
          <w:sz w:val="20"/>
          <w:szCs w:val="20"/>
          <w:color w:val="auto"/>
        </w:rPr>
      </w:pPr>
    </w:p>
    <w:p>
      <w:pPr>
        <w:ind w:firstLine="464"/>
        <w:spacing w:after="0" w:line="290"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Adjustments to Profit Sharing Percentages Due to Issuance of Interests</w:t>
      </w:r>
      <w:r>
        <w:rPr>
          <w:rFonts w:ascii="Arial" w:cs="Arial" w:eastAsia="Arial" w:hAnsi="Arial"/>
          <w:sz w:val="16"/>
          <w:szCs w:val="16"/>
          <w:color w:val="auto"/>
        </w:rPr>
        <w:t>. In the event of the admission of any person as an additional Partner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9.1 or the issuance of any Interest to any existing Partner and any Family Related Limited Partner, the Profit Sharing Percentage allocated to such Partner in connection therewith shall reduce the Profit Sharing Percentages of all other Partners (other than GP Holdings)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upon their Profit Sharing Percentages immediately prior to such admission or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General Partner may, in its sole and absolute discretion determine that this provision shall not apply to one or more Partners in any given instance. The allocation of the Profit Sharing Percentage to GP Holdings has reduced the Profit Sharing Percentages as of the Effective Date of all EPI Limited Partners pro rata based upon their Profit Sharing Percentages immediately prior to the admission of GP Holdings as a Limited Partner.</w:t>
      </w:r>
    </w:p>
    <w:p>
      <w:pPr>
        <w:spacing w:after="0" w:line="118" w:lineRule="exact"/>
        <w:rPr>
          <w:rFonts w:ascii="Arial" w:cs="Arial" w:eastAsia="Arial" w:hAnsi="Arial"/>
          <w:sz w:val="16"/>
          <w:szCs w:val="16"/>
          <w:color w:val="auto"/>
        </w:rPr>
      </w:pPr>
    </w:p>
    <w:p>
      <w:pPr>
        <w:ind w:firstLine="464"/>
        <w:spacing w:after="0" w:line="268"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General Partner shall cause the books and records of the Partnership to reflect the Profit Sharing Percentage of each Partner as adjusted pursuant to this Agreement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4.4 Repurchase Rights Following Termination of Employment and Default with Respect to Capital Contributions</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85"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Repurchase Right Following Termination of Employment</w:t>
      </w:r>
      <w:r>
        <w:rPr>
          <w:rFonts w:ascii="Arial" w:cs="Arial" w:eastAsia="Arial" w:hAnsi="Arial"/>
          <w:sz w:val="16"/>
          <w:szCs w:val="16"/>
          <w:color w:val="auto"/>
        </w:rPr>
        <w:t>. Following the termination of employment or, in the case of an Operating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consultancy of a Partner with EPI, the Investment Advisor, the Investment Manager or any of their respective Affiliates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the General Partner, on behalf of the Partnership, shall have the right, but not the obligation, to repurchase all or a portion of the Repurchase Percentage of such Partner’s Profit Sharing Percentage as of the Termination Date (subject to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dilution pursuant to Section 4.3(c)) for the Repurchase Price, in accordance with the provisions of, and solely to the extent set forth in, this Agreement and such Partner’s Terms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Partner’s right to any Profit Sharing Percentage following such Partner’s Termination Date, and the Partnership’s obligation to make any payments to such Partner following such Partner’s Termination Date, is expressly subject to the conditions set forth in such Partner’s Terms Letter (including the Partnership’s right to repurchase all or a portion of such Partner’s Profit Sharing Percentage not previously repurchased in the event that such Partner fails to satisfy any of the conditions to such Partner’s post-employment Profit Sharing Percentage) and (ii) such Partner may be obligated to repay to the Partnership any payments received by such Partner from the Partnership following termination of such Partner’s employment or consultancy in respect of any Profit Sharing Percentage not repurchased by the Partnership upon violation of any of the conditions set forth in such Partner’s Terms Letter. A Partner shall remain obligated for further capital contributions with respect to such Partner’s Profit Sharing Percentage and shall be responsible for such Partner’s (A) Give-Back Amount and (B) share of other returns of distributions with respect to any Funded Private Equity Investments realized prior to the date of determination and any portion of such Partner’s Profit Sharing Percentage not repurchased. For the avoidance of doubt, this Section 4.4(a) shall not apply with respect to GP Holdings.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151" w:name="page152"/>
    <w:bookmarkEnd w:id="151"/>
    <w:p>
      <w:pPr>
        <w:ind w:right="40" w:firstLine="464"/>
        <w:spacing w:after="0" w:line="289" w:lineRule="auto"/>
        <w:tabs>
          <w:tab w:leader="none" w:pos="70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Repurchase Right Following Default in Capital Contributions</w:t>
      </w:r>
      <w:r>
        <w:rPr>
          <w:rFonts w:ascii="Arial" w:cs="Arial" w:eastAsia="Arial" w:hAnsi="Arial"/>
          <w:sz w:val="16"/>
          <w:szCs w:val="16"/>
          <w:color w:val="auto"/>
        </w:rPr>
        <w:t xml:space="preserve">. If a Partner defaults with respect to such Partner’s obligation to make capital contributions pursuant to Section 5.1(a) below, the General Partner, on behalf of the Partnership, shall have the right, but not the obligation, to repurchase such defaulting Partner’s entire Profit Sharing Percentage as of the date of default (i.e., the Repurchase Percentage shall be deemed to equal 100%) for the Repurchase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default shall not be deemed to have occurred until a ten day period immediately following the initial failure by such Partner to make such capital contribution shall have expired;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any such Partner shall reimburse each other Partner for any funds advanced by such other Partner to cover any capital contributions owed by the defaulting Partner to the Partnership, together with interest thereon at a per annum rate equal to the Default Interest Rate on the principal amount of the funds advanced, until such other Partner shall have been reimbursed for all such funds advanced on behalf of the defaulting Partner, together with all such interest due thereon.</w:t>
      </w:r>
    </w:p>
    <w:p>
      <w:pPr>
        <w:spacing w:after="0" w:line="118" w:lineRule="exact"/>
        <w:rPr>
          <w:rFonts w:ascii="Arial" w:cs="Arial" w:eastAsia="Arial" w:hAnsi="Arial"/>
          <w:sz w:val="16"/>
          <w:szCs w:val="16"/>
          <w:color w:val="auto"/>
        </w:rPr>
      </w:pPr>
    </w:p>
    <w:p>
      <w:pPr>
        <w:ind w:firstLine="464"/>
        <w:spacing w:after="0" w:line="286"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repurchase rights set forth in this Section 4.4 may be exercised by notice provided by the Partnership to the applicable Partner (a “</w:t>
      </w:r>
      <w:r>
        <w:rPr>
          <w:rFonts w:ascii="Arial" w:cs="Arial" w:eastAsia="Arial" w:hAnsi="Arial"/>
          <w:sz w:val="16"/>
          <w:szCs w:val="16"/>
          <w:u w:val="single" w:color="auto"/>
          <w:color w:val="auto"/>
        </w:rPr>
        <w:t>Repurchase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specifying the percentage of the Profit Sharing Percentage which is to be repurchased. A Repurchase Notice shall be given by the Partnership to the applicable Partner within 90 days after such Partner’s default or termination of employment, as the case may be. Upon receipt of a Repurchase Notice, the Partner who receives such Repurchase Notice shall be obligated to sell to the Partnership or its designee the Repurchase Percentage specified by the Partnership in the Repurchase Notice. With respect to any repurchase of a Partner’s Profit Sharing Percentage pursuant to this Section 4.4, the Partnership shall record in its books and records the Repurchase Price owed by the Partnership to such Partner. The Repurchase Price shall be payable in installments. Each such installment shall be payable upon the distribution of Capital Proceeds to Partners pursuant to Section 4.1 in respect of a particular Private Equity Investment, and the amount of each such installment shall equal the portion of the Repurchase Price payable at such time with respect to such Private Equity Investment. In lieu of the foregoing, the General Partner, on behalf of the Partnership, may, with the consent of the applicable Partner, pay the Repurchase Price to such Partner on such Partner’s Termination Date, to the extent that such Repurchase Price is then determinable; to the extent that all or a portion of such Repurchase Price is not then determinable, the General Partner, on behalf of the Partnership, may pay the remainder of such Repurchase Price to such Partner at such times that the Repurchase Price would otherwise be paid in accordance with this Section 4.4.</w:t>
      </w:r>
    </w:p>
    <w:p>
      <w:pPr>
        <w:spacing w:after="0" w:line="124"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4.4 and the Terms Letters, the General Partner in its sole and absolute discretion may agree to vary in any manner more favorable to a Partner the amount by which such Partner’s Profit Sharing Percentage would be reduced by the operation of the provisions of this Section 4.4 and the Terms Letters.</w:t>
      </w:r>
    </w:p>
    <w:p>
      <w:pPr>
        <w:spacing w:after="0" w:line="140" w:lineRule="exact"/>
        <w:rPr>
          <w:rFonts w:ascii="Arial" w:cs="Arial" w:eastAsia="Arial" w:hAnsi="Arial"/>
          <w:sz w:val="18"/>
          <w:szCs w:val="18"/>
          <w:color w:val="auto"/>
        </w:rPr>
      </w:pPr>
    </w:p>
    <w:p>
      <w:pPr>
        <w:jc w:val="both"/>
        <w:ind w:right="80" w:firstLine="464"/>
        <w:spacing w:after="0" w:line="255"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provisions and remedies in this Section 4.4 are not exclusive, and each such provision or remedy shall be cumulative and in addition to every other right, power or remedy whether conferred herein or now or hereafter available at law or in equity or by statute or otherwise. Each Partner acknowledges by his or her execution hereof that such Partner has been admitted to the Partnership in reliance upon such Partner’s agreements hereunder, that the Partnership and the other Partners may have no adequate remedy at law for a breach hereof and that damages resulting from a breach hereof may be impossible to ascertain at the time hereof or of such breach.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9" w:right="239" w:bottom="1440" w:gutter="0" w:footer="0" w:header="0"/>
        </w:sectPr>
      </w:pPr>
    </w:p>
    <w:bookmarkStart w:id="152" w:name="page153"/>
    <w:bookmarkEnd w:id="152"/>
    <w:p>
      <w:pPr>
        <w:ind w:left="4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4.5 Holdback Account; Payment of Give-Back Obligation to the Fund</w:t>
      </w:r>
      <w:r>
        <w:rPr>
          <w:rFonts w:ascii="Arial" w:cs="Arial" w:eastAsia="Arial" w:hAnsi="Arial"/>
          <w:sz w:val="18"/>
          <w:szCs w:val="18"/>
          <w:color w:val="auto"/>
        </w:rPr>
        <w:t>.</w:t>
      </w:r>
    </w:p>
    <w:p>
      <w:pPr>
        <w:spacing w:after="0" w:line="171" w:lineRule="exact"/>
        <w:rPr>
          <w:sz w:val="20"/>
          <w:szCs w:val="20"/>
          <w:color w:val="auto"/>
        </w:rPr>
      </w:pPr>
    </w:p>
    <w:p>
      <w:pPr>
        <w:ind w:left="-60" w:firstLine="464"/>
        <w:spacing w:after="0" w:line="290" w:lineRule="auto"/>
        <w:tabs>
          <w:tab w:leader="none" w:pos="635"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Establishment of the Holdback Account</w:t>
      </w:r>
      <w:r>
        <w:rPr>
          <w:rFonts w:ascii="Arial" w:cs="Arial" w:eastAsia="Arial" w:hAnsi="Arial"/>
          <w:sz w:val="16"/>
          <w:szCs w:val="16"/>
          <w:color w:val="auto"/>
        </w:rPr>
        <w:t>. The Partnership shall establish a separate account (the “</w:t>
      </w:r>
      <w:r>
        <w:rPr>
          <w:rFonts w:ascii="Arial" w:cs="Arial" w:eastAsia="Arial" w:hAnsi="Arial"/>
          <w:sz w:val="16"/>
          <w:szCs w:val="16"/>
          <w:u w:val="single" w:color="auto"/>
          <w:color w:val="auto"/>
        </w:rPr>
        <w:t>Holdback Account</w:t>
      </w:r>
      <w:r>
        <w:rPr>
          <w:rFonts w:ascii="Arial" w:cs="Arial" w:eastAsia="Arial" w:hAnsi="Arial"/>
          <w:sz w:val="16"/>
          <w:szCs w:val="16"/>
          <w:color w:val="auto"/>
        </w:rPr>
        <w:t>”) with a sub-account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Except as provided in this Section 4.5, in lieu of distributing to the Partners the Carried Interest Proceeds to which they are otherwise entitled hereunder, the Partnership shall retain such Carried Interest Proceeds and shall credit the sub-account of each such Partner in the Holdback Account with the amount of Carried Interest Proceeds otherwise distributable to such Partner, in an amount equal to the product of such Partner’s Carried Interest Proceeds multiplied by such Partner’s Holdback Percentage. Subject to Section 4.5(b), in the event that an EPI Limited Partner ceases to be employed or retained as a consultant by any of EPI, the Investment Advisor, the Investment Manager or any of their respective Affiliates and, thereby, becomes a Special Limited Partner, his or her Holdback Percentage, and the Holdback Percentage of his or her Family Related Limited Partners, shall be adjusted to equal 100%.</w:t>
      </w:r>
    </w:p>
    <w:p>
      <w:pPr>
        <w:spacing w:after="0" w:line="118" w:lineRule="exact"/>
        <w:rPr>
          <w:rFonts w:ascii="Arial" w:cs="Arial" w:eastAsia="Arial" w:hAnsi="Arial"/>
          <w:sz w:val="16"/>
          <w:szCs w:val="16"/>
          <w:color w:val="auto"/>
        </w:rPr>
      </w:pPr>
    </w:p>
    <w:p>
      <w:pPr>
        <w:ind w:left="-60" w:right="40" w:firstLine="464"/>
        <w:spacing w:after="0" w:line="255" w:lineRule="auto"/>
        <w:tabs>
          <w:tab w:leader="none" w:pos="64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Distributions out of the Holdback Account</w:t>
      </w:r>
      <w:r>
        <w:rPr>
          <w:rFonts w:ascii="Arial" w:cs="Arial" w:eastAsia="Arial" w:hAnsi="Arial"/>
          <w:sz w:val="18"/>
          <w:szCs w:val="18"/>
          <w:color w:val="auto"/>
        </w:rPr>
        <w:t>. (i) The General Partner in its sole and absolute discretion may determine to distribute to any Partner all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portion of the amounts in such Partner’s sub-account in the Holdback Account and/or terminate the requirement that such Partner’s distributions of Carried Interest Proceeds be placed in the Holdback Account, subject to such conditions, undertakings, guarantees, security, credit support and/or other provisions, as the General Partner in its sole and absolute discretion at that time may deem necessary or advisable, without regard as to whether similar or different requirements have been established with respect to other Partners.</w:t>
      </w:r>
    </w:p>
    <w:p>
      <w:pPr>
        <w:spacing w:after="0" w:line="61" w:lineRule="exact"/>
        <w:rPr>
          <w:rFonts w:ascii="Arial" w:cs="Arial" w:eastAsia="Arial" w:hAnsi="Arial"/>
          <w:sz w:val="18"/>
          <w:szCs w:val="18"/>
          <w:color w:val="auto"/>
        </w:rPr>
      </w:pPr>
    </w:p>
    <w:p>
      <w:pPr>
        <w:ind w:left="400" w:right="480" w:firstLine="443"/>
        <w:spacing w:after="0" w:line="332" w:lineRule="auto"/>
        <w:tabs>
          <w:tab w:leader="none" w:pos="1097"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 amount equal to the interest or other amounts earned on the funds in the Holdback Account may be released and paid to the Partners in proportion to their respective interests in the Holdback Account as determined from time to time by the General Partner.</w:t>
      </w:r>
    </w:p>
    <w:p>
      <w:pPr>
        <w:spacing w:after="0" w:line="85" w:lineRule="exact"/>
        <w:rPr>
          <w:rFonts w:ascii="Arial" w:cs="Arial" w:eastAsia="Arial" w:hAnsi="Arial"/>
          <w:sz w:val="16"/>
          <w:szCs w:val="16"/>
          <w:color w:val="auto"/>
        </w:rPr>
      </w:pPr>
    </w:p>
    <w:p>
      <w:pPr>
        <w:ind w:left="-60" w:right="360" w:firstLine="464"/>
        <w:spacing w:after="0" w:line="268" w:lineRule="auto"/>
        <w:tabs>
          <w:tab w:leader="none" w:pos="63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Payment of Give-Back Obligation to the Fund</w:t>
      </w:r>
      <w:r>
        <w:rPr>
          <w:rFonts w:ascii="Arial" w:cs="Arial" w:eastAsia="Arial" w:hAnsi="Arial"/>
          <w:sz w:val="18"/>
          <w:szCs w:val="18"/>
          <w:color w:val="auto"/>
        </w:rPr>
        <w:t>. (i) If at any time the General Partner, on behalf of the Partnership, is still required to contribute any</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Give-Back Obligation to the Fund, then:</w:t>
      </w:r>
    </w:p>
    <w:p>
      <w:pPr>
        <w:spacing w:after="0" w:line="50" w:lineRule="exact"/>
        <w:rPr>
          <w:rFonts w:ascii="Arial" w:cs="Arial" w:eastAsia="Arial" w:hAnsi="Arial"/>
          <w:sz w:val="18"/>
          <w:szCs w:val="18"/>
          <w:color w:val="auto"/>
        </w:rPr>
      </w:pPr>
    </w:p>
    <w:p>
      <w:pPr>
        <w:jc w:val="both"/>
        <w:ind w:left="860" w:right="260" w:firstLine="421"/>
        <w:spacing w:after="0" w:line="259" w:lineRule="auto"/>
        <w:tabs>
          <w:tab w:leader="none" w:pos="1567"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there shall be deducted against each Partner’s sub-account in the Holdback Account an amount (such Partner’s “</w:t>
      </w:r>
      <w:r>
        <w:rPr>
          <w:rFonts w:ascii="Arial" w:cs="Arial" w:eastAsia="Arial" w:hAnsi="Arial"/>
          <w:sz w:val="18"/>
          <w:szCs w:val="18"/>
          <w:u w:val="single" w:color="auto"/>
          <w:color w:val="auto"/>
        </w:rPr>
        <w:t>Give-Back Amount</w:t>
      </w:r>
      <w:r>
        <w:rPr>
          <w:rFonts w:ascii="Arial" w:cs="Arial" w:eastAsia="Arial" w:hAnsi="Arial"/>
          <w:sz w:val="18"/>
          <w:szCs w:val="18"/>
          <w:color w:val="auto"/>
        </w:rPr>
        <w:t>”) which equals (I) the product of (x) such Partner’s Carried Interest Give Back Percentage and (y) the portion of the Give-Back Obligation that the General Partner, on behalf of the Partnership, is still required to contribute to the Fund,</w:t>
      </w:r>
    </w:p>
    <w:p>
      <w:pPr>
        <w:spacing w:after="0" w:line="59" w:lineRule="exact"/>
        <w:rPr>
          <w:rFonts w:ascii="Arial" w:cs="Arial" w:eastAsia="Arial" w:hAnsi="Arial"/>
          <w:sz w:val="18"/>
          <w:szCs w:val="18"/>
          <w:color w:val="auto"/>
        </w:rPr>
      </w:pPr>
    </w:p>
    <w:p>
      <w:pPr>
        <w:ind w:left="860" w:right="220" w:firstLine="421"/>
        <w:spacing w:after="0" w:line="268" w:lineRule="auto"/>
        <w:tabs>
          <w:tab w:leader="none" w:pos="1558" w:val="left"/>
        </w:tabs>
        <w:numPr>
          <w:ilvl w:val="2"/>
          <w:numId w:val="80"/>
        </w:numPr>
        <w:rPr>
          <w:rFonts w:ascii="Arial" w:cs="Arial" w:eastAsia="Arial" w:hAnsi="Arial"/>
          <w:sz w:val="18"/>
          <w:szCs w:val="18"/>
          <w:color w:val="auto"/>
        </w:rPr>
      </w:pPr>
      <w:r>
        <w:rPr>
          <w:rFonts w:ascii="Arial" w:cs="Arial" w:eastAsia="Arial" w:hAnsi="Arial"/>
          <w:sz w:val="18"/>
          <w:szCs w:val="18"/>
          <w:color w:val="auto"/>
        </w:rPr>
        <w:t>each Partner shall promptly contribute to the Partnership an amount equal to the excess, if any, of (I) such Partner’s Give-Back Amount over (II) the amount of such Partner’s sub-account, if any, in the Holdback Account,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300" w:top="280" w:right="299" w:bottom="1440" w:gutter="0" w:footer="0" w:header="0"/>
        </w:sectPr>
      </w:pPr>
    </w:p>
    <w:bookmarkStart w:id="153" w:name="page154"/>
    <w:bookmarkEnd w:id="153"/>
    <w:p>
      <w:pPr>
        <w:ind w:left="1620" w:hanging="279"/>
        <w:spacing w:after="0"/>
        <w:tabs>
          <w:tab w:leader="none" w:pos="1620" w:val="left"/>
        </w:tabs>
        <w:numPr>
          <w:ilvl w:val="2"/>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portion of the Give-Back Obligation shall be paid out of the funds deducted or contributed pursuant to clauses (A) and (B) above.</w:t>
      </w:r>
    </w:p>
    <w:p>
      <w:pPr>
        <w:spacing w:after="0" w:line="113" w:lineRule="exact"/>
        <w:rPr>
          <w:rFonts w:ascii="Arial" w:cs="Arial" w:eastAsia="Arial" w:hAnsi="Arial"/>
          <w:sz w:val="16"/>
          <w:szCs w:val="16"/>
          <w:color w:val="auto"/>
        </w:rPr>
      </w:pPr>
    </w:p>
    <w:p>
      <w:pPr>
        <w:ind w:left="460" w:firstLine="443"/>
        <w:spacing w:after="0" w:line="285" w:lineRule="auto"/>
        <w:tabs>
          <w:tab w:leader="none" w:pos="1157"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General Partner, on behalf of the Partnership, shall be entitled to collect interest on the amount which any Partner has failed to timely pay pursuant to this Section 4.5(c) from the date such amount was to have been paid to the date of payment in full at a rate equal to the Default Interest Rate. Any Partner defaulting on his or her obligation to contribute to the Partnership any amount pursuant to this Section 4.5(c) shall be obligated to reimburse the Partnership for all reasonable attorney’s fees and expenses and all other costs and expenses incurred by the Partnership in enforcing against such Partner such obligation. The General Partner, on behalf of the Partnership, shall have the right to set-off as appropriate and apply against such Partner’s obligation to make such contribution, any default interest accruing thereon and such Partner’s reimbursement obligations hereunder, any amounts otherwise payable to such Partner by the General Partner, on behalf of the Partnership, or any other Affiliate thereof (including amounts unrelated to Carried Interest Proceeds, such as returns of capital, profit thereon and dividends, as well as employee salary or bonus). In addition, subject to Sections 10.17 and 10.19, in the event that any Partner defaults on his or her obligation to contribute to the Partnership any amount pursuant to this Section 4.5(c) (a “</w:t>
      </w:r>
      <w:r>
        <w:rPr>
          <w:rFonts w:ascii="Arial" w:cs="Arial" w:eastAsia="Arial" w:hAnsi="Arial"/>
          <w:sz w:val="16"/>
          <w:szCs w:val="16"/>
          <w:u w:val="single" w:color="auto"/>
          <w:color w:val="auto"/>
        </w:rPr>
        <w:t>Defaulted Amount</w:t>
      </w:r>
      <w:r>
        <w:rPr>
          <w:rFonts w:ascii="Arial" w:cs="Arial" w:eastAsia="Arial" w:hAnsi="Arial"/>
          <w:sz w:val="16"/>
          <w:szCs w:val="16"/>
          <w:color w:val="auto"/>
        </w:rPr>
        <w:t xml:space="preserve">”), each Partner shall be required to contribute an amount which equals the product of (I) the percentage obtained by dividing (x) such Partner’s Give-Back Amount by (y) the aggregate amount of Give-Back Amounts of all Partners and (II) the Defaulted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Partner be obligated to contribute an amount in excess of 125% of such Partner’s Give-Back Amount. The General Partner may determine in its sole discretion to reimburse to any Partner who has contributed a portion of a Defaulted Amount any amounts collected, pursuant to the Partnership’s right of set-off or otherwise, from the defaulting Partner.</w:t>
      </w:r>
    </w:p>
    <w:p>
      <w:pPr>
        <w:spacing w:after="0" w:line="47" w:lineRule="exact"/>
        <w:rPr>
          <w:rFonts w:ascii="Arial" w:cs="Arial" w:eastAsia="Arial" w:hAnsi="Arial"/>
          <w:sz w:val="16"/>
          <w:szCs w:val="16"/>
          <w:color w:val="auto"/>
        </w:rPr>
      </w:pPr>
    </w:p>
    <w:p>
      <w:pPr>
        <w:ind w:left="460" w:right="140" w:firstLine="443"/>
        <w:spacing w:after="0" w:line="306" w:lineRule="auto"/>
        <w:tabs>
          <w:tab w:leader="none" w:pos="1205" w:val="left"/>
        </w:tabs>
        <w:numPr>
          <w:ilvl w:val="1"/>
          <w:numId w:val="82"/>
        </w:numPr>
        <w:rPr>
          <w:rFonts w:ascii="Arial" w:cs="Arial" w:eastAsia="Arial" w:hAnsi="Arial"/>
          <w:sz w:val="16"/>
          <w:szCs w:val="16"/>
          <w:color w:val="auto"/>
        </w:rPr>
      </w:pPr>
      <w:r>
        <w:rPr>
          <w:rFonts w:ascii="Arial" w:cs="Arial" w:eastAsia="Arial" w:hAnsi="Arial"/>
          <w:sz w:val="16"/>
          <w:szCs w:val="16"/>
          <w:color w:val="auto"/>
        </w:rPr>
        <w:t>A Partner’s obligation to make payments under this Section 4.5 shall survive the termination of the Partnership, termination of such Partner’s employment or consultancy with EPI, the Investment Advisor, the Investment Manager or any of their respective Affiliates and such Partner’s withdrawal from the Partnership, so that for purposes of this Section 4.5 a former Partner shall continue to be treated as a Partner.</w:t>
      </w:r>
    </w:p>
    <w:p>
      <w:pPr>
        <w:spacing w:after="0" w:line="106" w:lineRule="exact"/>
        <w:rPr>
          <w:rFonts w:ascii="Arial" w:cs="Arial" w:eastAsia="Arial" w:hAnsi="Arial"/>
          <w:sz w:val="16"/>
          <w:szCs w:val="16"/>
          <w:color w:val="auto"/>
        </w:rPr>
      </w:pPr>
    </w:p>
    <w:p>
      <w:pPr>
        <w:ind w:right="120" w:firstLine="464"/>
        <w:spacing w:after="0" w:line="290"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Release of Funds in Holdback Account; Contingent Liabilities</w:t>
      </w:r>
      <w:r>
        <w:rPr>
          <w:rFonts w:ascii="Arial" w:cs="Arial" w:eastAsia="Arial" w:hAnsi="Arial"/>
          <w:sz w:val="16"/>
          <w:szCs w:val="16"/>
          <w:color w:val="auto"/>
        </w:rPr>
        <w:t>. Any amounts remaining in a Partner’s sub-account in the Holdback Account after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deduction of any amounts required by Section 4.5(c) shall be distributed to such Partner as promptly as practicable following the date of determination of the Give-Back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there is any Proceeding then pending or any other liability or claim then outstanding against the Partnership or any Fund and the General Partner in its sole and absolute discretion determines that such amounts in the Holdback Account may be necessary to satisfy the Partners’ share of any obligation arising out of such Proceeding, liability or claim, then the General Partner shall so notify the Partners and, in that event, such amounts, or the portion thereof specified by the General Partner in such notice, shall be retained in the Holdback Account until such time or times as the General Partner in its sole and absolute discretion determines that such amounts may be distributed to the Partners.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54" w:name="page155"/>
    <w:bookmarkEnd w:id="154"/>
    <w:p>
      <w:pPr>
        <w:ind w:left="-40" w:firstLine="464"/>
        <w:spacing w:after="0" w:line="283" w:lineRule="auto"/>
        <w:tabs>
          <w:tab w:leader="none" w:pos="655"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Matters Relating to the Holdback Account</w:t>
      </w:r>
      <w:r>
        <w:rPr>
          <w:rFonts w:ascii="Arial" w:cs="Arial" w:eastAsia="Arial" w:hAnsi="Arial"/>
          <w:sz w:val="16"/>
          <w:szCs w:val="16"/>
          <w:color w:val="auto"/>
        </w:rPr>
        <w:t>. To the extent determined by the General Partner from time to time in its sole discretion, on an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tax payment date for a Partner on behalf of whom amounts are placed in the Holdback Account (a “</w:t>
      </w:r>
      <w:r>
        <w:rPr>
          <w:rFonts w:ascii="Arial" w:cs="Arial" w:eastAsia="Arial" w:hAnsi="Arial"/>
          <w:sz w:val="16"/>
          <w:szCs w:val="16"/>
          <w:u w:val="single" w:color="auto"/>
          <w:color w:val="auto"/>
        </w:rPr>
        <w:t>Holdback Partner</w:t>
      </w:r>
      <w:r>
        <w:rPr>
          <w:rFonts w:ascii="Arial" w:cs="Arial" w:eastAsia="Arial" w:hAnsi="Arial"/>
          <w:sz w:val="16"/>
          <w:szCs w:val="16"/>
          <w:color w:val="auto"/>
        </w:rPr>
        <w:t>”) in any year, the General Partner, on behalf of the Partnership, may make a cash advance against distributions of Carried Interest Proceeds to such Holdback Partner to the extent distributions actually received by such Holdback Partner (net of amounts placed in the Holdback Account) are not sufficient for such Holdback Partner to pay when due estimated income tax imposed on it, calculated using the Assumed Income Tax Rate (the “</w:t>
      </w:r>
      <w:r>
        <w:rPr>
          <w:rFonts w:ascii="Arial" w:cs="Arial" w:eastAsia="Arial" w:hAnsi="Arial"/>
          <w:sz w:val="16"/>
          <w:szCs w:val="16"/>
          <w:u w:val="single" w:color="auto"/>
          <w:color w:val="auto"/>
        </w:rPr>
        <w:t>Estimated Income Tax Amount</w:t>
      </w:r>
      <w:r>
        <w:rPr>
          <w:rFonts w:ascii="Arial" w:cs="Arial" w:eastAsia="Arial" w:hAnsi="Arial"/>
          <w:sz w:val="16"/>
          <w:szCs w:val="16"/>
          <w:color w:val="auto"/>
        </w:rPr>
        <w:t>”). Amounts of Carried Interest Proceeds otherwise distributable to a Holdback Partner pursuant to Section 4.2(b) shall be reduced by the amount of any Estimated Income Tax Amounts distributed to such Holdback Partner pursuant to this Section 4.5(e) until all such Estimated Income Tax Amounts are restored. As promptly as reasonably practicable following the end of the fiscal year of the Partnership to which such Carried Interest Proceeds are attributable, the General Partner, on behalf of the Partnership, shall calculate, with respect to each Holdback Partner who has received a distribution of an Estimated Income Tax Amount, the product of (x) the actual taxable income allocable in respect of the Carried Interest Proceeds attributable to such Holdback Partner in such year less the cumulative taxable loss that has been allocated to such Holdback Partner to the extent such loss has not previously reduced taxable income pursuant to this provision and (y) the Assumed Income Tax Rate (the “</w:t>
      </w:r>
      <w:r>
        <w:rPr>
          <w:rFonts w:ascii="Arial" w:cs="Arial" w:eastAsia="Arial" w:hAnsi="Arial"/>
          <w:sz w:val="16"/>
          <w:szCs w:val="16"/>
          <w:u w:val="single" w:color="auto"/>
          <w:color w:val="auto"/>
        </w:rPr>
        <w:t>Recalculated Income Tax Amount</w:t>
      </w:r>
      <w:r>
        <w:rPr>
          <w:rFonts w:ascii="Arial" w:cs="Arial" w:eastAsia="Arial" w:hAnsi="Arial"/>
          <w:sz w:val="16"/>
          <w:szCs w:val="16"/>
          <w:color w:val="auto"/>
        </w:rPr>
        <w:t>”). If any Holdback Partner has received distributions under this Section 4.5(e) or Section 4.5(b) for such year which are less than the Recalculated Income Tax Amount, as determined by the General Partner in its sole discretion, the General Partner, on behalf of the Partnership, may distribute to such Holdback Partner the amount of such deficiency, together with any penalties or interest assessed that are attributable to a differential between the Estimated Income Tax Amount and the Recalculated Income Tax Amount, out of the funds in the Holdback Account on the due date for the filing of such Holdback Partner’s tax return for such year. If any Holdback Partner has received distributions of aggregate Estimated Income Tax Amounts in excess of the Recalculated Income Tax Amount (such excess, the “</w:t>
      </w:r>
      <w:r>
        <w:rPr>
          <w:rFonts w:ascii="Arial" w:cs="Arial" w:eastAsia="Arial" w:hAnsi="Arial"/>
          <w:sz w:val="16"/>
          <w:szCs w:val="16"/>
          <w:u w:val="single" w:color="auto"/>
          <w:color w:val="auto"/>
        </w:rPr>
        <w:t>Excess Income Tax Amount</w:t>
      </w:r>
      <w:r>
        <w:rPr>
          <w:rFonts w:ascii="Arial" w:cs="Arial" w:eastAsia="Arial" w:hAnsi="Arial"/>
          <w:sz w:val="16"/>
          <w:szCs w:val="16"/>
          <w:color w:val="auto"/>
        </w:rPr>
        <w:t xml:space="preserve">”), such Holdback Partner shall as promptly as practicable (and, in any event, within 90 days of such notice) contribute to the Partnership the amount specified in such notice, without interest thereon, for credit to the Holdback Account; provided that, until such Excess Income Tax Amount is repaid in full, to the fullest extent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at law or in equity, the Partnership shall have a security interest in all rights, title and interest in and to such Partner’s interest in the Partnership, and, notwithstanding anything to the contrary contained in this Agreement, the Partnership shall not be obligated to make any further payment or distribution to such Partner until such Excess Income Tax Amount shall have been repaid. The General Partner, on behalf of the Partnership, shall have the right to set-off as appropriate and apply against such Partner’s obligation to make such contribution pursuant to this Section 4.5(e) the obligations of the Partnership to distribute funds pursuant to this Section 4.5(e) and any amounts otherwise payable to such Partner by the Partnership or any other Affiliate thereof (including amounts unrelated to Estimated Income Tax Amounts and Excess Income Tax Amounts, such as returns of capital, profit thereon and dividends, as well as employee salary or bonus).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80" w:top="280" w:right="259" w:bottom="1440" w:gutter="0" w:footer="0" w:header="0"/>
        </w:sectPr>
      </w:pPr>
    </w:p>
    <w:bookmarkStart w:id="155" w:name="page156"/>
    <w:bookmarkEnd w:id="155"/>
    <w:p>
      <w:pPr>
        <w:jc w:val="center"/>
        <w:ind w:righ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u w:val="single" w:color="auto"/>
          <w:color w:val="auto"/>
        </w:rPr>
        <w:t>Capital Contributions and Capital Commitments; Allocations;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 Capital Contributions</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86" w:lineRule="auto"/>
        <w:tabs>
          <w:tab w:leader="none" w:pos="677"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i w:val="1"/>
          <w:iCs w:val="1"/>
          <w:color w:val="auto"/>
        </w:rPr>
        <w:t>Capital Calls for Contributions to Fund</w:t>
      </w:r>
      <w:r>
        <w:rPr>
          <w:rFonts w:ascii="Arial" w:cs="Arial" w:eastAsia="Arial" w:hAnsi="Arial"/>
          <w:sz w:val="16"/>
          <w:szCs w:val="16"/>
          <w:color w:val="auto"/>
        </w:rPr>
        <w:t xml:space="preserve">. At least five Business Days prior to each date on which the General Partner, on behalf of the Partnership, is required to make a capital contribution pursuant to the Fund Partnership Agreement, each Partner shall make a capital contribution to the Partnership in immediately available funds in an amount equal to the product of (A) the amount of such capital contribution to be made by the Partnership and (B) a fraction the numerator of which shall be the Unpaid Capital Commitment of such Partner and the denominator of which shall be the Unpaid Capital Commitments of all Partners;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default shall be deemed to have occurred hereunder until the date on which the General Partner, on behalf of the Partnership, is required to make such capital contribution. The General Partner shall give each Partner at least five Business Days prior notice of the amount to be contributed by such Partner pursuant to this Section 5.1(a)(i). Any amount so contributed shall reduce such Partner’s Unpaid Capital Commitment. The General Partner, on behalf of the Partnership, may invest, until such capital contributions are made to the Fund, any funds received by it from a Partner pursuant to this Section 5.1(a)(i) in the manner determined by the General Partner. Any interest earned thereon shall be for the account of such Partner and shall be distributed to such Partner promptly following the date on which such capital contributions are made to the extent that the General Partner determines in good faith that such interest is not required to pay expenses of the Partnership.</w:t>
      </w:r>
    </w:p>
    <w:p>
      <w:pPr>
        <w:spacing w:after="0" w:line="46" w:lineRule="exact"/>
        <w:rPr>
          <w:sz w:val="20"/>
          <w:szCs w:val="20"/>
          <w:color w:val="auto"/>
        </w:rPr>
      </w:pPr>
    </w:p>
    <w:p>
      <w:pPr>
        <w:ind w:right="80" w:firstLine="443"/>
        <w:spacing w:after="0" w:line="286" w:lineRule="auto"/>
        <w:tabs>
          <w:tab w:leader="none" w:pos="696"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Other Capital Calls</w:t>
      </w:r>
      <w:r>
        <w:rPr>
          <w:rFonts w:ascii="Arial" w:cs="Arial" w:eastAsia="Arial" w:hAnsi="Arial"/>
          <w:sz w:val="16"/>
          <w:szCs w:val="16"/>
          <w:color w:val="auto"/>
        </w:rPr>
        <w:t>. The General Partner may determine in its sole and absolute discretion at any time or from time to time that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requires additional capital to meet its obligations for extraordinary expenses such as litigation expenses, or other expenses of the Partnership. In the event the General Partner issues such a capital call, each Partner shall make a capital contribution to the Partnership in immediately available funds in an amount equal to the product of (A) the amount of such required capital and (B) such Partner’s Profit Sharing Percentage;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General Partner may calculate the capital contributions to be made by the Partners with respect to such expenses on any other basis (including on the basis of Unpaid Capital Commitments and/or requiring certain, but not all, Partners to make capital contributions for extraordinary expenses) if the General Partner determines in good faith that such other basis is clearly more equitable;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Partner shall be required to make a capital contribution pursuant to this Section 5.1(a)(ii) in an amount greater than its Unpaid Capital Commitment. The General Partner shall give each Partner at least five Business Days prior notice of the amount to be contributed by such Partner pursuant to this Section 5.1(a)(ii). Any amount so contributed by a Partner shall reduce such Partner’s Unpaid Capital Commitment. The General Partner, on behalf of the Partnership, may determine, in its sole discretion, to advance funds out of the Operating Reserve to any Partner to fund such Partner’s capital contributions.</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700" w:top="280" w:right="239" w:bottom="1440" w:gutter="0" w:footer="0" w:header="0"/>
        </w:sectPr>
      </w:pPr>
    </w:p>
    <w:bookmarkStart w:id="156" w:name="page157"/>
    <w:bookmarkEnd w:id="156"/>
    <w:p>
      <w:pPr>
        <w:ind w:left="452" w:firstLine="443"/>
        <w:spacing w:after="0" w:line="286" w:lineRule="auto"/>
        <w:tabs>
          <w:tab w:leader="none" w:pos="1197" w:val="left"/>
        </w:tabs>
        <w:numPr>
          <w:ilvl w:val="2"/>
          <w:numId w:val="8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Returns of Distributions</w:t>
      </w:r>
      <w:r>
        <w:rPr>
          <w:rFonts w:ascii="Arial" w:cs="Arial" w:eastAsia="Arial" w:hAnsi="Arial"/>
          <w:sz w:val="16"/>
          <w:szCs w:val="16"/>
          <w:color w:val="auto"/>
        </w:rPr>
        <w:t>. If at any time the General Partner in its sole and absolute discretion determines that the Partnership cannot meet its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for extraordinary expenses such as litigation expenses, including as a result of a Section 9.2 Liability (as defined in the Fund Partnership Agreement) the General Partner may require each Partner and former Partner to return distributions made to such Partner hereunder for the purpose of meeting such Partner’s pro rata share (based on the Partners’ After-Tax Carried Interest Amounts) of such obligations in an amount up to, but in no event in excess of, the aggregate amount of distributions actually received by such Partner from the Partnership. The General Partner shall give each Partner and former Partner at least five Business Days prior notice of the amount to be contributed by such Partner pursuant to this Section 5.1(a)(iii). The General Partner may require returns of distributions pursuant to this Section 5.1(a)(iii) without regard to whether a call for capital contributions could be made pursuant to Section 5.1(a)(ii). Notwithstanding the foregoing, no Partner shall be required to return distributions under this Section 5.1(a)(iii) other than for obligations arising primarily from activities of the Partnership during the period of such Partner’s (or in the case of a Family Related Limited Partner, its associated EPI Limited Partner’s) employment with, or retention by, EPI, the Investment Advisor, the Investment Manager or any of their respective Affiliates.</w:t>
      </w:r>
    </w:p>
    <w:p>
      <w:pPr>
        <w:spacing w:after="0" w:line="127" w:lineRule="exact"/>
        <w:rPr>
          <w:rFonts w:ascii="Arial" w:cs="Arial" w:eastAsia="Arial" w:hAnsi="Arial"/>
          <w:sz w:val="16"/>
          <w:szCs w:val="16"/>
          <w:color w:val="auto"/>
        </w:rPr>
      </w:pPr>
    </w:p>
    <w:p>
      <w:pPr>
        <w:ind w:left="-8" w:right="180" w:firstLine="464"/>
        <w:spacing w:after="0" w:line="305" w:lineRule="auto"/>
        <w:tabs>
          <w:tab w:leader="none" w:pos="697" w:val="left"/>
        </w:tabs>
        <w:numPr>
          <w:ilvl w:val="1"/>
          <w:numId w:val="88"/>
        </w:numPr>
        <w:rPr>
          <w:rFonts w:ascii="Arial" w:cs="Arial" w:eastAsia="Arial" w:hAnsi="Arial"/>
          <w:sz w:val="15"/>
          <w:szCs w:val="15"/>
          <w:color w:val="auto"/>
        </w:rPr>
      </w:pPr>
      <w:r>
        <w:rPr>
          <w:rFonts w:ascii="Arial" w:cs="Arial" w:eastAsia="Arial" w:hAnsi="Arial"/>
          <w:sz w:val="15"/>
          <w:szCs w:val="15"/>
          <w:i w:val="1"/>
          <w:iCs w:val="1"/>
          <w:color w:val="auto"/>
        </w:rPr>
        <w:t>Consequences of Capital Call Default</w:t>
      </w:r>
      <w:r>
        <w:rPr>
          <w:rFonts w:ascii="Arial" w:cs="Arial" w:eastAsia="Arial" w:hAnsi="Arial"/>
          <w:sz w:val="15"/>
          <w:szCs w:val="15"/>
          <w:color w:val="auto"/>
        </w:rPr>
        <w:t>. In the event that a Partner defaults with respect to such Partner’s obligation to make capital contributions or</w:t>
      </w:r>
      <w:r>
        <w:rPr>
          <w:rFonts w:ascii="Arial" w:cs="Arial" w:eastAsia="Arial" w:hAnsi="Arial"/>
          <w:sz w:val="15"/>
          <w:szCs w:val="15"/>
          <w:i w:val="1"/>
          <w:iCs w:val="1"/>
          <w:color w:val="auto"/>
        </w:rPr>
        <w:t xml:space="preserve"> </w:t>
      </w:r>
      <w:r>
        <w:rPr>
          <w:rFonts w:ascii="Arial" w:cs="Arial" w:eastAsia="Arial" w:hAnsi="Arial"/>
          <w:sz w:val="15"/>
          <w:szCs w:val="15"/>
          <w:color w:val="auto"/>
        </w:rPr>
        <w:t>return distributions pursuant to Section 5.1(a) (such Partner being sometimes referred to herein as a “</w:t>
      </w:r>
      <w:r>
        <w:rPr>
          <w:rFonts w:ascii="Arial" w:cs="Arial" w:eastAsia="Arial" w:hAnsi="Arial"/>
          <w:sz w:val="15"/>
          <w:szCs w:val="15"/>
          <w:u w:val="single" w:color="auto"/>
          <w:color w:val="auto"/>
        </w:rPr>
        <w:t>Defaulting Partner</w:t>
      </w:r>
      <w:r>
        <w:rPr>
          <w:rFonts w:ascii="Arial" w:cs="Arial" w:eastAsia="Arial" w:hAnsi="Arial"/>
          <w:sz w:val="15"/>
          <w:szCs w:val="15"/>
          <w:color w:val="auto"/>
        </w:rPr>
        <w:t>”), the General Partner at its option may</w:t>
      </w:r>
    </w:p>
    <w:p>
      <w:pPr>
        <w:ind w:left="-8" w:firstLine="8"/>
        <w:spacing w:after="0" w:line="310" w:lineRule="auto"/>
        <w:tabs>
          <w:tab w:leader="none" w:pos="202" w:val="left"/>
        </w:tabs>
        <w:numPr>
          <w:ilvl w:val="0"/>
          <w:numId w:val="89"/>
        </w:numPr>
        <w:rPr>
          <w:rFonts w:ascii="Arial" w:cs="Arial" w:eastAsia="Arial" w:hAnsi="Arial"/>
          <w:sz w:val="15"/>
          <w:szCs w:val="15"/>
          <w:color w:val="auto"/>
        </w:rPr>
      </w:pPr>
      <w:r>
        <w:rPr>
          <w:rFonts w:ascii="Arial" w:cs="Arial" w:eastAsia="Arial" w:hAnsi="Arial"/>
          <w:sz w:val="15"/>
          <w:szCs w:val="15"/>
          <w:color w:val="auto"/>
        </w:rPr>
        <w:t>require other Partners to make such capital contribution in proportion to their respective Profit Sharing Percentages, or on any other basis (including on the basis of Unpaid Capital Commitments and/or requiring certain, but not all, Partners to make capital contributions) if the General Partner determines in good faith that such other basis is clearly more equitable, or (ii) arrange for the amount of such capital contribution to be advanced on behalf of such Defaulting Partner on such terms as the General Partner shall determine in its sole and absolute discretion to be fair and equitable, which may include provision for security as provided below. Each Partner hereby grants to the Partnership a right of set-off and a security interest, effective upon such Partner becoming a Defaulting Partner, in all accounts receivable and other rights to receive payment (other than in respect of employee salary or bonus) from the Partnership or any of its Affiliates and agrees that, upon the effectiveness of such security interest, the General Partner, on behalf of the Partnership, may sell, collect or otherwise realize upon such collateral.</w:t>
      </w:r>
    </w:p>
    <w:p>
      <w:pPr>
        <w:spacing w:after="0" w:line="108" w:lineRule="exact"/>
        <w:rPr>
          <w:rFonts w:ascii="Arial" w:cs="Arial" w:eastAsia="Arial" w:hAnsi="Arial"/>
          <w:sz w:val="15"/>
          <w:szCs w:val="15"/>
          <w:color w:val="auto"/>
        </w:rPr>
      </w:pPr>
    </w:p>
    <w:p>
      <w:pPr>
        <w:ind w:left="-8" w:right="20" w:firstLine="464"/>
        <w:spacing w:after="0" w:line="256" w:lineRule="auto"/>
        <w:tabs>
          <w:tab w:leader="none" w:pos="68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Partner’s Unpaid Capital Commitment will be adjusted proportionately with adjustments (including to zero) in Profit Sharing Percentages. Any adjustment of the Capital Commitment of a Partner shall be reflected on the books and records of the Partnership. If at any time the Profit Sharing Percentage and Unpaid Capital Commitment of a Partner are reduced to zero and such Partner has not made a capital contribution to the Partnership, the General Partner may remove such Partner as a Partner of the Partnership.</w:t>
      </w:r>
    </w:p>
    <w:p>
      <w:pPr>
        <w:spacing w:after="0" w:line="143" w:lineRule="exact"/>
        <w:rPr>
          <w:rFonts w:ascii="Arial" w:cs="Arial" w:eastAsia="Arial" w:hAnsi="Arial"/>
          <w:sz w:val="18"/>
          <w:szCs w:val="18"/>
          <w:color w:val="auto"/>
        </w:rPr>
      </w:pPr>
    </w:p>
    <w:p>
      <w:pPr>
        <w:ind w:left="712" w:hanging="256"/>
        <w:spacing w:after="0"/>
        <w:tabs>
          <w:tab w:leader="none" w:pos="712"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Except as provided in this Section 5.1, no Partner shall be required to make capital contributions to the Partnership.</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92"/>
          </w:cols>
          <w:pgMar w:left="248" w:top="280" w:right="259"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5.2 Capital Accounts</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 separate capital account (a “</w:t>
      </w:r>
      <w:r>
        <w:rPr>
          <w:rFonts w:ascii="Arial" w:cs="Arial" w:eastAsia="Arial" w:hAnsi="Arial"/>
          <w:sz w:val="16"/>
          <w:szCs w:val="16"/>
          <w:u w:val="single" w:color="auto"/>
          <w:color w:val="auto"/>
        </w:rPr>
        <w:t>Capital Account</w:t>
      </w:r>
      <w:r>
        <w:rPr>
          <w:rFonts w:ascii="Arial" w:cs="Arial" w:eastAsia="Arial" w:hAnsi="Arial"/>
          <w:sz w:val="16"/>
          <w:szCs w:val="16"/>
          <w:color w:val="auto"/>
        </w:rPr>
        <w:t>”) shall be established and maintained for each Partner. The Capital Account of each Partner shall be credited with such Partner’s capital contributions, if any, to the Partnership, all Profits allocated to such Partner pursuant to Section 5.3 and any items of income or gain which are specially allocated pursuant to Section 5.4; and shall be debited with all Losses allocated to such Partner pursuant to Section 5.3, any items of loss or deduction of the Partnership specially allocated to such Partner pursuant to Section 5.4, and all cash and the Carrying Value of any property (net of liabilities assumed by such Partner and the liabilities to which such property is subject) distributed by the Partnership to such Partner. To the extent not provided for in the preceding sentence, the Capital Accounts of the Partners shall be adjusted and maintained in accordance with the rules of Treasury Regulations Section 1.704-1(b)(2)(iv), as the same may be amended or revised. Any references in any section of this Agreement to the Capital Account of a Partner shall be deemed to refer to such Capital Account as the same may be credited or debited from time to time as set forth above. In the event of any transfer of any interest in the Partnership in accordance with the terms of this Agreement, the transferee shall succeed to the Capital Account of the transferor to the extent it relates to the transferred interest.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5.3 Allocations of Profits and Losses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as otherwise provided in this Agreement, Profits and Losses and to the extent necessary, individual items of income, gain, loss or deduction of the Partnership shall be allocated among the Partners in a manner such that the Capital Account of each Partner, after giving effect to the special allocations set forth in Sections 5.4(b), (c), (d), (e), (f), (g), (h) and (i) and immediately after making such allocation, is, as nearly as possible, equal (proportionately) to (i) the distributions that would be made to such Partner pursuant to Section 7.3 if the Partnership were dissolved, its affairs wound up and its assets sold for cash equal to their respective Carrying Values, all Partnership liabilities were satisfied (limited with respect to each nonrecourse liability to the Carrying Value of the assets securing such liability), and the net assets of the Partnership were distributed in accordance with Section 7.3 to the Partners immediately after making such allocation, minus (ii) such Partner’s share of Partnership Minimum Gain and Partner Nonrecourse Debt Minimum Gain, computed immediately prior to the hypothetical sale of assets, minus (iii) such Partner’s obligations in respect of any Give-Back Obligation.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5.4 Special Allocations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 other provision in this Article V:</w:t>
      </w:r>
    </w:p>
    <w:p>
      <w:pPr>
        <w:spacing w:after="0" w:line="171" w:lineRule="exact"/>
        <w:rPr>
          <w:sz w:val="20"/>
          <w:szCs w:val="20"/>
          <w:color w:val="auto"/>
        </w:rPr>
      </w:pPr>
    </w:p>
    <w:p>
      <w:pPr>
        <w:ind w:firstLine="464"/>
        <w:spacing w:after="0" w:line="290"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Minimum Gain Chargeback</w:t>
      </w:r>
      <w:r>
        <w:rPr>
          <w:rFonts w:ascii="Arial" w:cs="Arial" w:eastAsia="Arial" w:hAnsi="Arial"/>
          <w:sz w:val="16"/>
          <w:szCs w:val="16"/>
          <w:color w:val="auto"/>
        </w:rPr>
        <w:t>. If there is a net decrease in Partnership Minimum Gain or Partner Nonrecourse Debt Minimum Gain (determined in accordance with the principles of Treasury Regulations Sections 1.704-2(d) and 1.704-2(i)) during any Partnership taxable year, the Partners shall be specially allocated items of Partnership income and gain for such year (and, if necessary, subsequent years) in an amount equal to their respective shares of such net decrease during such year, determined pursuant to Treasury Regulations Sections 1.704-2(g) and 1.704-2(i)(5). The items to be so allocated shall be determined in accordance with Treasury Regulations Section 1.704-2(f). This Section 5.4(a)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58" w:name="page159"/>
    <w:bookmarkEnd w:id="15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 </w:t>
      </w:r>
      <w:r>
        <w:rPr>
          <w:rFonts w:ascii="Arial" w:cs="Arial" w:eastAsia="Arial" w:hAnsi="Arial"/>
          <w:sz w:val="16"/>
          <w:szCs w:val="16"/>
          <w:u w:val="single" w:color="auto"/>
          <w:color w:val="auto"/>
        </w:rPr>
        <w:t>Qualified Income Offset</w:t>
      </w:r>
      <w:r>
        <w:rPr>
          <w:rFonts w:ascii="Arial" w:cs="Arial" w:eastAsia="Arial" w:hAnsi="Arial"/>
          <w:sz w:val="16"/>
          <w:szCs w:val="16"/>
          <w:color w:val="auto"/>
        </w:rPr>
        <w:t>. If any Partner unexpectedly receives any adjustments, allocations, or distributions described in Treasury Regulations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1.704-1(b)(2)(ii)(d)(4), (5) or (6), items of Partnership income and gain shall be specially allocated to such Partner in an amount and manner sufficient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eliminate the deficit balance in such Partner’s Adjusted Capital Account Balance created by such adjustments, allocations or distributions as promptly as possible;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provided that an allocation pursuant to this Section 5.4(b) shall be made only to the extent that a Partner would have a deficit Adjusted Capital Account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excess of such sum after all other allocations provided for in this Article V have been tentatively made as if this Section 5.4(b) were not in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Section 5.4(b) is intended to comply with the “qualified income offset” requirement of the Code and shall be interpreted consistently therewith.</w:t>
      </w:r>
    </w:p>
    <w:p>
      <w:pPr>
        <w:spacing w:after="0" w:line="188" w:lineRule="exact"/>
        <w:rPr>
          <w:sz w:val="20"/>
          <w:szCs w:val="20"/>
          <w:color w:val="auto"/>
        </w:rPr>
      </w:pPr>
    </w:p>
    <w:p>
      <w:pPr>
        <w:ind w:right="60" w:firstLine="464"/>
        <w:spacing w:after="0" w:line="291"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Gross Income Allocation</w:t>
      </w:r>
      <w:r>
        <w:rPr>
          <w:rFonts w:ascii="Arial" w:cs="Arial" w:eastAsia="Arial" w:hAnsi="Arial"/>
          <w:sz w:val="16"/>
          <w:szCs w:val="16"/>
          <w:color w:val="auto"/>
        </w:rPr>
        <w:t xml:space="preserve">. If any Partner has a deficit Capital Account at the end of any Fiscal Year which is in excess of the sum of (i) the amount such Partner is obligated to restore, if any, pursuant to any provision of this Agreement, and (ii) the amount such Partner is deemed to be obligated to restore pursuant to the penultimate sentences of Treasury Regulations Section 1.704-2(g)(1) and 1.704-2(i)(5), each such Partner shall be specially allocated items of Partnership income and gain in the amount of such excess as quickly as possible;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allocation pursuant to this Section 5.4(c) shall be made only if and to the extent that a Partner would have a deficit Capital Account in excess of such sum after all other allocations provided for in this Article V have been tentatively made as if Section 5.4(b) and this Section 5.4(c) were not in this Agreement.</w:t>
      </w:r>
    </w:p>
    <w:p>
      <w:pPr>
        <w:spacing w:after="0" w:line="120"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Payee Allocation</w:t>
      </w:r>
      <w:r>
        <w:rPr>
          <w:rFonts w:ascii="Arial" w:cs="Arial" w:eastAsia="Arial" w:hAnsi="Arial"/>
          <w:sz w:val="18"/>
          <w:szCs w:val="18"/>
          <w:color w:val="auto"/>
        </w:rPr>
        <w:t>. In the event any payment to any person that is treated by the Partnership as the payment of an expense is recharacterized by a taxing authority as a Partnership distribution to the payee as a Partner, such payee shall be specially allocated an amount of Partnership gross income and gain as quickly as possible equal to the amount of the distribution.</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Nonrecourse Deductions</w:t>
      </w:r>
      <w:r>
        <w:rPr>
          <w:rFonts w:ascii="Arial" w:cs="Arial" w:eastAsia="Arial" w:hAnsi="Arial"/>
          <w:sz w:val="16"/>
          <w:szCs w:val="16"/>
          <w:color w:val="auto"/>
        </w:rPr>
        <w:t>. Nonrecourse Deductions shall be allocated to the Partners in accordance with their respective Capital Account balances.</w:t>
      </w:r>
    </w:p>
    <w:p>
      <w:pPr>
        <w:spacing w:after="0" w:line="194" w:lineRule="exact"/>
        <w:rPr>
          <w:rFonts w:ascii="Arial" w:cs="Arial" w:eastAsia="Arial" w:hAnsi="Arial"/>
          <w:sz w:val="16"/>
          <w:szCs w:val="16"/>
          <w:color w:val="auto"/>
        </w:rPr>
      </w:pPr>
    </w:p>
    <w:p>
      <w:pPr>
        <w:ind w:right="160" w:firstLine="464"/>
        <w:spacing w:after="0" w:line="370" w:lineRule="auto"/>
        <w:tabs>
          <w:tab w:leader="none" w:pos="676"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Partner Nonrecourse Deductions</w:t>
      </w:r>
      <w:r>
        <w:rPr>
          <w:rFonts w:ascii="Arial" w:cs="Arial" w:eastAsia="Arial" w:hAnsi="Arial"/>
          <w:sz w:val="15"/>
          <w:szCs w:val="15"/>
          <w:color w:val="auto"/>
        </w:rPr>
        <w:t>. Partner Nonrecourse Deductions for any taxable period shall be allocated to the Partner who bears the economic risk of loss with respect to the liability to which such Partner Nonrecourse Deductions are attributable in accordance with Treasury Regulations Section 1.704-2(j).</w:t>
      </w:r>
    </w:p>
    <w:p>
      <w:pPr>
        <w:spacing w:after="0" w:line="62" w:lineRule="exact"/>
        <w:rPr>
          <w:rFonts w:ascii="Arial" w:cs="Arial" w:eastAsia="Arial" w:hAnsi="Arial"/>
          <w:sz w:val="15"/>
          <w:szCs w:val="15"/>
          <w:color w:val="auto"/>
        </w:rPr>
      </w:pPr>
    </w:p>
    <w:p>
      <w:pPr>
        <w:jc w:val="both"/>
        <w:ind w:right="260" w:firstLine="464"/>
        <w:spacing w:after="0" w:line="256"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Allocations Relating to Taxable Issuance of Partnership Interests</w:t>
      </w:r>
      <w:r>
        <w:rPr>
          <w:rFonts w:ascii="Arial" w:cs="Arial" w:eastAsia="Arial" w:hAnsi="Arial"/>
          <w:sz w:val="18"/>
          <w:szCs w:val="18"/>
          <w:color w:val="auto"/>
        </w:rPr>
        <w:t>. Any income, gain, loss, or deduction realized as a direct or indirect result of the issuance (or deemed issuance) of an Interest to a Partner (the “</w:t>
      </w:r>
      <w:r>
        <w:rPr>
          <w:rFonts w:ascii="Arial" w:cs="Arial" w:eastAsia="Arial" w:hAnsi="Arial"/>
          <w:sz w:val="18"/>
          <w:szCs w:val="18"/>
          <w:u w:val="single" w:color="auto"/>
          <w:color w:val="auto"/>
        </w:rPr>
        <w:t>Issuance Items</w:t>
      </w:r>
      <w:r>
        <w:rPr>
          <w:rFonts w:ascii="Arial" w:cs="Arial" w:eastAsia="Arial" w:hAnsi="Arial"/>
          <w:sz w:val="18"/>
          <w:szCs w:val="18"/>
          <w:color w:val="auto"/>
        </w:rPr>
        <w:t>”) shall be allocated among the Partners so that, to the extent possible, the net amount of such Issuance Items, together with all other allocations under this Agreement to each Partner, shall be equal to the net amount that would have been allocated to each such Partner if the Issuance Items had not been realized.</w:t>
      </w:r>
    </w:p>
    <w:p>
      <w:pPr>
        <w:spacing w:after="0" w:line="143"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Creditable Foreign Taxes</w:t>
      </w:r>
      <w:r>
        <w:rPr>
          <w:rFonts w:ascii="Arial" w:cs="Arial" w:eastAsia="Arial" w:hAnsi="Arial"/>
          <w:sz w:val="18"/>
          <w:szCs w:val="18"/>
          <w:color w:val="auto"/>
        </w:rPr>
        <w:t>. Creditable Foreign Taxes for any taxable period attributable to the Partnership, or an entity owned directly or indirectly by the Partnership, shall be allocated to the Partners in proportion to the Partners’ distributive shares of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59" w:name="page160"/>
    <w:bookmarkEnd w:id="15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income allocated pursuant to Section 704(c) of the Code) to which the Creditable Foreign Tax relates (under principles of Treasury Regulations Section 1.904-6). The provisions of this Section 5.4(h) are intended to comply with the provisions of Temporary Treasury Regulations Section 1.704-1T(b)(4)(xi), and shall be interpreted consistently therewith.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5.5 Tax Allocations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For income tax purposes, each item of income, gain, loss and deduction of the Partnership shall be allocated among the Partners in the same manner as the corresponding items of Profits and Losses and specially allocated items are allocated for Capital Account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asset the Carrying Value of which differs from its adjusted tax basis for United States federal income tax purposes, income, gain, loss and deduction with respect to such asset shall be allocated solely for income tax purposes in accordance with the principles of Sections 704(b) and (c) of the Code (in any manner determined by the General Partner) so as to take account of the difference between Carrying Value and adjusted basis of such asset; provided, further, that the Partnership shall use the traditional method (as such term is defined in Treas. Reg. section 1.704-3(b)(1)) for all Section 704(c) allocations and “reverse Section 704(c)” allocations. Notwithstanding the foregoing, the Tax Matters Partner shall make such allocations for tax purposes as may be needed to ensure that allocations are in accordance with the interests of the Partners, within the meaning of the Code and Treasury Regulations.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5.6 Tax Advances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extent the Partnership is required by law to withhold or to make tax payments on behalf of or with respect to any Partner or the Partnership is subjected to tax itself by reason of the status of any Partner (“</w:t>
      </w:r>
      <w:r>
        <w:rPr>
          <w:rFonts w:ascii="Arial" w:cs="Arial" w:eastAsia="Arial" w:hAnsi="Arial"/>
          <w:sz w:val="16"/>
          <w:szCs w:val="16"/>
          <w:u w:val="single" w:color="auto"/>
          <w:color w:val="auto"/>
        </w:rPr>
        <w:t>Tax Advances</w:t>
      </w:r>
      <w:r>
        <w:rPr>
          <w:rFonts w:ascii="Arial" w:cs="Arial" w:eastAsia="Arial" w:hAnsi="Arial"/>
          <w:sz w:val="16"/>
          <w:szCs w:val="16"/>
          <w:color w:val="auto"/>
        </w:rPr>
        <w:t>”), the General Partner may withhold such amounts and make such tax payments as so required. All Tax Advances made on behalf of a Partner shall, at the option of the General Partner, (i) be promptly paid to the Partnership by the Partner on whose behalf such Tax Advances were made or (ii) be repaid by reducing the amount of the current or next succeeding distribution or distributions which would otherwise have been made to such Partner or, if such distributions are not sufficient for that purpose, by so reducing the proceeds of liquidation otherwise payable to such Partner. Whenever the General Partner selects option (ii) pursuant to the preceding sentence for repayment of a Tax Advance by a Partner, for all other purposes of this Agreement such Partner shall be treated as having received all distributions (whether before or upon liquidation) unreduced by the amount of such Tax Advance. The Partnership shall also have the right to set-off as appropriate and apply against such Partner’s obligation to repay Tax Advances any amounts otherwise payable to such Partner by any Affiliate of the Partnership (including amounts such as returns of capital, profit thereon and dividends, but not employee salary or bonus). Each Partner hereby agrees to indemnify and hold harmless the Partnership and the other Partners from and against any liability (including, without limitation, any liability for taxes, penalties, additions to tax or interest) with respect to income attributable to or distributions or other payments to such Partner.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5.7 Expenses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otherwise agreed to by the Partners, the Partnership shall bear and be responsible for all expenses incurred in connection with the operation of the Partnership. The General Partner may cause the Partnership to borrow from any Affiliate on such terms as the General Partner may reasonably determine for the payment of expenses, and may cause the Partnership to pay expenses and repay borrowings from any source of funds of the Partnership as the General Partner may determine.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Books and Reports; Tax Matters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6.1 General Accounting Matters</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86"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General Partner shall keep or cause to be kept books and records pertaining to the Partnership’s business showing all of its assets and liabilities, receipts and disbursements, Profits and Losses, Partners’ Capital Accounts and all transactions entered into by the Partnership, including the Record of Limited Partners. Such books and records of the Partnership shall be kept by the General Partner at its principal place of business and at the Partnership’s office in Ontario and shall be available for inspection by any Partner or the estate or other legal representative thereof during normal business hours; provided that to the fullest extent permitted by law, other than as provided in Section 6.1(b) below, the General Partner may withhold access of any Partner (or the estate or other legal representative thereof) to information regarding the affairs of the Partnership to the extent that the General Partner reasonably determines that it is in the interests of the Partnership to withhold such access for reasons of confidentiality, but may not withhold access to any such information from the professional advisors of any such Partner (or the estate or other legal representative thereof) who need access to such information for purposes of monitoring compliance with the provisions hereof if such professional advisors agree to comply with such measures as the General Partner may reasonably impose to preserve the confidentiality of such information from such Partner (or the estate or other legal representative thereof). The Partnership’s books of account shall be maintained in United States dollars and kept on the tax basis method of accounting in accordance with principles established by the General Partner and otherwise in accordance with United States generally accepted accounting principles and on a basis consistent with the books of account of the Fund.</w:t>
      </w:r>
    </w:p>
    <w:p>
      <w:pPr>
        <w:spacing w:after="0" w:line="124"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soon as is practicable after the close of each Fiscal Year, a copy of the financial statements of the Partnership shall be furnished to each Partner and shall include, as of the end of such Fiscal Year:</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statement of net assets of the Partnership;</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statement of income or loss and a statement of Partners’ capital;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statement of changes in cash flow of the Partnership.</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addition, each person that was a Partner at any time during a Fiscal Year shall be supplied with such information as may be reasonably required to enable such Partner to prepare its Federal, state, local and foreign income tax returns based upon such person’s status as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61" w:name="page162"/>
    <w:bookmarkEnd w:id="161"/>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Partner, such other information as such Person may reasonably request for the purpose of applying for withholding taxes and a statement as to such Partner’s Capital Account as at the close of such Fiscal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6.2 Fiscal Year</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Fiscal Year of the Partnership for financial statement and tax purposes shall begin January 1st and end on December 31st of each year, except for short taxable years in the years of the Partnership’s formation and termination and as otherwise required by Code.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6.3 N 6.3 Certain Tax Matters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General Partner shall prepare or cause to be prepared all Federal, state and local, as well as foreign, if any, tax returns of the Partnership for each year for which such returns are required to be filed and shall file or cause such returns to be timely filed. The General Partner shall determine the appropriate treatment of each item of income, gain, loss, deduction and credit of the Partnership and the accounting methods and conventions under the tax laws of the United States, the several states and other relevant jurisdictions as to the treatment of any such item or any other method or procedure related to the preparation of such tax returns. The General Partner may cause the Partnership to make or refrain from making any and all elections permitted by such tax laws. The Partnership and each Partner hereby designate the General Partner (or such other Partner as the General Partner may designate) as the “tax matters partner” for purposes of Section 6231(a)(7) of the Code (the “Tax Matters Partner”). The Tax Matters Partner will take no action which is reasonably expected to have a material adverse effect on one or more of the Partners unless such action is approved by the General Partner. The Tax Matters Partner will be responsible for notifying all Partners of ongoing proceedings, both administrative and judicial, and will represent the Partnership throughout any such proceeding. The Partners will furnish the Tax Matters Partner with such information as it may reasonably request to provide the Internal Revenue Service with sufficient information to allow proper notice to the Partners. The Tax Matters Partner will not bind any other Partner to any extension of the statute of limitations or to a settlement agreement without such Partner’s written consent which consent shall not be unreasonably withheld. The Tax Matters Partner shall take such action as may be necessary to cause each other Partner to become a “notice partner” within the meaning of section 6223 of the Code.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Dissolution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7.1 Dissolution</w:t>
      </w:r>
      <w:r>
        <w:rPr>
          <w:rFonts w:ascii="Arial" w:cs="Arial" w:eastAsia="Arial" w:hAnsi="Arial"/>
          <w:sz w:val="18"/>
          <w:szCs w:val="18"/>
          <w:color w:val="auto"/>
        </w:rPr>
        <w: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Partnership shall be dissolved and subsequently terminated upon a determination by the General Partner to dissolve the Partnership at any time following the dissolution and termination of the Fund. Subject to the Act, the death, retirement, dissolution, resignation, expulsion or bankruptcy of any Partner shall not cause the dissolution of the Partnership, and following any such event the remaining Partners shall have the right to continue the business of the Partnership.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7.2 Winding-up</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When the Partnership is dissolved, the business and property of the Partnership shall be wound up and liquidated by the General Partner. The General Partner shall use its best efforts to reduce to cash and cash equivalent items such assets of the Partnership as the General Partner shall deem it advisable to sell and to obtain fair value for such assets (taking into account applicable tax, legal and business considerations).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7.3 Final Distribution</w:t>
      </w:r>
      <w:r>
        <w:rPr>
          <w:rFonts w:ascii="Arial" w:cs="Arial" w:eastAsia="Arial" w:hAnsi="Arial"/>
          <w:sz w:val="18"/>
          <w:szCs w:val="18"/>
          <w:color w:val="auto"/>
        </w:rPr>
        <w:t>.</w:t>
      </w:r>
    </w:p>
    <w:p>
      <w:pPr>
        <w:spacing w:after="0" w:line="171" w:lineRule="exact"/>
        <w:rPr>
          <w:sz w:val="20"/>
          <w:szCs w:val="20"/>
          <w:color w:val="auto"/>
        </w:rPr>
      </w:pPr>
    </w:p>
    <w:p>
      <w:pPr>
        <w:jc w:val="both"/>
        <w:ind w:right="100" w:firstLine="464"/>
        <w:spacing w:after="0" w:line="298"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Within 120 calendar days after the effective date of dissolution of the Partnership (or such later date as the General Partner shall determine), the assets of the Partnership shall be distributed to satisfy all creditors of the Partnership (including the payment of expenses of the winding-up, liquidation and dissolution of the Partnership), including Partners who are creditors of the Partnership, to the extent otherwise permitted by law, either by the payment thereof or the making of reasonable provision therefor (including the establishment of reserves, in amounts established by the General Partner).</w:t>
      </w:r>
    </w:p>
    <w:p>
      <w:pPr>
        <w:spacing w:after="0" w:line="112"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remaining assets, if any, of the Partnership shall be applied and distributed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Partners until each such Partner receives an amount equal to the amount of its capital balance as reflected on the books and records of the Partnership.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7.4 No Obligation to Restore Capital Accounts</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Except as provided in Section 4.5 and Section 5.1(a)(iii) and as may otherwise be required by law, no Partner whose Capital Account balance is a negative or deficit amount (either during the existence of the Partnership or upon liquidation) shall have any obligation to return any amounts previously distributed to such Partner or to contribute cash or other assets to the Partnership to restore or make up the deficit in such Partner’s impaired Capital Account.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Transfer of Partners’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8.1 Transfer of Partnership Interests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94"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 Partner may, directly or indirectly, Transfer such Partner’s interest in the Partnership without advance notice to and the prior consent of the General Partner, which consent may be given or withheld in the General Partner’s sole and absolute discretion. Notwithstanding the foregoing, no consent shall be necessary in the case of a Transfer by an EPI Limited Partner upon her or his death, to her or his estate or heirs, and in which event such interest shall nevertheless be deemed to be held by the initial holder thereof for purposes of determining consequences under Sections 4.4 and 4.5, unless the General Partner reasonably determines upon advice of counsel that such Transfer would materially increase the likelihood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163" w:name="page164"/>
    <w:bookmarkEnd w:id="16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either the Partnership would be subject to the registration requirements of the Investment Company Act of 1940, as amended, or jeopardize the status of the Partnership as a partnership for federal income tax purposes.</w:t>
      </w:r>
    </w:p>
    <w:p>
      <w:pPr>
        <w:spacing w:after="0" w:line="132" w:lineRule="exact"/>
        <w:rPr>
          <w:sz w:val="20"/>
          <w:szCs w:val="20"/>
          <w:color w:val="auto"/>
        </w:rPr>
      </w:pPr>
    </w:p>
    <w:p>
      <w:pPr>
        <w:ind w:right="120" w:firstLine="464"/>
        <w:spacing w:after="0" w:line="306"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t>Upon a Limited Partner’s Transfer of all or any part of such Limited Partner’s Interest in the Partnership to any person under Section 8.1(a) (including an Affiliate of such Partner or a permitted transferee under Section 8.1(a)) (the “</w:t>
      </w:r>
      <w:r>
        <w:rPr>
          <w:rFonts w:ascii="Arial" w:cs="Arial" w:eastAsia="Arial" w:hAnsi="Arial"/>
          <w:sz w:val="16"/>
          <w:szCs w:val="16"/>
          <w:u w:val="single" w:color="auto"/>
          <w:color w:val="auto"/>
        </w:rPr>
        <w:t>Assignee</w:t>
      </w:r>
      <w:r>
        <w:rPr>
          <w:rFonts w:ascii="Arial" w:cs="Arial" w:eastAsia="Arial" w:hAnsi="Arial"/>
          <w:sz w:val="16"/>
          <w:szCs w:val="16"/>
          <w:color w:val="auto"/>
        </w:rPr>
        <w:t>”), such Assignee shall be admitted as a substitute Limited Partner in lieu of such transferor Partner only with the written consent of the General Partner which consent may be given or withheld in its sole and absolute discretion.</w:t>
      </w:r>
    </w:p>
    <w:p>
      <w:pPr>
        <w:spacing w:after="0" w:line="106" w:lineRule="exact"/>
        <w:rPr>
          <w:rFonts w:ascii="Arial" w:cs="Arial" w:eastAsia="Arial" w:hAnsi="Arial"/>
          <w:sz w:val="16"/>
          <w:szCs w:val="16"/>
          <w:color w:val="auto"/>
        </w:rPr>
      </w:pPr>
    </w:p>
    <w:p>
      <w:pPr>
        <w:ind w:firstLine="464"/>
        <w:spacing w:after="0" w:line="291"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Unless an Assignee is admitted as a substitute Limited Partner in accordance with Section 8.1(b) and the Act, a Transfer by a Limited Partner of all or any part of such Limited Partner’s interest in the Partnership shall not release such Limited Partner from any of such Limited Partner’s obligations or liabilities (including, without limitation, such Partner’s obligations to make capital contributions hereunder and such Limited Partner’s liability therefor), or limit the General Partner’s rights with respect to such Limited Partner, of any nature whatsoever arising under this Agreement, and such Assignee shall be entitled only to allocations and distributions with respect to its Interest and shall have no right to any accounting or information concerning the affairs of the Partnership and shall not have any of the other rights of a Limited Partner under this Agreement.</w:t>
      </w:r>
    </w:p>
    <w:p>
      <w:pPr>
        <w:spacing w:after="0" w:line="120" w:lineRule="exact"/>
        <w:rPr>
          <w:rFonts w:ascii="Arial" w:cs="Arial" w:eastAsia="Arial" w:hAnsi="Arial"/>
          <w:sz w:val="16"/>
          <w:szCs w:val="16"/>
          <w:color w:val="auto"/>
        </w:rPr>
      </w:pPr>
    </w:p>
    <w:p>
      <w:pPr>
        <w:ind w:right="180" w:firstLine="464"/>
        <w:spacing w:after="0" w:line="268"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purported Transfer by a Partner of all or any part of its interest in the Partnership in violation of this Article VIII shall be null and void and of no force or effect.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Additional Partners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9.1 Admission of Additional Partners</w:t>
      </w:r>
      <w:r>
        <w:rPr>
          <w:rFonts w:ascii="Arial" w:cs="Arial" w:eastAsia="Arial" w:hAnsi="Arial"/>
          <w:sz w:val="18"/>
          <w:szCs w:val="18"/>
          <w:color w:val="auto"/>
        </w:rPr>
        <w:t>.</w:t>
      </w:r>
    </w:p>
    <w:p>
      <w:pPr>
        <w:spacing w:after="0" w:line="171" w:lineRule="exact"/>
        <w:rPr>
          <w:sz w:val="20"/>
          <w:szCs w:val="20"/>
          <w:color w:val="auto"/>
        </w:rPr>
      </w:pPr>
    </w:p>
    <w:p>
      <w:pPr>
        <w:jc w:val="both"/>
        <w:ind w:right="220" w:firstLine="464"/>
        <w:spacing w:after="0" w:line="259"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person may be admitted subsequent to the date hereof as an additional Partner with the consent of the General Partner and upon amendment of the Record of Limited Partners by the General Partner. Upon the admission of any additional Partner, such Partner may be allocated a Profit Sharing Percentage as agreed to by the General Partner.</w:t>
      </w:r>
    </w:p>
    <w:p>
      <w:pPr>
        <w:spacing w:after="0" w:line="140" w:lineRule="exact"/>
        <w:rPr>
          <w:rFonts w:ascii="Arial" w:cs="Arial" w:eastAsia="Arial" w:hAnsi="Arial"/>
          <w:sz w:val="18"/>
          <w:szCs w:val="18"/>
          <w:color w:val="auto"/>
        </w:rPr>
      </w:pPr>
    </w:p>
    <w:p>
      <w:pPr>
        <w:ind w:right="140" w:firstLine="464"/>
        <w:spacing w:after="0" w:line="298"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Concurrently with the admission of any substitute or additional Partner, the General Partner shall forthwith cause any necessary papers to be filed and recorded and notice to be given wherever and to the extent required showing the substitution of such transferee as a substitute Partner in place of the transferor Partner, or as an admission of an additional Partner. The admission of any person as a substitute or additional Partner shall be conditioned upon such person’s written acceptance and adoption of all the terms and provisions of this Agreement.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164" w:name="page165"/>
    <w:bookmarkEnd w:id="164"/>
    <w:p>
      <w:pPr>
        <w:ind w:left="52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 Arbitration; Waiver of Partition/Action for Accounting</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dispute, controversy or claim arising out of or relating to this Agreement or to the Partnership’s affairs or the rights or interests of the Partners including, but not limited to, the validity, interpretation, performance, breach or termination of this Agreement, whether arising during the Partnership term or at or after its termination or during or after the liquidation of the Partnership, shall be settled exclusively by arbitration in New York City by three neutral arbitrators in accordance with the International Arbitration Rules then obtaining of the American Arbitration Association. If the parties to any such controversy are unable to agree upon such arbitrators, then the arbitrators shall be appointed in accordance with such rules. The parties consent to the exclusive jurisdiction of the courts of competent jurisdiction in the Province of Ontario in respect of any action or proceeding relating in any way to this Agreement. The parties shall not raise any objection to the venue of any proceedings in any such court, including the objection that the proceedings have been brought in an inconvenient forum. The General Partner irrevocably appoints Osler, Hoskin &amp; Harcourt LLP (the “</w:t>
      </w:r>
      <w:r>
        <w:rPr>
          <w:rFonts w:ascii="Arial" w:cs="Arial" w:eastAsia="Arial" w:hAnsi="Arial"/>
          <w:sz w:val="16"/>
          <w:szCs w:val="16"/>
          <w:u w:val="single" w:color="auto"/>
          <w:color w:val="auto"/>
        </w:rPr>
        <w:t>Process Agent</w:t>
      </w:r>
      <w:r>
        <w:rPr>
          <w:rFonts w:ascii="Arial" w:cs="Arial" w:eastAsia="Arial" w:hAnsi="Arial"/>
          <w:sz w:val="16"/>
          <w:szCs w:val="16"/>
          <w:color w:val="auto"/>
        </w:rPr>
        <w:t>”), with an office on the date of this Agreement at Box 50, 1 First Canadian Place, Toronto, Ontario, Canada M5X 1B8, as its agent to receive on behalf of it service of copies of the statement of claim and any other process which may be served in any such action or proceeding. Such service may be made by delivering a copy of such process to the General Partner in care of the Process Agent at the Process Agent’s most recent address in Toronto as set out herein, and the General Partner irrevocably authorizes and directs the Process Agent to accept such service on its behalf. A final judgment in any such action or proceeding may be enforced in other jurisdictions by suit on the judgment or in any other manner specified by law and shall not be re-litigated on the merits.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10.2 Successors and Assigns</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Agreement shall be binding upon and shall inure to the benefit of the parties hereto and their respective successors and assigns and, in particular, the estate of a deceased Partner shall remain liable for all of such Partner’s obligations hereunder to the extent that such obligations are not expressly affected by such Partner’s death under the terms hereof. Any Partner who is entitled to a post-employment Profit Sharing Percentage following termination of such Partner’s employment or, in the case of an Operating Executive, consultancy of a Partner with EPI, the Investment Advisor, the Investment Manager or any of their respective Affiliates may assign, at the time of such termination of employment, his or her right to receive all or a portion of such post-employment Profit Sharing Percentage to a trust, partnership or other entity for investment by or for the benefit of partners of such Partner’s family or for charitable purposes; provided that no such assignment shall be permitted in the event that such assignment would, or would be reasonably expected to, result in an adverse impact on the Partnership or its Affiliates or on any other Partner of the Partnership.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65" w:name="page166"/>
    <w:bookmarkEnd w:id="165"/>
    <w:p>
      <w:pPr>
        <w:ind w:left="4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10.3 Other Covenants of the Partners</w:t>
      </w:r>
      <w:r>
        <w:rPr>
          <w:rFonts w:ascii="Arial" w:cs="Arial" w:eastAsia="Arial" w:hAnsi="Arial"/>
          <w:sz w:val="18"/>
          <w:szCs w:val="18"/>
          <w:color w:val="auto"/>
        </w:rPr>
        <w:t>.</w:t>
      </w:r>
    </w:p>
    <w:p>
      <w:pPr>
        <w:spacing w:after="0" w:line="171" w:lineRule="exact"/>
        <w:rPr>
          <w:sz w:val="20"/>
          <w:szCs w:val="20"/>
          <w:color w:val="auto"/>
        </w:rPr>
      </w:pPr>
    </w:p>
    <w:p>
      <w:pPr>
        <w:ind w:left="-40" w:firstLine="464"/>
        <w:spacing w:after="0" w:line="287" w:lineRule="auto"/>
        <w:tabs>
          <w:tab w:leader="none" w:pos="6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By executing this Agreement, each Partner expressly agrees, at all times during the term of the Partnership and thereafter and whether or not at the time a Partner of the Partnership or an employee of EPI, the Investment Advisor, the Investment Manager or any of their respective Affiliates, without the consent of the General Partner, to maintain the confidentiality of, and not to disclose to any person, any material information relating to the business, financial results, clients or affairs of the Partnership that shall not be generally known to the public, except (a) to such Partner’s professional advisers who are bound by a confidentiality obligation to the same extent set forth herein, (b) as required for any arbitration proceeding pursuant to Section 10.1 or as required by law, by rule or regulation having the force of law, by any regulatory or self-regulatory organization having jurisdiction or by process of law, (c) as required by the Act or (d) as is reasonably necessary in the best interests of the business of the Partnership and the Fund. Each Partner that is an entity shall cause its owners to comply with the provisions of this Section 10.3. The provisions of this Section 10.3 shall survive the termination of the Partnership. Notwithstanding anything in this Agreement to the contrary, to comply with Treasury Regulation Section 1.6011-4(b)(3)(i), each Partner may disclose to any and all persons, without limitation of any kind, the U.S. federal income tax treatment and tax structure of the Partnership or any transactions undertaken by the Partnership.</w:t>
      </w:r>
    </w:p>
    <w:p>
      <w:pPr>
        <w:spacing w:after="0" w:line="122" w:lineRule="exact"/>
        <w:rPr>
          <w:rFonts w:ascii="Arial" w:cs="Arial" w:eastAsia="Arial" w:hAnsi="Arial"/>
          <w:sz w:val="16"/>
          <w:szCs w:val="16"/>
          <w:color w:val="auto"/>
        </w:rPr>
      </w:pPr>
    </w:p>
    <w:p>
      <w:pPr>
        <w:ind w:left="-40" w:right="100" w:firstLine="464"/>
        <w:spacing w:after="0" w:line="332" w:lineRule="auto"/>
        <w:tabs>
          <w:tab w:leader="none" w:pos="665" w:val="left"/>
        </w:tabs>
        <w:numPr>
          <w:ilvl w:val="0"/>
          <w:numId w:val="97"/>
        </w:numPr>
        <w:rPr>
          <w:rFonts w:ascii="Arial" w:cs="Arial" w:eastAsia="Arial" w:hAnsi="Arial"/>
          <w:sz w:val="16"/>
          <w:szCs w:val="16"/>
          <w:color w:val="auto"/>
        </w:rPr>
      </w:pPr>
      <w:r>
        <w:rPr>
          <w:rFonts w:ascii="Arial" w:cs="Arial" w:eastAsia="Arial" w:hAnsi="Arial"/>
          <w:sz w:val="16"/>
          <w:szCs w:val="16"/>
          <w:color w:val="auto"/>
        </w:rPr>
        <w:t>Each EPI Limited Partner acknowledges that a breach of his or her obligations under this Section 10.3 (for the avoidance of doubt, determined without giving effect to any modification pursuant to Section 10.12) shall constitute an event of Cause with the consequences specified pursuant to Section 4.4.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80" w:top="280" w:right="259" w:bottom="1440" w:gutter="0" w:footer="0" w:header="0"/>
        </w:sectPr>
      </w:pPr>
    </w:p>
    <w:bookmarkStart w:id="166" w:name="page167"/>
    <w:bookmarkEnd w:id="166"/>
    <w:p>
      <w:pPr>
        <w:ind w:right="80" w:firstLine="456"/>
        <w:spacing w:after="0" w:line="29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10.4</w:t>
      </w:r>
      <w:r>
        <w:rPr>
          <w:rFonts w:ascii="Arial" w:cs="Arial" w:eastAsia="Arial" w:hAnsi="Arial"/>
          <w:sz w:val="16"/>
          <w:szCs w:val="16"/>
          <w:color w:val="auto"/>
        </w:rPr>
        <w:t xml:space="preserve"> Notices. Whenever notice is required or permitted by this Agreement to be given, such notice shall be in writing (including cable, telex, facsimile or similar writing) and shall be given to any Partner at its address or telex or facsimile number shown in the Partnership’s books and records. Each such notice shall be effective (i) if given by telex or facsimile, upon electronic confirmation of receipt and (ii) if given by any other means, when delivered to and receipted for at the address of such Partner, as the case may be, specified as aforesaid.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10.5 Counterparts</w:t>
      </w:r>
      <w:r>
        <w:rPr>
          <w:rFonts w:ascii="Arial" w:cs="Arial" w:eastAsia="Arial" w:hAnsi="Arial"/>
          <w:sz w:val="16"/>
          <w:szCs w:val="16"/>
          <w:color w:val="auto"/>
        </w:rPr>
        <w:t>. This Agreement may be executed in any number of counterparts, all of which together shall constitute a single instrument.</w:t>
      </w:r>
    </w:p>
    <w:p>
      <w:pPr>
        <w:spacing w:after="0" w:line="19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u w:val="single" w:color="auto"/>
          <w:color w:val="auto"/>
        </w:rPr>
        <w:t>SECTION 10.6 Entire Agreement</w:t>
      </w:r>
      <w:r>
        <w:rPr>
          <w:rFonts w:ascii="Arial" w:cs="Arial" w:eastAsia="Arial" w:hAnsi="Arial"/>
          <w:sz w:val="16"/>
          <w:szCs w:val="16"/>
          <w:color w:val="auto"/>
        </w:rPr>
        <w:t>.This Agreement, together with the separate written agreements referenced herein, embodies the entire agreement and understanding of the parties hereto in respect of the subject matter contained herein. There are no restrictions, promises, representations, warranties, covenants or undertakings, other than those expressly set forth or referred to herein. Except as expressly provided herein, this Agreement and such separate written agreements supersede all prior agreements and understandings between the parties with respect to such subject matter. This Agreement does not create any right of employment on the part of any Partner and no Partner shall have any right (implied or otherwise) to be paid any amount hereunder except as expressly provided for herein. The parties hereto acknowledge that the Partnership, without any further act or approval of any Partner, may enter into side letters or other writings with EPI Limited Partners or Special Limited Partners (including without limitation the Participation Agreement, any Terms Letter and any agreement regarding the termination of a Partner’s employment or consultancy) which have the effect of establishing rights under, or altering or supplementing, the terms of, this Agreement. The parties hereto agree that any rights established, or any terms of the Agreement altered or supplemented, in such a side letter or other writing entered into by the Partnership with a Partner shall govern with respect to such Partner notwithstanding any other provision of this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10.7 Amendments; Power of Attorney</w:t>
      </w:r>
      <w:r>
        <w:rPr>
          <w:rFonts w:ascii="Arial" w:cs="Arial" w:eastAsia="Arial" w:hAnsi="Arial"/>
          <w:sz w:val="18"/>
          <w:szCs w:val="18"/>
          <w:color w:val="auto"/>
        </w:rPr>
        <w:t>.</w:t>
      </w:r>
    </w:p>
    <w:p>
      <w:pPr>
        <w:spacing w:after="0" w:line="171" w:lineRule="exact"/>
        <w:rPr>
          <w:sz w:val="20"/>
          <w:szCs w:val="20"/>
          <w:color w:val="auto"/>
        </w:rPr>
      </w:pPr>
    </w:p>
    <w:p>
      <w:pPr>
        <w:jc w:val="both"/>
        <w:ind w:firstLine="464"/>
        <w:spacing w:after="0" w:line="302" w:lineRule="auto"/>
        <w:tabs>
          <w:tab w:leader="none" w:pos="695" w:val="left"/>
        </w:tabs>
        <w:numPr>
          <w:ilvl w:val="1"/>
          <w:numId w:val="98"/>
        </w:numPr>
        <w:rPr>
          <w:rFonts w:ascii="Arial" w:cs="Arial" w:eastAsia="Arial" w:hAnsi="Arial"/>
          <w:sz w:val="15"/>
          <w:szCs w:val="15"/>
          <w:color w:val="auto"/>
        </w:rPr>
      </w:pPr>
      <w:r>
        <w:rPr>
          <w:rFonts w:ascii="Arial" w:cs="Arial" w:eastAsia="Arial" w:hAnsi="Arial"/>
          <w:sz w:val="15"/>
          <w:szCs w:val="15"/>
          <w:color w:val="auto"/>
        </w:rPr>
        <w:t xml:space="preserve">This Agreement may be amended or modified with the consent by the General Partner;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amendment shall (i) increase any Partner’s relative share of capital contributions, reduce its share of the Partnership’s distributions, income and gains, or increase its share of the Partnership’s losses without the written consent of each Partner so affected (for the avoidance of doubt, adjustments in Profit Sharing Percentages and capital interests in the Partnership effected in accordance with the provisions of this Agreement shall not be deemed to be amendments or modifications of this Agreement for this purpose), or</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amend this Section 10.7 without the consent of each Partner.</w:t>
      </w:r>
    </w:p>
    <w:p>
      <w:pPr>
        <w:spacing w:after="0" w:line="164" w:lineRule="exact"/>
        <w:rPr>
          <w:rFonts w:ascii="Arial" w:cs="Arial" w:eastAsia="Arial" w:hAnsi="Arial"/>
          <w:sz w:val="18"/>
          <w:szCs w:val="18"/>
          <w:color w:val="auto"/>
        </w:rPr>
      </w:pPr>
    </w:p>
    <w:p>
      <w:pPr>
        <w:jc w:val="both"/>
        <w:ind w:right="400" w:firstLine="464"/>
        <w:spacing w:after="0" w:line="259" w:lineRule="auto"/>
        <w:tabs>
          <w:tab w:leader="none" w:pos="705" w:val="left"/>
        </w:tabs>
        <w:numPr>
          <w:ilvl w:val="1"/>
          <w:numId w:val="99"/>
        </w:numPr>
        <w:rPr>
          <w:rFonts w:ascii="Arial" w:cs="Arial" w:eastAsia="Arial" w:hAnsi="Arial"/>
          <w:sz w:val="18"/>
          <w:szCs w:val="18"/>
          <w:color w:val="auto"/>
        </w:rPr>
      </w:pPr>
      <w:r>
        <w:rPr>
          <w:rFonts w:ascii="Arial" w:cs="Arial" w:eastAsia="Arial" w:hAnsi="Arial"/>
          <w:sz w:val="18"/>
          <w:szCs w:val="18"/>
          <w:color w:val="auto"/>
        </w:rPr>
        <w:t>Each Limited Partner hereby grants to each General Partner an irrevocable power of attorney to consent to any amendment or modification of this Agreement duly adopted pursuant to Section 10.7(a) and to execute any instrument, certificate or writing evidencing the taking of any action which has been approved in accordance with the provisions of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67" w:name="page168"/>
    <w:bookmarkEnd w:id="167"/>
    <w:p>
      <w:pPr>
        <w:ind w:right="40" w:firstLine="464"/>
        <w:spacing w:after="0" w:line="290"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General Partner may unilaterally amend this Agreement on or before the effective date of the final regulations, as determined by the General Partner in its sole discretion, to (i) authorize and direct the election of a safe harbor under Treas. Reg. Section 1.83-3(l) (or any similar provision) under which the fair market value of a partnership interest that is transferred in connection with the performance of services is treated as being equal to the liquidation value of that interest, (ii) provide for an agreement by the Partnership and each of its Partners to comply with all of the requirements set forth in such regulations and Notice 2005-43 (and any other guidance provided by the IRS with respect to such election) with respect to all partnership interests transferred in connection with the performance of services while the election remains effective, (iii) provide for the allocation of items of income, gains, deductions and losses required by the final regulations similar to Proposed Regulation Section 1.704-1(b)(4)(xii)(b) and (c), and (iv) provide for any other related amendments.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10.8 Titles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titles are for descriptive purposes only and shall not control or alter the meaning of this Agreement as set forth in the text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10.9 Representations and Warranties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59"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Partner which is not a natural person represents, warrants and covenants to the other Partners that such Partner is duly formed and validly existing under the laws of the jurisdiction of its organization with full power and authority to perform its obligations hereunder and that the execution, delivery and performance of this Agreement has been duly authorized by such Partner.</w:t>
      </w:r>
    </w:p>
    <w:p>
      <w:pPr>
        <w:spacing w:after="0" w:line="140"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Partner who is a natural person represents, warrants and covenants to the other Partners that such Partner has the legal capacity to enter into this Agreement and perform such Partner’s obligations hereunder.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Partner represents, warrants and covenants to the other Partners that:</w:t>
      </w:r>
    </w:p>
    <w:p>
      <w:pPr>
        <w:spacing w:after="0" w:line="90" w:lineRule="exact"/>
        <w:rPr>
          <w:rFonts w:ascii="Arial" w:cs="Arial" w:eastAsia="Arial" w:hAnsi="Arial"/>
          <w:sz w:val="18"/>
          <w:szCs w:val="18"/>
          <w:color w:val="auto"/>
        </w:rPr>
      </w:pPr>
    </w:p>
    <w:p>
      <w:pPr>
        <w:ind w:left="460" w:right="120" w:firstLine="443"/>
        <w:spacing w:after="0" w:line="306" w:lineRule="auto"/>
        <w:tabs>
          <w:tab w:leader="none" w:pos="110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such Partner and constitutes the valid and legally binding agreement of such Partner enforceable in accordance with its terms against such Partner subject to the effect of bankruptcy, insolvency, moratorium and other similar laws relating to creditors’ rights generally, by general equitable principles and by an implied covenant of good faith and fair dealing;</w:t>
      </w:r>
    </w:p>
    <w:p>
      <w:pPr>
        <w:spacing w:after="0" w:line="25" w:lineRule="exact"/>
        <w:rPr>
          <w:rFonts w:ascii="Arial" w:cs="Arial" w:eastAsia="Arial" w:hAnsi="Arial"/>
          <w:sz w:val="16"/>
          <w:szCs w:val="16"/>
          <w:color w:val="auto"/>
        </w:rPr>
      </w:pPr>
    </w:p>
    <w:p>
      <w:pPr>
        <w:ind w:left="460" w:firstLine="443"/>
        <w:spacing w:after="0" w:line="254" w:lineRule="auto"/>
        <w:tabs>
          <w:tab w:leader="none" w:pos="115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execution and delivery of this Agreement by such Partner and the performance of its duties and obligations hereunder do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such Partner or any Affiliate is a party or by which it or any Affiliate is bound or to which its or any Affiliate’s properties are subject, or require any authorization or approval under or pursuant to any of the foregoing which has not been obtained, or violate any statute, regulation, law, order, writ, injunction, judgment or decree to which such Partner or any Affiliate is subject;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168" w:name="page169"/>
    <w:bookmarkEnd w:id="168"/>
    <w:p>
      <w:pPr>
        <w:ind w:right="220" w:firstLine="443"/>
        <w:spacing w:after="0" w:line="294" w:lineRule="auto"/>
        <w:tabs>
          <w:tab w:leader="none" w:pos="745" w:val="left"/>
        </w:tabs>
        <w:numPr>
          <w:ilvl w:val="0"/>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Partner is not in default (nor has any event occurred which with notice, lapse of time, or both, would constitute a default) in the performance of any obligation, agreement or condition contained in any indenture, mortgage, deed of trust, credit agreement, note or other evidence of indebtedness or any lease or other agreement, or any license, permit, franchise or certificate, to which it is a party or by which it is bound or to which the properties of it are subject, nor is it in violation of any statute, regulation, law, order, writ, injunction, judgment or decree to which it is subject, which default or violation would materially adversely affect such Partner’s ability to carry out its obligations under this Agreement;</w:t>
      </w:r>
    </w:p>
    <w:p>
      <w:pPr>
        <w:spacing w:after="0" w:line="34" w:lineRule="exact"/>
        <w:rPr>
          <w:rFonts w:ascii="Arial" w:cs="Arial" w:eastAsia="Arial" w:hAnsi="Arial"/>
          <w:sz w:val="16"/>
          <w:szCs w:val="16"/>
          <w:color w:val="auto"/>
        </w:rPr>
      </w:pPr>
    </w:p>
    <w:p>
      <w:pPr>
        <w:ind w:right="40" w:firstLine="443"/>
        <w:spacing w:after="0" w:line="259" w:lineRule="auto"/>
        <w:tabs>
          <w:tab w:leader="none" w:pos="7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there is no litigation, investigation or other proceeding pending or, to the knowledge of such Partner, threatened against such Partner or any of its Affiliates as to which there is a reasonable possibility of an adverse determination and which, if adversely determined, would materially adversely affect such Partner’s ability to carry out its obligations under this Agreement;</w:t>
      </w:r>
    </w:p>
    <w:p>
      <w:pPr>
        <w:spacing w:after="0" w:line="59" w:lineRule="exact"/>
        <w:rPr>
          <w:rFonts w:ascii="Arial" w:cs="Arial" w:eastAsia="Arial" w:hAnsi="Arial"/>
          <w:sz w:val="18"/>
          <w:szCs w:val="18"/>
          <w:color w:val="auto"/>
        </w:rPr>
      </w:pPr>
    </w:p>
    <w:p>
      <w:pPr>
        <w:ind w:right="460" w:firstLine="443"/>
        <w:spacing w:after="0" w:line="306" w:lineRule="auto"/>
        <w:tabs>
          <w:tab w:leader="none" w:pos="68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 consent, approval or authorization of, or filing, registration or qualification with, any court or governmental authority on the part of such Partner is required for the execution and delivery of this Agreement by such Partner, and, except as may be required under applicable securities and commodities laws in connection with the registration of the Partnership or such Partner, the performance of its obligations and duties hereunder;</w:t>
      </w:r>
    </w:p>
    <w:p>
      <w:pPr>
        <w:spacing w:after="0" w:line="25" w:lineRule="exact"/>
        <w:rPr>
          <w:rFonts w:ascii="Arial" w:cs="Arial" w:eastAsia="Arial" w:hAnsi="Arial"/>
          <w:sz w:val="16"/>
          <w:szCs w:val="16"/>
          <w:color w:val="auto"/>
        </w:rPr>
      </w:pPr>
    </w:p>
    <w:p>
      <w:pPr>
        <w:ind w:right="60" w:firstLine="443"/>
        <w:spacing w:after="0" w:line="268" w:lineRule="auto"/>
        <w:tabs>
          <w:tab w:leader="none" w:pos="7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Partner is acquiring its interest in the Partnership for such Partner’s own account for investment purposes only and not with a view to resale or distribution;</w:t>
      </w:r>
    </w:p>
    <w:p>
      <w:pPr>
        <w:spacing w:after="0" w:line="50" w:lineRule="exact"/>
        <w:rPr>
          <w:rFonts w:ascii="Arial" w:cs="Arial" w:eastAsia="Arial" w:hAnsi="Arial"/>
          <w:sz w:val="18"/>
          <w:szCs w:val="18"/>
          <w:color w:val="auto"/>
        </w:rPr>
      </w:pPr>
    </w:p>
    <w:p>
      <w:pPr>
        <w:ind w:right="520" w:firstLine="443"/>
        <w:spacing w:after="0" w:line="332" w:lineRule="auto"/>
        <w:tabs>
          <w:tab w:leader="none" w:pos="78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such Partner understands that such interests in the Partnership have not been registered under the Securities Act of 1933, as amended (the “Securities Act”), the securities laws of any state thereof or the securities laws of any other jurisdiction, nor is such registration contemplated;</w:t>
      </w:r>
    </w:p>
    <w:p>
      <w:pPr>
        <w:spacing w:after="0" w:line="4" w:lineRule="exact"/>
        <w:rPr>
          <w:rFonts w:ascii="Arial" w:cs="Arial" w:eastAsia="Arial" w:hAnsi="Arial"/>
          <w:sz w:val="16"/>
          <w:szCs w:val="16"/>
          <w:color w:val="auto"/>
        </w:rPr>
      </w:pPr>
    </w:p>
    <w:p>
      <w:pPr>
        <w:ind w:firstLine="443"/>
        <w:spacing w:after="0" w:line="314" w:lineRule="auto"/>
        <w:tabs>
          <w:tab w:leader="none" w:pos="833" w:val="left"/>
        </w:tabs>
        <w:numPr>
          <w:ilvl w:val="0"/>
          <w:numId w:val="102"/>
        </w:numPr>
        <w:rPr>
          <w:rFonts w:ascii="Arial" w:cs="Arial" w:eastAsia="Arial" w:hAnsi="Arial"/>
          <w:sz w:val="15"/>
          <w:szCs w:val="15"/>
          <w:color w:val="auto"/>
        </w:rPr>
      </w:pPr>
      <w:r>
        <w:rPr>
          <w:rFonts w:ascii="Arial" w:cs="Arial" w:eastAsia="Arial" w:hAnsi="Arial"/>
          <w:sz w:val="15"/>
          <w:szCs w:val="15"/>
          <w:color w:val="auto"/>
        </w:rPr>
        <w:t>such Partner understands and agrees further that, subject to the limited rights set forth in this Agreement, its interest in the Partnership must be held indefinitely unless such interest is subsequently registered under the Securities Act, the securities laws of any state and the securities laws of any other jurisdiction or an exemption from registration under the Securities Act and these laws covering the sale of such interests is available; that even if such an exemption is available, the assignability and transferability of its interests in the Partnership will be governed by this Agreement, which imposes substantial restrictions on transfer; that legends stating that its interests in the Partnership have not been registered under the Securities Act and these laws and setting out or referring to the restrictions on the transferability and resale of the Interests will be placed on all documents evidencing such Interests, if any;</w:t>
      </w:r>
    </w:p>
    <w:p>
      <w:pPr>
        <w:spacing w:after="0" w:line="23" w:lineRule="exact"/>
        <w:rPr>
          <w:rFonts w:ascii="Arial" w:cs="Arial" w:eastAsia="Arial" w:hAnsi="Arial"/>
          <w:sz w:val="15"/>
          <w:szCs w:val="15"/>
          <w:color w:val="auto"/>
        </w:rPr>
      </w:pPr>
    </w:p>
    <w:p>
      <w:pPr>
        <w:ind w:right="520" w:firstLine="443"/>
        <w:spacing w:after="0" w:line="259" w:lineRule="auto"/>
        <w:tabs>
          <w:tab w:leader="none" w:pos="7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Partner has such knowledge and experience in financial and business matters as to be capable of evaluating the merits and risks of an investment in interests in the Partnership, is able to bear the risk of loss of an investment in such interests and understands the risks of, and other considerations relating to, a purchase of interests in the Partnership;</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700" w:top="280" w:right="239" w:bottom="1440" w:gutter="0" w:footer="0" w:header="0"/>
        </w:sectPr>
      </w:pPr>
    </w:p>
    <w:bookmarkStart w:id="169" w:name="page170"/>
    <w:bookmarkEnd w:id="169"/>
    <w:p>
      <w:pPr>
        <w:ind w:left="460" w:right="360" w:firstLine="443"/>
        <w:spacing w:after="0" w:line="332"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Partner’s overall commitment to the Partnership and other investments which are not readily marketable is not disproportionate to such Partner’s net worth and such Partner has no need for immediate liquidity in such Partner’s investment in its interests in the Partnership; and</w:t>
      </w:r>
    </w:p>
    <w:p>
      <w:pPr>
        <w:spacing w:after="0" w:line="4" w:lineRule="exact"/>
        <w:rPr>
          <w:rFonts w:ascii="Arial" w:cs="Arial" w:eastAsia="Arial" w:hAnsi="Arial"/>
          <w:sz w:val="16"/>
          <w:szCs w:val="16"/>
          <w:color w:val="auto"/>
        </w:rPr>
      </w:pPr>
    </w:p>
    <w:p>
      <w:pPr>
        <w:ind w:left="460" w:right="60" w:firstLine="443"/>
        <w:spacing w:after="0" w:line="291" w:lineRule="auto"/>
        <w:tabs>
          <w:tab w:leader="none" w:pos="119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such Partner has carefully read this Agreement and, to the full satisfaction of such Partner, such Partner has been furnished any materials such Partner has requested relating to the Partnership and the Fund and the offering of interests in the Partnership, has consulted to the extent deemed appropriate by such Partner with such Partner’s own advisors as to the financial, tax, legal and related matters concerning an investment in the Partnership and such Partner has been afforded the opportunity to ask questions of representatives of the Partnership concerning the terms and conditions of the offering and to obtain any additional information necessary to verify the accuracy of any representations or information provided to such Partner and to make an informed investment decision with respect to an investment in the Partnership.</w:t>
      </w:r>
    </w:p>
    <w:p>
      <w:pPr>
        <w:spacing w:after="0" w:line="120" w:lineRule="exact"/>
        <w:rPr>
          <w:sz w:val="20"/>
          <w:szCs w:val="20"/>
          <w:color w:val="auto"/>
        </w:rPr>
      </w:pPr>
    </w:p>
    <w:p>
      <w:pPr>
        <w:ind w:right="80" w:firstLine="464"/>
        <w:spacing w:after="0" w:line="335" w:lineRule="auto"/>
        <w:tabs>
          <w:tab w:leader="none" w:pos="70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All of the representations, warranties and covenants made under this Section 10.9 shall be deemed to be made on a continuing basis during the term of the Partnership and shall survive the execution and delivery of this Agreement and the consummation of the transactions contemplated hereby. Each Partner agrees to notify the Investment Committee promptly upon becoming aware of a breach in any of his or her representations, warranties and covenants hereunder.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10.10 Division of Property</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event of a property settlement or separation agreement between a Partner and his or her spouse, such Partner agrees that he or she shall use his or her reasonable efforts to retain all of his or her Interest in the Partnership and shall reimburse his or her spouse for any Interest he or she may have in the Partnership out of funds, assets or proceeds separate and distinct from his or her interest in the Partnership. To the extent that such Partner is unable, despite his or her exercise of reasonable efforts, to retain all of his or her Interest in the Partnership, such Partner shall use reasonable efforts to assign to his or her spouse only the right to share in profits and losses, to receive distribution or distributions, and to receive allocation of income, gain, loss, deduction or credit or similar item to which the assigning Partner was entitled, to the extent assigned, with the assigning Partner remaining entitled to exercise all rights and powers of a Partner hereunder. Notwithstanding the foregoing, if a spouse or former spouse of a Partner acquires an Interest in the Partnership as a Partner as a result of any such proposed settlement or separation agreement, such spouse or former spouse shall be entitled only to allocation and distributions with respect to his or her Interest and shall have no right to information concerning the affairs of the Partnership and shall not have any other rights of a Partner under this Agreement.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170" w:name="page171"/>
    <w:bookmarkEnd w:id="170"/>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10.11 Other Covenants of the Partners</w:t>
      </w:r>
      <w:r>
        <w:rPr>
          <w:rFonts w:ascii="Arial" w:cs="Arial" w:eastAsia="Arial" w:hAnsi="Arial"/>
          <w:sz w:val="18"/>
          <w:szCs w:val="18"/>
          <w:color w:val="auto"/>
        </w:rPr>
        <w:t>.</w:t>
      </w:r>
    </w:p>
    <w:p>
      <w:pPr>
        <w:spacing w:after="0" w:line="171" w:lineRule="exact"/>
        <w:rPr>
          <w:sz w:val="20"/>
          <w:szCs w:val="20"/>
          <w:color w:val="auto"/>
        </w:rPr>
      </w:pPr>
    </w:p>
    <w:p>
      <w:pPr>
        <w:jc w:val="both"/>
        <w:ind w:right="40" w:firstLine="464"/>
        <w:spacing w:after="0" w:line="306"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consideration for being admitted as a Partner hereunder, each EPI Limited Partner hereby acknowledges that (i) he or she is bound by the provisions set forth in such Partner’s agreements with EPI, the Investment Advisor, the Investment Manager or any of their Affiliates regarding post-employment covenants and (ii) a breach of his or her obligations thereunder or under this Section 10.11 shall constitute an event of Cause.</w:t>
      </w:r>
    </w:p>
    <w:p>
      <w:pPr>
        <w:spacing w:after="0" w:line="106" w:lineRule="exact"/>
        <w:rPr>
          <w:rFonts w:ascii="Arial" w:cs="Arial" w:eastAsia="Arial" w:hAnsi="Arial"/>
          <w:sz w:val="16"/>
          <w:szCs w:val="16"/>
          <w:color w:val="auto"/>
        </w:rPr>
      </w:pPr>
    </w:p>
    <w:p>
      <w:pPr>
        <w:ind w:right="40" w:firstLine="464"/>
        <w:spacing w:after="0" w:line="287" w:lineRule="auto"/>
        <w:tabs>
          <w:tab w:leader="none" w:pos="7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the event that any EPI Limited Partner’s employment or, in the case of an Operating Executive, consultancy with EPI, the Investment Advisor, the Investment Manager or any of their Affiliates is terminated for any reason, except as required by law or legal process, the Partnership and such Partner agree to refrain from making any comments or statements in the media or to the press or to any individual or entity with whom EPI, the Investment Advisor, the Investment Manager or any of their respective Affiliates has a business relationship or others, which could be likely to adversely affect (i) such Partner’s future employment or such Partner’s personal or professional reputation, in the case of comments or statements by the Partnership, or (ii) the conduct of the business of the Partnership or any of its Affiliates, or any of their plans or prospects, or the business reputation of the Partnership or any of its Affiliates, or any of their respective employees, in the case of comments or statements by such Partner. For purposes of this Section 10.11(b), no comment or statement shall be deemed to be a comment or statement of the Partnership unless it is an official comment or statement of the Partnership or a comment or statement by any then EPI Limited Partner. The General Partner shall use its reasonable best efforts to cause all personnel of the Partnership and its Affiliates to comply with the provisions of this Section 10.11(b).</w:t>
      </w:r>
    </w:p>
    <w:p>
      <w:pPr>
        <w:spacing w:after="0" w:line="122" w:lineRule="exact"/>
        <w:rPr>
          <w:rFonts w:ascii="Arial" w:cs="Arial" w:eastAsia="Arial" w:hAnsi="Arial"/>
          <w:sz w:val="16"/>
          <w:szCs w:val="16"/>
          <w:color w:val="auto"/>
        </w:rPr>
      </w:pPr>
    </w:p>
    <w:p>
      <w:pPr>
        <w:ind w:firstLine="464"/>
        <w:spacing w:after="0" w:line="332"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EPI Limited Partner acknowledges that a breach of his or her obligations under this Section 10.11 (for the avoidance of doubt, determined without giving effect to any modification pursuant to Section 10.12) shall constitute an event of Cause with the consequences specified pursuant to Section 4.4.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10.12 Severability</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event that any provision of this Agreement, including the post-employment covenants set forth in Sections 10.3 and 10.11 hereof and in each of the Partner’s respective Terms Letters, shall be held or deemed to be invalid, illegal or unenforceable in any jurisdiction, for any reason, the invalidity of that provision shall not have the effect of rendering the provision in question unenforceable in any other jurisdiction or in any other case or of rendering any other provisions herein unenforceable. Instead, in such an event, the remainder of this Agreement shall be construed as if not containing the particular invalid or unenforceable provision or provisions, and the rights and obligations of the parties shall be enforced accordingly; and the invalid provision shall be substituted with a valid provision which most closely approximates the intent and the economic effect of the invalid provision and which would be enforceable to the maximum extent permitted in such jurisdiction or in such case.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10.13 Irreparable Harm</w:t>
      </w:r>
      <w:r>
        <w:rPr>
          <w:rFonts w:ascii="Arial" w:cs="Arial" w:eastAsia="Arial" w:hAnsi="Arial"/>
          <w:sz w:val="18"/>
          <w:szCs w:val="18"/>
          <w:color w:val="auto"/>
        </w:rPr>
        <w:t>.</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Each of the Partners hereby agrees that a failure to comply with the provisions of Section 10.11 of this Agreement would cause irreparable harm to the Partnership, and, therefore, the Partnership shall be entitled to an injunction and other equitable relief in the event of any such failure to comply with the provisions of Section 10.11.</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171" w:name="page172"/>
    <w:bookmarkEnd w:id="171"/>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10.14 Partnership Tax Treatment</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Partners intend for the Partnership to be treated as a partnership for U.S. federal income tax purposes and no election to the contrary shall be made.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10.15 Joint and Several Liability of EPI Limited Partners and Family</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EPI Limited Partner and his or her respective Family Related Limited Partners hereby agree to be jointly and severally liable for any obligations of such EPI Limited Partner and his or her respective Family Related Limited Partners 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10.16 Consistent Treatment for Family Related Limited Partners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this Agreement, in the case of any Family Related Limited Partner, (i) the termination of the employment or, in the case of an Operating Executive, consultancy with EPI, the Investment Advisor, the Investment Manager or any of their respective Affiliates of the EPI Limited Partner with which such Family Related Limited Partner is associated may, in the sole discretion of the General Partner, be deemed a termination of employment of such Family Related Limited Partner, with the same character as the character of such EPI Limited Partner’s termination (e.g., with or without Cause, etc.), and (ii) the rights of the Partnership to repurchase a Family Related Limited Partner’s Profit Sharing Percentage pursuant to Section 4.4 shall be the same as the rights of the Partnership with respect to its associated EPI Limited Partner.</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280" w:right="39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day and year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General Partner:</w:t>
      </w:r>
    </w:p>
    <w:p>
      <w:pPr>
        <w:spacing w:after="0" w:line="1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Evercore Mexico GP Holdings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Puneet Gulati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Puneet Gulati</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CFO</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Organizational Limited Partner:</w:t>
      </w:r>
    </w:p>
    <w:p>
      <w:pPr>
        <w:spacing w:after="0" w:line="1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Evercore Mexico Management II, L.L.C.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Puneet Gulati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Puneet Gulati</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CFO</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9759"/>
          </w:cols>
          <w:pgMar w:left="700" w:top="280"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10.27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MENDMENT TO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ESTRICTED</w:t>
      </w:r>
      <w:r>
        <w:rPr>
          <w:rFonts w:ascii="Arial" w:cs="Arial" w:eastAsia="Arial" w:hAnsi="Arial"/>
          <w:sz w:val="18"/>
          <w:szCs w:val="18"/>
          <w:u w:val="single" w:color="auto"/>
          <w:color w:val="auto"/>
        </w:rPr>
        <w:t xml:space="preserve"> S</w:t>
      </w:r>
      <w:r>
        <w:rPr>
          <w:rFonts w:ascii="Arial" w:cs="Arial" w:eastAsia="Arial" w:hAnsi="Arial"/>
          <w:sz w:val="14"/>
          <w:szCs w:val="14"/>
          <w:u w:val="single" w:color="auto"/>
          <w:color w:val="auto"/>
        </w:rPr>
        <w:t>TOCK</w:t>
      </w:r>
      <w:r>
        <w:rPr>
          <w:rFonts w:ascii="Arial" w:cs="Arial" w:eastAsia="Arial" w:hAnsi="Arial"/>
          <w:sz w:val="18"/>
          <w:szCs w:val="18"/>
          <w:u w:val="single" w:color="auto"/>
          <w:color w:val="auto"/>
        </w:rPr>
        <w:t xml:space="preserve"> U</w:t>
      </w:r>
      <w:r>
        <w:rPr>
          <w:rFonts w:ascii="Arial" w:cs="Arial" w:eastAsia="Arial" w:hAnsi="Arial"/>
          <w:sz w:val="14"/>
          <w:szCs w:val="14"/>
          <w:u w:val="single" w:color="auto"/>
          <w:color w:val="auto"/>
        </w:rPr>
        <w:t>NIT</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WARD</w:t>
      </w:r>
      <w:r>
        <w:rPr>
          <w:rFonts w:ascii="Arial" w:cs="Arial" w:eastAsia="Arial" w:hAnsi="Arial"/>
          <w:sz w:val="18"/>
          <w:szCs w:val="18"/>
          <w:u w:val="single" w:color="auto"/>
          <w:color w:val="auto"/>
        </w:rPr>
        <w:t xml:space="preserve"> A</w:t>
      </w:r>
      <w:r>
        <w:rPr>
          <w:rFonts w:ascii="Arial" w:cs="Arial" w:eastAsia="Arial" w:hAnsi="Arial"/>
          <w:sz w:val="14"/>
          <w:szCs w:val="14"/>
          <w:u w:val="single" w:color="auto"/>
          <w:color w:val="auto"/>
        </w:rPr>
        <w:t>GREEMENT</w:t>
      </w:r>
    </w:p>
    <w:p>
      <w:pPr>
        <w:spacing w:after="0" w:line="165"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THIS AMENDMENT (the </w:t>
      </w:r>
      <w:r>
        <w:rPr>
          <w:rFonts w:ascii="Arial" w:cs="Arial" w:eastAsia="Arial" w:hAnsi="Arial"/>
          <w:sz w:val="18"/>
          <w:szCs w:val="18"/>
          <w:i w:val="1"/>
          <w:iCs w:val="1"/>
          <w:color w:val="auto"/>
        </w:rPr>
        <w:t>“Amendment”</w:t>
      </w:r>
      <w:r>
        <w:rPr>
          <w:rFonts w:ascii="Arial" w:cs="Arial" w:eastAsia="Arial" w:hAnsi="Arial"/>
          <w:sz w:val="18"/>
          <w:szCs w:val="18"/>
          <w:color w:val="auto"/>
        </w:rPr>
        <w:t xml:space="preserve">) is made, effective as of October 24, 2008 (the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between EVERCORE PARTNERS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and Adam B. Frankel (the </w:t>
      </w:r>
      <w:r>
        <w:rPr>
          <w:rFonts w:ascii="Arial" w:cs="Arial" w:eastAsia="Arial" w:hAnsi="Arial"/>
          <w:sz w:val="18"/>
          <w:szCs w:val="18"/>
          <w:i w:val="1"/>
          <w:iCs w:val="1"/>
          <w:color w:val="auto"/>
        </w:rPr>
        <w:t>“Participant”</w:t>
      </w:r>
      <w:r>
        <w:rPr>
          <w:rFonts w:ascii="Arial" w:cs="Arial" w:eastAsia="Arial" w:hAnsi="Arial"/>
          <w:sz w:val="18"/>
          <w:szCs w:val="18"/>
          <w:color w:val="auto"/>
        </w:rPr>
        <w:t>).</w:t>
      </w:r>
    </w:p>
    <w:p>
      <w:pPr>
        <w:spacing w:after="0" w:line="132"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WHEREAS, the Company and the Participant are parties to an agreement effective as of the date of the pricing of Company’s initial public offering, under which the Participant was awarded restricted stock units under the Company’s 2006 Stock Incentive Plan (the “</w:t>
      </w:r>
      <w:r>
        <w:rPr>
          <w:rFonts w:ascii="Arial" w:cs="Arial" w:eastAsia="Arial" w:hAnsi="Arial"/>
          <w:sz w:val="16"/>
          <w:szCs w:val="16"/>
          <w:i w:val="1"/>
          <w:iCs w:val="1"/>
          <w:color w:val="auto"/>
        </w:rPr>
        <w:t>Award Agreement</w:t>
      </w:r>
      <w:r>
        <w:rPr>
          <w:rFonts w:ascii="Arial" w:cs="Arial" w:eastAsia="Arial" w:hAnsi="Arial"/>
          <w:sz w:val="16"/>
          <w:szCs w:val="16"/>
          <w:color w:val="auto"/>
        </w:rPr>
        <w:t>”); and</w:t>
      </w:r>
    </w:p>
    <w:p>
      <w:pPr>
        <w:spacing w:after="0" w:line="85"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WHEREAS, the parties wish to amend the Award Agreement to ensure compliance with provisions of the Section 409A of the Internal Revenue Code of 1986, as amended, and its implementing regulations and guidance;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capitalized terms used but not otherwise defined herein shall have the meanings given to them in the Plan and the Award Agreement.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these premises, and intending to be legally bound: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Section 2(a)(iii) of the Award Agreement is hereby amended in its entirety to read as follows:</w:t>
      </w:r>
    </w:p>
    <w:p>
      <w:pPr>
        <w:spacing w:after="0" w:line="90"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“(iii) Notwithstanding any of the foregoing, (A) any unvested RSUs shall one hundred percent (100%) vested upon the earlier occurrence of the Participant’s death or Disability, and (B) any unvested RSUs may, in the sole discretion of the Committee, become one hundred percent (100%) upon the occurrence of the Participant’s retirement from the Employer at or after age 65 (any such retirement, “Retirement”)</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 Section 2(c) of the Award Agreement is hereby amended in its entirety to read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The Company shall deliver to the Participant Shares underlying vested RSUs as provided for hereunder as follows:</w:t>
      </w:r>
    </w:p>
    <w:p>
      <w:pPr>
        <w:spacing w:after="0" w:line="90" w:lineRule="exact"/>
        <w:rPr>
          <w:sz w:val="20"/>
          <w:szCs w:val="20"/>
          <w:color w:val="auto"/>
        </w:rPr>
      </w:pPr>
    </w:p>
    <w:p>
      <w:pPr>
        <w:ind w:left="920" w:firstLine="1"/>
        <w:spacing w:after="0" w:line="252" w:lineRule="auto"/>
        <w:tabs>
          <w:tab w:leader="none" w:pos="113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If the Participant is employed with the Employer on August 14, 2011 (i.e., the fifth anniversary of the Initial Public Offering), then on that date (or as soon as practicable thereafter, but in no event later than December 31, 2011), the Participant will receive the number of Shares that are equal to the number of RSUs that are vested as of such date, pursuant to the terms of Section 2(a) above. In addition, so long as the Participant remains employed with the Employer through and until the occurrence of any subsequent Vesting Event, then upon the occurrence of any such subsequent Vesting Event, the Participant will receive the number of Shares that are equal to the number of RSUs that will become vested upon such subsequent Vesting Event as soon as practicable after the date of such subsequent Vesting Event (but in no event later than 2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months after the end of the calendar month in which such subsequent Vesting Event occurs).</w:t>
      </w:r>
    </w:p>
    <w:p>
      <w:pPr>
        <w:sectPr>
          <w:pgSz w:w="11900" w:h="16838" w:orient="portrait"/>
          <w:cols w:equalWidth="0" w:num="1">
            <w:col w:w="11420"/>
          </w:cols>
          <w:pgMar w:left="240" w:top="125" w:right="239" w:bottom="1440" w:gutter="0" w:footer="0" w:header="0"/>
        </w:sectPr>
      </w:pPr>
    </w:p>
    <w:bookmarkStart w:id="174" w:name="page175"/>
    <w:bookmarkEnd w:id="174"/>
    <w:p>
      <w:pPr>
        <w:ind w:right="120" w:firstLine="1"/>
        <w:spacing w:after="0" w:line="253" w:lineRule="auto"/>
        <w:tabs>
          <w:tab w:leader="none" w:pos="258"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Participant’s employment with the Employer terminates, other than due to the Participant’s death or Disability, prior to August 14, 2011, then the Participant will receive the number of Shares that are equal to the number of RSUs that are vested as of the date of such termination in accordance with the provisions of this Section 2 above (which number, for the avoidance of doubt, upon the Employer’s termination of the Participant’s employment for Cause shall be zero), upon the later to occur of (A) August 14, 2014 (i.e., the eighth anniversary of the Initial Public Offering) (or as soon as practicable thereafter but in no event later December 31, 2014) and (B) the fifth anniversary of the termination of the Participant’s employment with the Employer (or as soon as practicable thereafter but in no event later than December 31 of the calendar year in which such anniversary occurs).</w:t>
      </w:r>
    </w:p>
    <w:p>
      <w:pPr>
        <w:spacing w:after="0" w:line="66" w:lineRule="exact"/>
        <w:rPr>
          <w:rFonts w:ascii="Arial" w:cs="Arial" w:eastAsia="Arial" w:hAnsi="Arial"/>
          <w:sz w:val="18"/>
          <w:szCs w:val="18"/>
          <w:color w:val="auto"/>
        </w:rPr>
      </w:pPr>
    </w:p>
    <w:p>
      <w:pPr>
        <w:ind w:firstLine="1"/>
        <w:spacing w:after="0" w:line="294" w:lineRule="auto"/>
        <w:tabs>
          <w:tab w:leader="none" w:pos="30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the Participant dies or suffers a Disability while in service with the Company, or in the event of the Participant’s Retirement, the Participant (or the Participant’s beneficiary, as applicable) will receive the number of Shares that are equal to the number of RSUs that became vested as of the date of such event pursuant to Section 2(a)(iii) above, on the following date: (A) if such event occurs prior to August 14, 2011, on August 14, 2011; and (B) if such event occurs on or after August 14, 2011, immediately upon the date of such event (or, in either case of clause (A) or (B), as soon as practicable after such date, but in no event later than December 31 of the calendar year in which such date occurs).”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3. A new Section 2(f) is hereby inserted into the Award Agreement to read as follows: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 For purposes of this Agreement, termination of employment means a “Separation from Service” as that term is used in Treas. Reg. § 1.409A-1(h)(1) (or any successor provision). In addition, to the extent compliance with the requirements of Treas. Reg. § 1.409A-3(i)(2) (or any successor provision) is necessary to avoid the application of an additional tax under Section 409A of the Code, those Shares underlying vested RSUs that would otherwise be delivered to the Participant by virtue of, and within six months following, his Separation from Service will instead be deferred (without interest) and delivered to the Participant on the first business day of the seventh month following such Separation from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3. Section 3 of the Award Agreement is hereby amended in its entirety to read as follows: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Dividends</w:t>
      </w:r>
      <w:r>
        <w:rPr>
          <w:rFonts w:ascii="Arial" w:cs="Arial" w:eastAsia="Arial" w:hAnsi="Arial"/>
          <w:sz w:val="18"/>
          <w:szCs w:val="18"/>
          <w:color w:val="auto"/>
        </w:rPr>
        <w:t>. From and after the Grant Date and unless and until RSUs are forfeited or otherwise transferred back to the Company (including upon a termination of employment as provided in Section 2 above) or Shares are issued in respect thereof, the Participant will be entitled to receive all dividends and</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80"/>
          </w:cols>
          <w:pgMar w:left="1160" w:top="280" w:right="359" w:bottom="1440" w:gutter="0" w:footer="0" w:header="0"/>
        </w:sectPr>
      </w:pPr>
    </w:p>
    <w:bookmarkStart w:id="175" w:name="page176"/>
    <w:bookmarkEnd w:id="175"/>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distributions paid with respect to such number of Shares as are equal to the number of RSUs that are vested pursuant to Section 2(a) above as of the date such dividends or other distributions are paid, as if the Participant were a holder of record of such number of Shares. Payments under this Section 3 will be made within 30 days following the payment date for such dividend or other distribution.”</w:t>
      </w:r>
    </w:p>
    <w:p>
      <w:pPr>
        <w:spacing w:after="0" w:line="107" w:lineRule="exact"/>
        <w:rPr>
          <w:sz w:val="20"/>
          <w:szCs w:val="20"/>
          <w:color w:val="auto"/>
        </w:rPr>
      </w:pPr>
    </w:p>
    <w:p>
      <w:pPr>
        <w:jc w:val="both"/>
        <w:ind w:right="4500" w:firstLine="1"/>
        <w:spacing w:after="0" w:line="437" w:lineRule="auto"/>
        <w:tabs>
          <w:tab w:leader="none" w:pos="17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definition of “Disability” is hereby inserted into Section 5 to read as follows: “‘</w:t>
      </w:r>
      <w:r>
        <w:rPr>
          <w:rFonts w:ascii="Arial" w:cs="Arial" w:eastAsia="Arial" w:hAnsi="Arial"/>
          <w:sz w:val="16"/>
          <w:szCs w:val="16"/>
          <w:i w:val="1"/>
          <w:iCs w:val="1"/>
          <w:color w:val="auto"/>
        </w:rPr>
        <w:t>Disability</w:t>
      </w:r>
      <w:r>
        <w:rPr>
          <w:rFonts w:ascii="Arial" w:cs="Arial" w:eastAsia="Arial" w:hAnsi="Arial"/>
          <w:sz w:val="16"/>
          <w:szCs w:val="16"/>
          <w:color w:val="auto"/>
        </w:rPr>
        <w:t>’ shall have the meaning ascribed to it in Treas. Reg. §§ 1.409A-3(i)(4).”</w:t>
      </w:r>
    </w:p>
    <w:p>
      <w:pPr>
        <w:spacing w:after="0" w:line="5" w:lineRule="exact"/>
        <w:rPr>
          <w:rFonts w:ascii="Arial" w:cs="Arial" w:eastAsia="Arial" w:hAnsi="Arial"/>
          <w:sz w:val="16"/>
          <w:szCs w:val="16"/>
          <w:color w:val="auto"/>
        </w:rPr>
      </w:pPr>
    </w:p>
    <w:p>
      <w:pPr>
        <w:ind w:left="180" w:hanging="179"/>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Award Agreement, as amended by the foregoing changes, is hereby ratified and confirmed in all respects.</w:t>
      </w:r>
    </w:p>
    <w:p>
      <w:pPr>
        <w:spacing w:after="0" w:line="25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[Signatures on next page.]</w:t>
      </w:r>
    </w:p>
    <w:p>
      <w:pPr>
        <w:spacing w:after="0" w:line="158"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40"/>
          </w:cols>
          <w:pgMar w:left="1160" w:top="280" w:right="299" w:bottom="1440" w:gutter="0" w:footer="0" w:header="0"/>
        </w:sectPr>
      </w:pPr>
    </w:p>
    <w:bookmarkStart w:id="176" w:name="page177"/>
    <w:bookmarkEnd w:id="176"/>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Amendment to be executed by its duly authorized representative on the date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Nicol Grosso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Nicol Grosso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Director-Human Resources</w:t>
      </w:r>
    </w:p>
    <w:p>
      <w:pPr>
        <w:spacing w:after="0" w:line="246" w:lineRule="exact"/>
        <w:rPr>
          <w:sz w:val="20"/>
          <w:szCs w:val="20"/>
          <w:color w:val="auto"/>
        </w:rPr>
      </w:pPr>
    </w:p>
    <w:p>
      <w:pPr>
        <w:jc w:val="center"/>
        <w:ind w:left="880" w:right="280"/>
        <w:spacing w:after="0" w:line="440" w:lineRule="auto"/>
        <w:rPr>
          <w:sz w:val="20"/>
          <w:szCs w:val="20"/>
          <w:color w:val="auto"/>
        </w:rPr>
      </w:pPr>
      <w:r>
        <w:rPr>
          <w:rFonts w:ascii="Arial" w:cs="Arial" w:eastAsia="Arial" w:hAnsi="Arial"/>
          <w:sz w:val="18"/>
          <w:szCs w:val="18"/>
          <w:color w:val="auto"/>
        </w:rPr>
        <w:t>[EVERCORE PARTNERS INC. SIGNATURE PAGE TO AMENDMENT TO RESTRICTED STOCK UNIT AWARD AGREEMENT] -4-</w:t>
      </w:r>
    </w:p>
    <w:p>
      <w:pPr>
        <w:sectPr>
          <w:pgSz w:w="11900" w:h="16838" w:orient="portrait"/>
          <w:cols w:equalWidth="0" w:num="1">
            <w:col w:w="10780"/>
          </w:cols>
          <w:pgMar w:left="240" w:top="280" w:right="87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Participant has executed this Agreement on the date below indicated.</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Adam B. Frankel</w:t>
      </w:r>
    </w:p>
    <w:p>
      <w:pPr>
        <w:spacing w:after="0" w:line="225" w:lineRule="exact"/>
        <w:rPr>
          <w:sz w:val="20"/>
          <w:szCs w:val="20"/>
          <w:color w:val="auto"/>
        </w:rPr>
      </w:pPr>
    </w:p>
    <w:p>
      <w:pPr>
        <w:ind w:left="5940"/>
        <w:spacing w:after="0"/>
        <w:tabs>
          <w:tab w:leader="none" w:pos="6420" w:val="left"/>
        </w:tabs>
        <w:rPr>
          <w:sz w:val="20"/>
          <w:szCs w:val="20"/>
          <w:color w:val="auto"/>
        </w:rPr>
      </w:pPr>
      <w:r>
        <w:rPr>
          <w:rFonts w:ascii="Arial" w:cs="Arial" w:eastAsia="Arial" w:hAnsi="Arial"/>
          <w:sz w:val="18"/>
          <w:szCs w:val="18"/>
          <w:color w:val="auto"/>
        </w:rPr>
        <w:t>By:</w:t>
        <w:tab/>
        <w:t>/s/ Adam B. Frankel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10795</wp:posOffset>
            </wp:positionV>
            <wp:extent cx="26073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March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10795</wp:posOffset>
            </wp:positionV>
            <wp:extent cx="26073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46" w:lineRule="exact"/>
        <w:rPr>
          <w:sz w:val="20"/>
          <w:szCs w:val="20"/>
          <w:color w:val="auto"/>
        </w:rPr>
      </w:pPr>
    </w:p>
    <w:p>
      <w:pPr>
        <w:jc w:val="center"/>
        <w:ind w:left="1740"/>
        <w:spacing w:after="0" w:line="440" w:lineRule="auto"/>
        <w:rPr>
          <w:sz w:val="20"/>
          <w:szCs w:val="20"/>
          <w:color w:val="auto"/>
        </w:rPr>
      </w:pPr>
      <w:r>
        <w:rPr>
          <w:rFonts w:ascii="Arial" w:cs="Arial" w:eastAsia="Arial" w:hAnsi="Arial"/>
          <w:sz w:val="18"/>
          <w:szCs w:val="18"/>
          <w:color w:val="auto"/>
        </w:rPr>
        <w:t>[PARTICIPANT SIGNATURE PAGE TO AMENDMENT TO RESTRICTED STOCK UNIT AWARD AGREEMENT] -5-</w:t>
      </w:r>
    </w:p>
    <w:p>
      <w:pPr>
        <w:sectPr>
          <w:pgSz w:w="11900" w:h="16838" w:orient="portrait"/>
          <w:cols w:equalWidth="0" w:num="1">
            <w:col w:w="9299"/>
          </w:cols>
          <w:pgMar w:left="1160" w:top="280"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10.28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Evercore Partners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 East 52nd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43rd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10055</w:t>
      </w:r>
    </w:p>
    <w:p>
      <w:pPr>
        <w:spacing w:after="0" w:line="32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December 22,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HAND DELIVERY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Mr. Adam Frankel,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 Line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Line 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Adam:</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letter agreement sets forth certain amendments to the employment letter agreement entered into by and between you and Evercore Group Holdings L.P. and its affiliates (collectively, “Evercore”) dated July 18, 2006 (the “Agreement”). The amendments described below are intended to conform the Agreement to the specific requirements of Section 409A of the Internal Revenue Code and the underlying Treasury Regulations and thereby prevent the imposition of adverse tax consequences on you. The amendments are not intended to materially alter your economic rights or position.</w:t>
      </w:r>
    </w:p>
    <w:p>
      <w:pPr>
        <w:spacing w:after="0" w:line="107" w:lineRule="exact"/>
        <w:rPr>
          <w:sz w:val="20"/>
          <w:szCs w:val="20"/>
          <w:color w:val="auto"/>
        </w:rPr>
      </w:pPr>
    </w:p>
    <w:p>
      <w:pPr>
        <w:ind w:left="780" w:hanging="316"/>
        <w:spacing w:after="0"/>
        <w:tabs>
          <w:tab w:leader="none" w:pos="7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Section 4 – Termination of Employment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Subsection (d) of Section 4 of the Agreement is hereby amended:</w:t>
      </w:r>
    </w:p>
    <w:p>
      <w:pPr>
        <w:spacing w:after="0" w:line="212"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By adding “material” after “a” in subsection (ii) of the definition of Good Reason; and</w:t>
      </w:r>
    </w:p>
    <w:p>
      <w:pPr>
        <w:spacing w:after="0" w:line="171" w:lineRule="exact"/>
        <w:rPr>
          <w:rFonts w:ascii="Arial" w:cs="Arial" w:eastAsia="Arial" w:hAnsi="Arial"/>
          <w:sz w:val="18"/>
          <w:szCs w:val="18"/>
          <w:color w:val="auto"/>
        </w:rPr>
      </w:pPr>
    </w:p>
    <w:p>
      <w:pPr>
        <w:ind w:right="80" w:firstLine="8"/>
        <w:spacing w:after="0" w:line="306" w:lineRule="auto"/>
        <w:tabs>
          <w:tab w:leader="none" w:pos="24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adding the following text at the end of section (d):”; </w:t>
      </w:r>
      <w:r>
        <w:rPr>
          <w:rFonts w:ascii="Arial" w:cs="Arial" w:eastAsia="Arial" w:hAnsi="Arial"/>
          <w:sz w:val="16"/>
          <w:szCs w:val="16"/>
          <w:u w:val="single" w:color="auto"/>
          <w:color w:val="auto"/>
        </w:rPr>
        <w:t>provided</w:t>
      </w:r>
      <w:r>
        <w:rPr>
          <w:rFonts w:ascii="Arial" w:cs="Arial" w:eastAsia="Arial" w:hAnsi="Arial"/>
          <w:sz w:val="16"/>
          <w:szCs w:val="16"/>
          <w:color w:val="auto"/>
        </w:rPr>
        <w:t>, that any of the events described above shall constitute Good Reason only if you provide Evercore with written objection to the event within 60 days following the occurrence thereof, Evercore fails to reverse or otherwise cure the event within 30 days of receiving that written objection, and you resign your employment within 240 days following the expiration of such cure period.”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new subsection (g) is hereby added to the Agreement to read as follows:</w:t>
      </w:r>
    </w:p>
    <w:p>
      <w:pPr>
        <w:spacing w:after="0" w:line="171"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“Notwithstanding anything herein to the contrary or otherwise, to the extent any expense, reimbursement or in-kind benefit provided hereunder constitutes a “deferral of compensation” within the meaning of Section 409A of the of the Internal Revenue Code, (i) the amount of expenses eligible for reimbursement or in-kind benefits provided to you during any calendar year will not affect the amount of expenses eligible for reimbursement or in-kind benefits provided to you in any other calendar year, (ii) the reimbursements for expenses for which you are entitled to be reimbursed shall be made on or before the last day of the calendar year following the calendar year in which the</w:t>
      </w:r>
    </w:p>
    <w:p>
      <w:pPr>
        <w:sectPr>
          <w:pgSz w:w="11900" w:h="16838" w:orient="portrait"/>
          <w:cols w:equalWidth="0" w:num="1">
            <w:col w:w="11420"/>
          </w:cols>
          <w:pgMar w:left="240" w:top="125" w:right="239" w:bottom="1440" w:gutter="0" w:footer="0" w:header="0"/>
        </w:sectPr>
      </w:pPr>
    </w:p>
    <w:bookmarkStart w:id="179" w:name="page180"/>
    <w:bookmarkEnd w:id="179"/>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expense is incurred, and (iii) the right to payment or reimbursement or in-kind benefits hereunder may not be liquidated or exchanged for any other benefit.”</w:t>
      </w:r>
    </w:p>
    <w:p>
      <w:pPr>
        <w:spacing w:after="0" w:line="126" w:lineRule="exact"/>
        <w:rPr>
          <w:sz w:val="20"/>
          <w:szCs w:val="20"/>
          <w:color w:val="auto"/>
        </w:rPr>
      </w:pPr>
    </w:p>
    <w:p>
      <w:pPr>
        <w:ind w:left="780" w:hanging="316"/>
        <w:spacing w:after="0"/>
        <w:tabs>
          <w:tab w:leader="none" w:pos="7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Section 5 – Other Terms of Employment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last paragraph of Section 5 of the Agreement is hereby deleted and replaced with the following:</w:t>
      </w:r>
    </w:p>
    <w:p>
      <w:pPr>
        <w:spacing w:after="0" w:line="171"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“Notwithstanding the foregoing, if the termination giving rise to any payment described in Section 4 is not a “Separation from Service” within the meaning of Treas. Reg. § 1.409A-1(h)(1) (or any successor provision), then the payment of those amounts (to the extent they constitute a “deferral of compensation,” within the meaning of Section 409A of the Internal Revenue Code) will be deferred (without interest) until such time as Executive experiences a Separation from Service. In addition, to the extent compliance with the requirements of Treas. Reg. § 1.409A-3(i)(2) (or any successor provision) is necessary to avoid the application of an additional tax under Section 409A of the Internal Revenue Code, those amounts that would otherwise be paid within six months following your Separation from Service (taking into account the preceding sentence) will instead be deferred (without interest) and paid to you in a lump sum immediately following that six-month period. This provision shall not be construed as preventing the application of Treas. Reg. §§ 1.409A-1(b)(4) or 1.409A-1(b)(9) (or any successor provisions) to amounts payable hereunder. For purposes of the application of Treas. Reg. § 1.409A-1(b)(4) (or any successor provision), each payment in a series of payments will be deemed a separate payment.”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confirm your agreement with foregoing, please countersign this letter in the space provided below and return the original to me.</w:t>
      </w: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EVERCORE GROUP HOLDINGS L.P.</w:t>
      </w: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Evercore Group Holdings L.L.C., its general partner</w:t>
      </w:r>
    </w:p>
    <w:p>
      <w:pPr>
        <w:spacing w:after="0" w:line="23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Robert B.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19685</wp:posOffset>
            </wp:positionV>
            <wp:extent cx="40563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Robert B. Walsh</w:t>
      </w:r>
    </w:p>
    <w:p>
      <w:pPr>
        <w:spacing w:after="0" w:line="15" w:lineRule="exact"/>
        <w:rPr>
          <w:sz w:val="20"/>
          <w:szCs w:val="20"/>
          <w:color w:val="auto"/>
        </w:rPr>
      </w:pPr>
    </w:p>
    <w:p>
      <w:pPr>
        <w:jc w:val="center"/>
        <w:ind w:right="-199"/>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EVP CFO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Adam Frankel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Adam Frankel, Esq.</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22, 2008</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420" w:type="dxa"/>
            <w:vAlign w:val="bottom"/>
            <w:gridSpan w:val="2"/>
          </w:tcPr>
          <w:p>
            <w:pPr>
              <w:ind w:left="1500"/>
              <w:spacing w:after="0"/>
              <w:rPr>
                <w:sz w:val="20"/>
                <w:szCs w:val="20"/>
                <w:color w:val="auto"/>
              </w:rPr>
            </w:pPr>
            <w:r>
              <w:rPr>
                <w:rFonts w:ascii="Arial" w:cs="Arial" w:eastAsia="Arial" w:hAnsi="Arial"/>
                <w:sz w:val="18"/>
                <w:szCs w:val="18"/>
                <w:b w:val="1"/>
                <w:bCs w:val="1"/>
                <w:color w:val="auto"/>
                <w:w w:val="89"/>
              </w:rPr>
              <w:t>Exhibit 21.1</w:t>
            </w:r>
          </w:p>
        </w:tc>
      </w:tr>
      <w:tr>
        <w:trPr>
          <w:trHeight w:val="340"/>
        </w:trPr>
        <w:tc>
          <w:tcPr>
            <w:tcW w:w="3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420" w:type="dxa"/>
            <w:vAlign w:val="bottom"/>
            <w:gridSpan w:val="2"/>
          </w:tcPr>
          <w:p>
            <w:pPr>
              <w:ind w:left="360"/>
              <w:spacing w:after="0"/>
              <w:rPr>
                <w:sz w:val="20"/>
                <w:szCs w:val="20"/>
                <w:color w:val="auto"/>
              </w:rPr>
            </w:pPr>
            <w:r>
              <w:rPr>
                <w:rFonts w:ascii="Arial" w:cs="Arial" w:eastAsia="Arial" w:hAnsi="Arial"/>
                <w:sz w:val="14"/>
                <w:szCs w:val="14"/>
                <w:b w:val="1"/>
                <w:bCs w:val="1"/>
                <w:color w:val="auto"/>
              </w:rPr>
              <w:t>Jurisdiction of Incorporation</w:t>
            </w:r>
          </w:p>
        </w:tc>
      </w:tr>
      <w:tr>
        <w:trPr>
          <w:trHeight w:val="175"/>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20" w:type="dxa"/>
            <w:vAlign w:val="bottom"/>
            <w:gridSpan w:val="2"/>
          </w:tcPr>
          <w:p>
            <w:pPr>
              <w:ind w:left="740"/>
              <w:spacing w:after="0"/>
              <w:rPr>
                <w:sz w:val="20"/>
                <w:szCs w:val="20"/>
                <w:color w:val="auto"/>
              </w:rPr>
            </w:pPr>
            <w:r>
              <w:rPr>
                <w:rFonts w:ascii="Arial" w:cs="Arial" w:eastAsia="Arial" w:hAnsi="Arial"/>
                <w:sz w:val="14"/>
                <w:szCs w:val="14"/>
                <w:b w:val="1"/>
                <w:bCs w:val="1"/>
                <w:color w:val="auto"/>
              </w:rPr>
              <w:t>or Organization</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BD</w:t>
            </w:r>
          </w:p>
        </w:tc>
        <w:tc>
          <w:tcPr>
            <w:tcW w:w="8640" w:type="dxa"/>
            <w:vAlign w:val="bottom"/>
          </w:tcPr>
          <w:p>
            <w:pPr>
              <w:spacing w:after="0"/>
              <w:rPr>
                <w:sz w:val="20"/>
                <w:szCs w:val="20"/>
                <w:color w:val="auto"/>
              </w:rPr>
            </w:pPr>
            <w:r>
              <w:rPr>
                <w:rFonts w:ascii="Arial" w:cs="Arial" w:eastAsia="Arial" w:hAnsi="Arial"/>
                <w:sz w:val="18"/>
                <w:szCs w:val="18"/>
                <w:color w:val="auto"/>
              </w:rPr>
              <w:t>Protego S. de R.L.</w:t>
            </w: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316"/>
        </w:trPr>
        <w:tc>
          <w:tcPr>
            <w:tcW w:w="9020" w:type="dxa"/>
            <w:vAlign w:val="bottom"/>
            <w:gridSpan w:val="2"/>
          </w:tcPr>
          <w:p>
            <w:pPr>
              <w:spacing w:after="0"/>
              <w:rPr>
                <w:sz w:val="20"/>
                <w:szCs w:val="20"/>
                <w:color w:val="auto"/>
              </w:rPr>
            </w:pPr>
            <w:r>
              <w:rPr>
                <w:rFonts w:ascii="Arial" w:cs="Arial" w:eastAsia="Arial" w:hAnsi="Arial"/>
                <w:sz w:val="18"/>
                <w:szCs w:val="18"/>
                <w:color w:val="auto"/>
              </w:rPr>
              <w:t>Evercore Advisors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Advisors I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Financial Advisors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GP Holdings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Group Holdings L.P.</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Group Holdings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LP</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Partners Limited</w:t>
            </w:r>
          </w:p>
        </w:tc>
        <w:tc>
          <w:tcPr>
            <w:tcW w:w="242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Partners Services East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Properties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Restructuring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Venture Advisors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Administradores, S. de R.L.</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Asesores, S. de R.L.</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Casa de Bolsa, S.A. de C.V.</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CB Servicios S. de R.L.</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PE, S. de R.L.</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Servicios, S.C.</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Protego SI, S.C.</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Sedna S. de R.L.</w:t>
            </w:r>
          </w:p>
        </w:tc>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Mexico Capital Partners II, L.P.</w:t>
            </w:r>
          </w:p>
        </w:tc>
        <w:tc>
          <w:tcPr>
            <w:tcW w:w="242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Mexico Partners II, L.P.</w:t>
            </w:r>
          </w:p>
        </w:tc>
        <w:tc>
          <w:tcPr>
            <w:tcW w:w="242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Mexico Management II,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Mexico GP Holdings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Wealth Management L.L.C.</w:t>
            </w:r>
          </w:p>
        </w:tc>
        <w:tc>
          <w:tcPr>
            <w:tcW w:w="24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Pan-Asset Capital Management</w:t>
            </w:r>
          </w:p>
        </w:tc>
        <w:tc>
          <w:tcPr>
            <w:tcW w:w="2420" w:type="dxa"/>
            <w:vAlign w:val="bottom"/>
            <w:gridSpan w:val="2"/>
          </w:tcPr>
          <w:p>
            <w:pPr>
              <w:spacing w:after="0"/>
              <w:rPr>
                <w:sz w:val="20"/>
                <w:szCs w:val="20"/>
                <w:color w:val="auto"/>
              </w:rPr>
            </w:pPr>
            <w:r>
              <w:rPr>
                <w:rFonts w:ascii="Arial" w:cs="Arial" w:eastAsia="Arial" w:hAnsi="Arial"/>
                <w:sz w:val="18"/>
                <w:szCs w:val="18"/>
                <w:color w:val="auto"/>
              </w:rPr>
              <w:t>England and Wales</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Evercore Holdings Limited</w:t>
            </w:r>
          </w:p>
        </w:tc>
        <w:tc>
          <w:tcPr>
            <w:tcW w:w="2420" w:type="dxa"/>
            <w:vAlign w:val="bottom"/>
            <w:gridSpan w:val="2"/>
          </w:tcPr>
          <w:p>
            <w:pPr>
              <w:spacing w:after="0"/>
              <w:rPr>
                <w:sz w:val="20"/>
                <w:szCs w:val="20"/>
                <w:color w:val="auto"/>
              </w:rPr>
            </w:pPr>
            <w:r>
              <w:rPr>
                <w:rFonts w:ascii="Arial" w:cs="Arial" w:eastAsia="Arial" w:hAnsi="Arial"/>
                <w:sz w:val="18"/>
                <w:szCs w:val="18"/>
                <w:color w:val="auto"/>
              </w:rPr>
              <w:t>England and Wales</w:t>
            </w:r>
          </w:p>
        </w:tc>
      </w:tr>
    </w:tbl>
    <w:p>
      <w:pPr>
        <w:sectPr>
          <w:pgSz w:w="11900" w:h="16838" w:orient="portrait"/>
          <w:cols w:equalWidth="0" w:num="1">
            <w:col w:w="11420"/>
          </w:cols>
          <w:pgMar w:left="240" w:top="12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consent to the incorporation by reference in the Registration Statement No. 333-136506 on Form S-8 and the Registration Statement No. 333-145696 on Form S-3 of our reports dated March 12, 2009, relating to the consolidated financial statements of Evercore Partners Inc. and subsidiaries (the “Company”) and the combined financial statements of Evercore Holdings and the effectiveness of the Company’s internal control over financial reporting (which reports on the consolidated financial statements of the Company and the combined financial statements of Evercore Holdings express an unqualified opinion and include an explanatory paragraph regarding the formation of the Company, and the Company becoming subject to U.S. corporate federal income taxes that it accounts for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appearing in this Annual Report on Form 10-K of Evercore Partners Inc. for the year ended December 31, 2008.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2009</w:t>
      </w:r>
    </w:p>
    <w:p>
      <w:pPr>
        <w:sectPr>
          <w:pgSz w:w="11900" w:h="16838" w:orient="portrait"/>
          <w:cols w:equalWidth="0" w:num="1">
            <w:col w:w="11420"/>
          </w:cols>
          <w:pgMar w:left="240" w:top="125"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Roger C. Altman, certify that:</w:t>
      </w:r>
    </w:p>
    <w:p>
      <w:pPr>
        <w:spacing w:after="0" w:line="90" w:lineRule="exact"/>
        <w:rPr>
          <w:sz w:val="20"/>
          <w:szCs w:val="20"/>
          <w:color w:val="auto"/>
        </w:rPr>
      </w:pPr>
    </w:p>
    <w:p>
      <w:pPr>
        <w:ind w:left="640" w:hanging="176"/>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2008 of Evercore Partners Inc. (the “Registrant”);</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1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380" w:firstLine="443"/>
        <w:spacing w:after="0" w:line="259" w:lineRule="auto"/>
        <w:tabs>
          <w:tab w:leader="none" w:pos="107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20" w:firstLine="443"/>
        <w:spacing w:after="0" w:line="332" w:lineRule="auto"/>
        <w:tabs>
          <w:tab w:leader="none" w:pos="107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7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8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2009</w:t>
      </w:r>
    </w:p>
    <w:p>
      <w:pPr>
        <w:spacing w:after="0" w:line="212"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OGER</w:t>
      </w:r>
      <w:r>
        <w:rPr>
          <w:rFonts w:ascii="Arial" w:cs="Arial" w:eastAsia="Arial" w:hAnsi="Arial"/>
          <w:sz w:val="16"/>
          <w:szCs w:val="16"/>
          <w:color w:val="auto"/>
        </w:rPr>
        <w:t xml:space="preserve"> C. A</w:t>
      </w:r>
      <w:r>
        <w:rPr>
          <w:rFonts w:ascii="Arial" w:cs="Arial" w:eastAsia="Arial" w:hAnsi="Arial"/>
          <w:sz w:val="13"/>
          <w:szCs w:val="13"/>
          <w:color w:val="auto"/>
        </w:rPr>
        <w:t>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Roger C. Altman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B. Walsh, certify that:</w:t>
      </w:r>
    </w:p>
    <w:p>
      <w:pPr>
        <w:spacing w:after="0" w:line="90" w:lineRule="exact"/>
        <w:rPr>
          <w:sz w:val="20"/>
          <w:szCs w:val="20"/>
          <w:color w:val="auto"/>
        </w:rPr>
      </w:pPr>
    </w:p>
    <w:p>
      <w:pPr>
        <w:ind w:left="640" w:hanging="17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2008 of Evercore Partners Inc. (the “Registrant”);</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1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380" w:firstLine="443"/>
        <w:spacing w:after="0" w:line="259" w:lineRule="auto"/>
        <w:tabs>
          <w:tab w:leader="none" w:pos="107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20" w:firstLine="443"/>
        <w:spacing w:after="0" w:line="332" w:lineRule="auto"/>
        <w:tabs>
          <w:tab w:leader="none" w:pos="1078"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7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8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2009</w:t>
      </w:r>
    </w:p>
    <w:p>
      <w:pPr>
        <w:spacing w:after="0" w:line="212"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Robert B. Walsh</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Annual Report of Evercore Partners Inc. (the “Company”) on Form 10-K as filed with the Securities and Exchange Commission on the date hereof (the “Report”), I, Roger C. Altman, Chief Executive Officer of the Company, certify, pursuant to 18 U.S.C. § 1350, as adopted pursuant to Section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2009</w:t>
      </w:r>
    </w:p>
    <w:p>
      <w:pPr>
        <w:spacing w:after="0" w:line="212"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OGER</w:t>
      </w:r>
      <w:r>
        <w:rPr>
          <w:rFonts w:ascii="Arial" w:cs="Arial" w:eastAsia="Arial" w:hAnsi="Arial"/>
          <w:sz w:val="16"/>
          <w:szCs w:val="16"/>
          <w:color w:val="auto"/>
        </w:rPr>
        <w:t xml:space="preserve"> C. A</w:t>
      </w:r>
      <w:r>
        <w:rPr>
          <w:rFonts w:ascii="Arial" w:cs="Arial" w:eastAsia="Arial" w:hAnsi="Arial"/>
          <w:sz w:val="13"/>
          <w:szCs w:val="13"/>
          <w:color w:val="auto"/>
        </w:rPr>
        <w:t>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Roger C. Altman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220" w:right="120" w:hanging="212"/>
        <w:spacing w:after="0" w:line="268" w:lineRule="auto"/>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Annual Report of Evercore Partners Inc. (the “Company”) on Form 10-K as filed with the Securities and Exchange Commission on the date hereof (the “Report”), I, Robert B. Walsh, Chief Financial Officer of the Company, certify, pursuant to 18 U.S.C. § 1350, as adopted pursuant to Section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March 12, 2009</w:t>
      </w:r>
    </w:p>
    <w:p>
      <w:pPr>
        <w:spacing w:after="0" w:line="212"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Robert B. Walsh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220" w:right="120" w:hanging="212"/>
        <w:spacing w:after="0" w:line="268" w:lineRule="auto"/>
        <w:tabs>
          <w:tab w:leader="none" w:pos="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1)"/>
      <w:numFmt w:val="decimal"/>
      <w:start w:val="2"/>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1)"/>
      <w:numFmt w:val="decimal"/>
      <w:start w:val="1"/>
    </w:lvl>
  </w:abstractNum>
  <w:abstractNum w:abstractNumId="12">
    <w:nsid w:val="2F305DEF"/>
    <w:multiLevelType w:val="hybridMultilevel"/>
    <w:lvl w:ilvl="0">
      <w:lvlJc w:val="left"/>
      <w:lvlText w:val="(%1)"/>
      <w:numFmt w:val="lowerLetter"/>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lvl w:ilvl="1">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1)"/>
      <w:numFmt w:val="lowerLetter"/>
      <w:start w:val="1"/>
    </w:lvl>
  </w:abstractNum>
  <w:abstractNum w:abstractNumId="31">
    <w:nsid w:val="540A471C"/>
    <w:multiLevelType w:val="hybridMultilevel"/>
    <w:lvl w:ilvl="0">
      <w:lvlJc w:val="left"/>
      <w:lvlText w:val="(%1)"/>
      <w:numFmt w:val="lowerLetter"/>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1)"/>
      <w:numFmt w:val="decimal"/>
      <w:start w:val="1"/>
    </w:lvl>
  </w:abstractNum>
  <w:abstractNum w:abstractNumId="35">
    <w:nsid w:val="BF72B14"/>
    <w:multiLevelType w:val="hybridMultilevel"/>
    <w:lvl w:ilvl="0">
      <w:lvlJc w:val="left"/>
      <w:lvlText w:val="(%1)"/>
      <w:numFmt w:val="decimal"/>
      <w:start w:val="2"/>
    </w:lvl>
  </w:abstractNum>
  <w:abstractNum w:abstractNumId="36">
    <w:nsid w:val="11447B73"/>
    <w:multiLevelType w:val="hybridMultilevel"/>
    <w:lvl w:ilvl="0">
      <w:lvlJc w:val="left"/>
      <w:lvlText w:val="(%1)"/>
      <w:numFmt w:val="decimal"/>
      <w:start w:val="3"/>
    </w:lvl>
  </w:abstractNum>
  <w:abstractNum w:abstractNumId="37">
    <w:nsid w:val="42963E5A"/>
    <w:multiLevelType w:val="hybridMultilevel"/>
    <w:lvl w:ilvl="0">
      <w:lvlJc w:val="left"/>
      <w:lvlText w:val="(%1)"/>
      <w:numFmt w:val="decimal"/>
      <w:start w:val="4"/>
    </w:lvl>
  </w:abstractNum>
  <w:abstractNum w:abstractNumId="38">
    <w:nsid w:val="A0382C5"/>
    <w:multiLevelType w:val="hybridMultilevel"/>
    <w:lvl w:ilvl="0">
      <w:lvlJc w:val="left"/>
      <w:lvlText w:val="(%1)"/>
      <w:numFmt w:val="decimal"/>
      <w:start w:val="1"/>
    </w:lvl>
  </w:abstractNum>
  <w:abstractNum w:abstractNumId="39">
    <w:nsid w:val="8F2B15E"/>
    <w:multiLevelType w:val="hybridMultilevel"/>
    <w:lvl w:ilvl="0">
      <w:lvlJc w:val="left"/>
      <w:lvlText w:val="(%1)"/>
      <w:numFmt w:val="decimal"/>
      <w:start w:val="1"/>
    </w:lvl>
  </w:abstractNum>
  <w:abstractNum w:abstractNumId="40">
    <w:nsid w:val="1A32234B"/>
    <w:multiLevelType w:val="hybridMultilevel"/>
    <w:lvl w:ilvl="0">
      <w:lvlJc w:val="left"/>
      <w:lvlText w:val="%1."/>
      <w:numFmt w:val="decimal"/>
      <w:start w:val="3"/>
    </w:lvl>
  </w:abstractNum>
  <w:abstractNum w:abstractNumId="41">
    <w:nsid w:val="3B0FD379"/>
    <w:multiLevelType w:val="hybridMultilevel"/>
    <w:lvl w:ilvl="0">
      <w:lvlJc w:val="left"/>
      <w:lvlText w:val="%1"/>
      <w:numFmt w:val="decimal"/>
      <w:start w:val="11"/>
    </w:lvl>
  </w:abstractNum>
  <w:abstractNum w:abstractNumId="42">
    <w:nsid w:val="68EB2F63"/>
    <w:multiLevelType w:val="hybridMultilevel"/>
    <w:lvl w:ilvl="0">
      <w:lvlJc w:val="left"/>
      <w:lvlText w:val="(%1)"/>
      <w:numFmt w:val="decimal"/>
      <w:start w:val="1"/>
    </w:lvl>
    <w:lvl w:ilvl="1">
      <w:lvlJc w:val="left"/>
      <w:lvlText w:val="*"/>
      <w:numFmt w:val="bullet"/>
      <w:start w:val="1"/>
    </w:lvl>
  </w:abstractNum>
  <w:abstractNum w:abstractNumId="43">
    <w:nsid w:val="4962813B"/>
    <w:multiLevelType w:val="hybridMultilevel"/>
    <w:lvl w:ilvl="0">
      <w:lvlJc w:val="left"/>
      <w:lvlText w:val="%1"/>
      <w:numFmt w:val="decimal"/>
      <w:start w:val="11"/>
    </w:lvl>
  </w:abstractNum>
  <w:abstractNum w:abstractNumId="44">
    <w:nsid w:val="60B6DF70"/>
    <w:multiLevelType w:val="hybridMultilevel"/>
    <w:lvl w:ilvl="0">
      <w:lvlJc w:val="left"/>
      <w:lvlText w:val="(%1)"/>
      <w:numFmt w:val="decimal"/>
      <w:start w:val="1"/>
    </w:lvl>
    <w:lvl w:ilvl="1">
      <w:lvlJc w:val="left"/>
      <w:lvlText w:val="*"/>
      <w:numFmt w:val="bullet"/>
      <w:start w:val="1"/>
    </w:lvl>
  </w:abstractNum>
  <w:abstractNum w:abstractNumId="45">
    <w:nsid w:val="6A5EE64"/>
    <w:multiLevelType w:val="hybridMultilevel"/>
    <w:lvl w:ilvl="0">
      <w:lvlJc w:val="left"/>
      <w:lvlText w:val="%1."/>
      <w:numFmt w:val="decimal"/>
      <w:start w:val="1"/>
    </w:lvl>
  </w:abstractNum>
  <w:abstractNum w:abstractNumId="46">
    <w:nsid w:val="14330624"/>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47">
    <w:nsid w:val="7FFFCA11"/>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48">
    <w:nsid w:val="1A27709E"/>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49">
    <w:nsid w:val="71EA1109"/>
    <w:multiLevelType w:val="hybridMultilevel"/>
    <w:lvl w:ilvl="0">
      <w:lvlJc w:val="left"/>
      <w:lvlText w:val="(%1)"/>
      <w:numFmt w:val="lowerLetter"/>
      <w:start w:val="2"/>
    </w:lvl>
  </w:abstractNum>
  <w:abstractNum w:abstractNumId="50">
    <w:nsid w:val="100F59DC"/>
    <w:multiLevelType w:val="hybridMultilevel"/>
    <w:lvl w:ilvl="0">
      <w:lvlJc w:val="left"/>
      <w:lvlText w:val="%1."/>
      <w:numFmt w:val="decimal"/>
      <w:start w:val="3"/>
    </w:lvl>
  </w:abstractNum>
  <w:abstractNum w:abstractNumId="51">
    <w:nsid w:val="7FB7E0AA"/>
    <w:multiLevelType w:val="hybridMultilevel"/>
    <w:lvl w:ilvl="0">
      <w:lvlJc w:val="left"/>
      <w:lvlText w:val="%1."/>
      <w:numFmt w:val="decimal"/>
      <w:start w:val="8"/>
    </w:lvl>
  </w:abstractNum>
  <w:abstractNum w:abstractNumId="52">
    <w:nsid w:val="6EB5BD4"/>
    <w:multiLevelType w:val="hybridMultilevel"/>
    <w:lvl w:ilvl="0">
      <w:lvlJc w:val="left"/>
      <w:lvlText w:val="%1."/>
      <w:numFmt w:val="decimal"/>
      <w:start w:val="13"/>
    </w:lvl>
  </w:abstractNum>
  <w:abstractNum w:abstractNumId="53">
    <w:nsid w:val="6F6DD9AC"/>
    <w:multiLevelType w:val="hybridMultilevel"/>
    <w:lvl w:ilvl="0">
      <w:lvlJc w:val="left"/>
      <w:lvlText w:val="(%1)"/>
      <w:numFmt w:val="lowerLetter"/>
      <w:start w:val="1"/>
    </w:lvl>
  </w:abstractNum>
  <w:abstractNum w:abstractNumId="54">
    <w:nsid w:val="94211F2"/>
    <w:multiLevelType w:val="hybridMultilevel"/>
    <w:lvl w:ilvl="0">
      <w:lvlJc w:val="left"/>
      <w:lvlText w:val="(%1)"/>
      <w:numFmt w:val="lowerLetter"/>
      <w:start w:val="3"/>
    </w:lvl>
  </w:abstractNum>
  <w:abstractNum w:abstractNumId="55">
    <w:nsid w:val="885E1B"/>
    <w:multiLevelType w:val="hybridMultilevel"/>
    <w:lvl w:ilvl="0">
      <w:lvlJc w:val="left"/>
      <w:lvlText w:val="(%1)"/>
      <w:numFmt w:val="lowerLetter"/>
      <w:start w:val="1"/>
    </w:lvl>
  </w:abstractNum>
  <w:abstractNum w:abstractNumId="56">
    <w:nsid w:val="76272110"/>
    <w:multiLevelType w:val="hybridMultilevel"/>
    <w:lvl w:ilvl="0">
      <w:lvlJc w:val="left"/>
      <w:lvlText w:val="(%1)"/>
      <w:numFmt w:val="lowerLetter"/>
      <w:start w:val="2"/>
    </w:lvl>
  </w:abstractNum>
  <w:abstractNum w:abstractNumId="57">
    <w:nsid w:val="4C04A8AF"/>
    <w:multiLevelType w:val="hybridMultilevel"/>
    <w:lvl w:ilvl="0">
      <w:lvlJc w:val="left"/>
      <w:lvlText w:val="(%1)"/>
      <w:numFmt w:val="lowerLetter"/>
      <w:start w:val="1"/>
    </w:lvl>
  </w:abstractNum>
  <w:abstractNum w:abstractNumId="58">
    <w:nsid w:val="1716703B"/>
    <w:multiLevelType w:val="hybridMultilevel"/>
    <w:lvl w:ilvl="0">
      <w:lvlJc w:val="left"/>
      <w:lvlText w:val="%1"/>
      <w:numFmt w:val="lowerLetter"/>
      <w:start w:val="1"/>
    </w:lvl>
    <w:lvl w:ilvl="1">
      <w:lvlJc w:val="left"/>
      <w:lvlText w:val="(%2)"/>
      <w:numFmt w:val="lowerRoman"/>
      <w:start w:val="1"/>
    </w:lvl>
  </w:abstractNum>
  <w:abstractNum w:abstractNumId="59">
    <w:nsid w:val="14E17E33"/>
    <w:multiLevelType w:val="hybridMultilevel"/>
    <w:lvl w:ilvl="0">
      <w:lvlJc w:val="left"/>
      <w:lvlText w:val="(%1)"/>
      <w:numFmt w:val="lowerLetter"/>
      <w:start w:val="2"/>
    </w:lvl>
    <w:lvl w:ilvl="1">
      <w:lvlJc w:val="left"/>
      <w:lvlText w:val="(%2)"/>
      <w:numFmt w:val="lowerRoman"/>
      <w:start w:val="1"/>
    </w:lvl>
  </w:abstractNum>
  <w:abstractNum w:abstractNumId="60">
    <w:nsid w:val="3222E7CD"/>
    <w:multiLevelType w:val="hybridMultilevel"/>
    <w:lvl w:ilvl="0">
      <w:lvlJc w:val="left"/>
      <w:lvlText w:val="(%1)"/>
      <w:numFmt w:val="lowerLetter"/>
      <w:start w:val="1"/>
    </w:lvl>
  </w:abstractNum>
  <w:abstractNum w:abstractNumId="61">
    <w:nsid w:val="74DE0EE3"/>
    <w:multiLevelType w:val="hybridMultilevel"/>
    <w:lvl w:ilvl="0">
      <w:lvlJc w:val="left"/>
      <w:lvlText w:val="(%1)"/>
      <w:numFmt w:val="lowerLetter"/>
      <w:start w:val="1"/>
    </w:lvl>
  </w:abstractNum>
  <w:abstractNum w:abstractNumId="62">
    <w:nsid w:val="68EBC550"/>
    <w:multiLevelType w:val="hybridMultilevel"/>
    <w:lvl w:ilvl="0">
      <w:lvlJc w:val="left"/>
      <w:lvlText w:val="(%1)"/>
      <w:numFmt w:val="lowerLetter"/>
      <w:start w:val="2"/>
    </w:lvl>
  </w:abstractNum>
  <w:abstractNum w:abstractNumId="63">
    <w:nsid w:val="2DF6D648"/>
    <w:multiLevelType w:val="hybridMultilevel"/>
    <w:lvl w:ilvl="0">
      <w:lvlJc w:val="left"/>
      <w:lvlText w:val="(%1)"/>
      <w:numFmt w:val="lowerLetter"/>
      <w:start w:val="1"/>
    </w:lvl>
  </w:abstractNum>
  <w:abstractNum w:abstractNumId="64">
    <w:nsid w:val="46B7D447"/>
    <w:multiLevelType w:val="hybridMultilevel"/>
    <w:lvl w:ilvl="0">
      <w:lvlJc w:val="left"/>
      <w:lvlText w:val="(%1)"/>
      <w:numFmt w:val="lowerLetter"/>
      <w:start w:val="1"/>
    </w:lvl>
    <w:lvl w:ilvl="1">
      <w:lvlJc w:val="left"/>
      <w:lvlText w:val="(%2)"/>
      <w:numFmt w:val="lowerRoman"/>
      <w:start w:val="1"/>
    </w:lvl>
  </w:abstractNum>
  <w:abstractNum w:abstractNumId="65">
    <w:nsid w:val="4A2AC315"/>
    <w:multiLevelType w:val="hybridMultilevel"/>
    <w:lvl w:ilvl="0">
      <w:lvlJc w:val="left"/>
      <w:lvlText w:val="(%1)"/>
      <w:numFmt w:val="lowerRoman"/>
      <w:start w:val="6"/>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1"/>
    </w:lvl>
  </w:abstractNum>
  <w:abstractNum w:abstractNumId="68">
    <w:nsid w:val="CC1016F"/>
    <w:multiLevelType w:val="hybridMultilevel"/>
    <w:lvl w:ilvl="0">
      <w:lvlJc w:val="left"/>
      <w:lvlText w:val="%1"/>
      <w:numFmt w:val="upperLetter"/>
      <w:start w:val="1"/>
    </w:lvl>
    <w:lvl w:ilvl="1">
      <w:lvlJc w:val="left"/>
      <w:lvlText w:val="(%2)"/>
      <w:numFmt w:val="lowerLetter"/>
      <w:start w:val="3"/>
    </w:lvl>
  </w:abstractNum>
  <w:abstractNum w:abstractNumId="69">
    <w:nsid w:val="43F18422"/>
    <w:multiLevelType w:val="hybridMultilevel"/>
    <w:lvl w:ilvl="0">
      <w:lvlJc w:val="left"/>
      <w:lvlText w:val="(%1)"/>
      <w:numFmt w:val="lowerLetter"/>
      <w:start w:val="1"/>
    </w:lvl>
  </w:abstractNum>
  <w:abstractNum w:abstractNumId="70">
    <w:nsid w:val="60EF0119"/>
    <w:multiLevelType w:val="hybridMultilevel"/>
    <w:lvl w:ilvl="0">
      <w:lvlJc w:val="left"/>
      <w:lvlText w:val="(%1)"/>
      <w:numFmt w:val="lowerLetter"/>
      <w:start w:val="3"/>
    </w:lvl>
  </w:abstractNum>
  <w:abstractNum w:abstractNumId="71">
    <w:nsid w:val="26F324BA"/>
    <w:multiLevelType w:val="hybridMultilevel"/>
    <w:lvl w:ilvl="0">
      <w:lvlJc w:val="left"/>
      <w:lvlText w:val="(%1)"/>
      <w:numFmt w:val="lowerLetter"/>
      <w:start w:val="1"/>
    </w:lvl>
    <w:lvl w:ilvl="1">
      <w:lvlJc w:val="left"/>
      <w:lvlText w:val="(%2)"/>
      <w:numFmt w:val="lowerRoman"/>
      <w:start w:val="1"/>
    </w:lvl>
  </w:abstractNum>
  <w:abstractNum w:abstractNumId="72">
    <w:nsid w:val="7F01579B"/>
    <w:multiLevelType w:val="hybridMultilevel"/>
    <w:lvl w:ilvl="0">
      <w:lvlJc w:val="left"/>
      <w:lvlText w:val="%1"/>
      <w:numFmt w:val="lowerLetter"/>
      <w:start w:val="1"/>
    </w:lvl>
    <w:lvl w:ilvl="1">
      <w:lvlJc w:val="left"/>
      <w:lvlText w:val="(%2)"/>
      <w:numFmt w:val="lowerLetter"/>
      <w:start w:val="61"/>
    </w:lvl>
  </w:abstractNum>
  <w:abstractNum w:abstractNumId="73">
    <w:nsid w:val="49DA307D"/>
    <w:multiLevelType w:val="hybridMultilevel"/>
    <w:lvl w:ilvl="0">
      <w:lvlJc w:val="left"/>
      <w:lvlText w:val="(%1)"/>
      <w:numFmt w:val="lowerLetter"/>
      <w:start w:val="4"/>
    </w:lvl>
    <w:lvl w:ilvl="1">
      <w:lvlJc w:val="left"/>
      <w:lvlText w:val="%2"/>
      <w:numFmt w:val="lowerLetter"/>
      <w:start w:val="1"/>
    </w:lvl>
  </w:abstractNum>
  <w:abstractNum w:abstractNumId="74">
    <w:nsid w:val="7055A5F5"/>
    <w:multiLevelType w:val="hybridMultilevel"/>
    <w:lvl w:ilvl="0">
      <w:lvlJc w:val="left"/>
      <w:lvlText w:val="(%1)"/>
      <w:numFmt w:val="lowerLetter"/>
      <w:start w:val="1"/>
    </w:lvl>
  </w:abstractNum>
  <w:abstractNum w:abstractNumId="75">
    <w:nsid w:val="5FB8370B"/>
    <w:multiLevelType w:val="hybridMultilevel"/>
    <w:lvl w:ilvl="0">
      <w:lvlJc w:val="left"/>
      <w:lvlText w:val="(%1)"/>
      <w:numFmt w:val="lowerLetter"/>
      <w:start w:val="1"/>
    </w:lvl>
  </w:abstractNum>
  <w:abstractNum w:abstractNumId="76">
    <w:nsid w:val="50801EE1"/>
    <w:multiLevelType w:val="hybridMultilevel"/>
    <w:lvl w:ilvl="0">
      <w:lvlJc w:val="left"/>
      <w:lvlText w:val="(%1)"/>
      <w:numFmt w:val="lowerLetter"/>
      <w:start w:val="3"/>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lowerLetter"/>
      <w:start w:val="2"/>
    </w:lvl>
  </w:abstractNum>
  <w:abstractNum w:abstractNumId="79">
    <w:nsid w:val="6AA78F7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0">
    <w:nsid w:val="7672BD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1">
    <w:nsid w:val="6FC75AF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82">
    <w:nsid w:val="6A5F702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3">
    <w:nsid w:val="7D5E18F8"/>
    <w:multiLevelType w:val="hybridMultilevel"/>
    <w:lvl w:ilvl="0">
      <w:lvlJc w:val="left"/>
      <w:lvlText w:val="(%1)"/>
      <w:numFmt w:val="lowerLetter"/>
      <w:start w:val="5"/>
    </w:lvl>
  </w:abstractNum>
  <w:abstractNum w:abstractNumId="84">
    <w:nsid w:val="5F3534A4"/>
    <w:multiLevelType w:val="hybridMultilevel"/>
    <w:lvl w:ilvl="0">
      <w:lvlJc w:val="left"/>
      <w:lvlText w:val="(%1)"/>
      <w:numFmt w:val="lowerLetter"/>
      <w:start w:val="1"/>
    </w:lvl>
  </w:abstractNum>
  <w:abstractNum w:abstractNumId="85">
    <w:nsid w:val="73A1821B"/>
    <w:multiLevelType w:val="hybridMultilevel"/>
    <w:lvl w:ilvl="0">
      <w:lvlJc w:val="left"/>
      <w:lvlText w:val="(%1)"/>
      <w:numFmt w:val="lowerRoman"/>
      <w:start w:val="2"/>
    </w:lvl>
  </w:abstractNum>
  <w:abstractNum w:abstractNumId="86">
    <w:nsid w:val="7DE6771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87">
    <w:nsid w:val="555C55B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88">
    <w:nsid w:val="3FA62ACA"/>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abstractNum>
  <w:abstractNum w:abstractNumId="89">
    <w:nsid w:val="14FCE74E"/>
    <w:multiLevelType w:val="hybridMultilevel"/>
    <w:lvl w:ilvl="0">
      <w:lvlJc w:val="left"/>
      <w:lvlText w:val="(%1)"/>
      <w:numFmt w:val="lowerLetter"/>
      <w:start w:val="1"/>
    </w:lvl>
  </w:abstractNum>
  <w:abstractNum w:abstractNumId="90">
    <w:nsid w:val="6A3DD3E8"/>
    <w:multiLevelType w:val="hybridMultilevel"/>
    <w:lvl w:ilvl="0">
      <w:lvlJc w:val="left"/>
      <w:lvlText w:val="(%1)"/>
      <w:numFmt w:val="lowerLetter"/>
      <w:start w:val="3"/>
    </w:lvl>
  </w:abstractNum>
  <w:abstractNum w:abstractNumId="91">
    <w:nsid w:val="71C91298"/>
    <w:multiLevelType w:val="hybridMultilevel"/>
    <w:lvl w:ilvl="0">
      <w:lvlJc w:val="left"/>
      <w:lvlText w:val="(%1)"/>
      <w:numFmt w:val="lowerLetter"/>
      <w:start w:val="1"/>
    </w:lvl>
    <w:lvl w:ilvl="1">
      <w:lvlJc w:val="left"/>
      <w:lvlText w:val="(%2)"/>
      <w:numFmt w:val="lowerRoman"/>
      <w:start w:val="1"/>
    </w:lvl>
  </w:abstractNum>
  <w:abstractNum w:abstractNumId="92">
    <w:nsid w:val="9DAF632"/>
    <w:multiLevelType w:val="hybridMultilevel"/>
    <w:lvl w:ilvl="0">
      <w:lvlJc w:val="left"/>
      <w:lvlText w:val="(%1)"/>
      <w:numFmt w:val="lowerLetter"/>
      <w:start w:val="1"/>
    </w:lvl>
  </w:abstractNum>
  <w:abstractNum w:abstractNumId="93">
    <w:nsid w:val="53299938"/>
    <w:multiLevelType w:val="hybridMultilevel"/>
    <w:lvl w:ilvl="0">
      <w:lvlJc w:val="left"/>
      <w:lvlText w:val="(%1)"/>
      <w:numFmt w:val="lowerLetter"/>
      <w:start w:val="1"/>
    </w:lvl>
  </w:abstractNum>
  <w:abstractNum w:abstractNumId="94">
    <w:nsid w:val="1FBFE8E0"/>
    <w:multiLevelType w:val="hybridMultilevel"/>
    <w:lvl w:ilvl="0">
      <w:lvlJc w:val="left"/>
      <w:lvlText w:val="(%1)"/>
      <w:numFmt w:val="lowerLetter"/>
      <w:start w:val="2"/>
    </w:lvl>
  </w:abstractNum>
  <w:abstractNum w:abstractNumId="95">
    <w:nsid w:val="5092CA79"/>
    <w:multiLevelType w:val="hybridMultilevel"/>
    <w:lvl w:ilvl="0">
      <w:lvlJc w:val="left"/>
      <w:lvlText w:val="(%1)"/>
      <w:numFmt w:val="lowerLetter"/>
      <w:start w:val="1"/>
    </w:lvl>
  </w:abstractNum>
  <w:abstractNum w:abstractNumId="96">
    <w:nsid w:val="1D545C4D"/>
    <w:multiLevelType w:val="hybridMultilevel"/>
    <w:lvl w:ilvl="0">
      <w:lvlJc w:val="left"/>
      <w:lvlText w:val="(%1)"/>
      <w:numFmt w:val="lowerLetter"/>
      <w:start w:val="1"/>
    </w:lvl>
  </w:abstractNum>
  <w:abstractNum w:abstractNumId="97">
    <w:nsid w:val="59ADEA3D"/>
    <w:multiLevelType w:val="hybridMultilevel"/>
    <w:lvl w:ilvl="0">
      <w:lvlJc w:val="left"/>
      <w:lvlText w:val="%1"/>
      <w:numFmt w:val="lowerLetter"/>
      <w:start w:val="1"/>
    </w:lvl>
    <w:lvl w:ilvl="1">
      <w:lvlJc w:val="left"/>
      <w:lvlText w:val="(%2)"/>
      <w:numFmt w:val="lowerLetter"/>
      <w:start w:val="1"/>
    </w:lvl>
  </w:abstractNum>
  <w:abstractNum w:abstractNumId="98">
    <w:nsid w:val="288F1A34"/>
    <w:multiLevelType w:val="hybridMultilevel"/>
    <w:lvl w:ilvl="0">
      <w:lvlJc w:val="left"/>
      <w:lvlText w:val="(%1)"/>
      <w:numFmt w:val="lowerLetter"/>
      <w:start w:val="35"/>
    </w:lvl>
    <w:lvl w:ilvl="1">
      <w:lvlJc w:val="left"/>
      <w:lvlText w:val="(%2)"/>
      <w:numFmt w:val="lowerLetter"/>
      <w:start w:val="2"/>
    </w:lvl>
  </w:abstractNum>
  <w:abstractNum w:abstractNumId="99">
    <w:nsid w:val="2A155DBC"/>
    <w:multiLevelType w:val="hybridMultilevel"/>
    <w:lvl w:ilvl="0">
      <w:lvlJc w:val="left"/>
      <w:lvlText w:val="(%1)"/>
      <w:numFmt w:val="lowerLetter"/>
      <w:start w:val="3"/>
    </w:lvl>
  </w:abstractNum>
  <w:abstractNum w:abstractNumId="100">
    <w:nsid w:val="1D9F6E5F"/>
    <w:multiLevelType w:val="hybridMultilevel"/>
    <w:lvl w:ilvl="0">
      <w:lvlJc w:val="left"/>
      <w:lvlText w:val="(%1)"/>
      <w:numFmt w:val="lowerLetter"/>
      <w:start w:val="1"/>
    </w:lvl>
    <w:lvl w:ilvl="1">
      <w:lvlJc w:val="left"/>
      <w:lvlText w:val="(%2)"/>
      <w:numFmt w:val="lowerRoman"/>
      <w:start w:val="1"/>
    </w:lvl>
  </w:abstractNum>
  <w:abstractNum w:abstractNumId="101">
    <w:nsid w:val="97E1B4E"/>
    <w:multiLevelType w:val="hybridMultilevel"/>
    <w:lvl w:ilvl="0">
      <w:lvlJc w:val="left"/>
      <w:lvlText w:val="(%1)"/>
      <w:numFmt w:val="lowerRoman"/>
      <w:start w:val="3"/>
    </w:lvl>
  </w:abstractNum>
  <w:abstractNum w:abstractNumId="102">
    <w:nsid w:val="51088277"/>
    <w:multiLevelType w:val="hybridMultilevel"/>
    <w:lvl w:ilvl="0">
      <w:lvlJc w:val="left"/>
      <w:lvlText w:val="(%1)"/>
      <w:numFmt w:val="lowerRoman"/>
      <w:start w:val="10"/>
    </w:lvl>
  </w:abstractNum>
  <w:abstractNum w:abstractNumId="103">
    <w:nsid w:val="1CA0C5FA"/>
    <w:multiLevelType w:val="hybridMultilevel"/>
    <w:lvl w:ilvl="0">
      <w:lvlJc w:val="left"/>
      <w:lvlText w:val="(%1)"/>
      <w:numFmt w:val="lowerLetter"/>
      <w:start w:val="4"/>
    </w:lvl>
  </w:abstractNum>
  <w:abstractNum w:abstractNumId="104">
    <w:nsid w:val="53584BCB"/>
    <w:multiLevelType w:val="hybridMultilevel"/>
    <w:lvl w:ilvl="0">
      <w:lvlJc w:val="left"/>
      <w:lvlText w:val="(%1)"/>
      <w:numFmt w:val="lowerLetter"/>
      <w:start w:val="1"/>
    </w:lvl>
  </w:abstractNum>
  <w:abstractNum w:abstractNumId="105">
    <w:nsid w:val="415E286C"/>
    <w:multiLevelType w:val="hybridMultilevel"/>
    <w:lvl w:ilvl="0">
      <w:lvlJc w:val="left"/>
      <w:lvlText w:val="(%1)"/>
      <w:numFmt w:val="lowerRoman"/>
      <w:start w:val="1"/>
    </w:lvl>
  </w:abstractNum>
  <w:abstractNum w:abstractNumId="106">
    <w:nsid w:val="7C58FD05"/>
    <w:multiLevelType w:val="hybridMultilevel"/>
    <w:lvl w:ilvl="0">
      <w:lvlJc w:val="left"/>
      <w:lvlText w:val="(%1)"/>
      <w:numFmt w:val="lowerRoman"/>
      <w:start w:val="2"/>
    </w:lvl>
  </w:abstractNum>
  <w:abstractNum w:abstractNumId="107">
    <w:nsid w:val="23D86AAC"/>
    <w:multiLevelType w:val="hybridMultilevel"/>
    <w:lvl w:ilvl="0">
      <w:lvlJc w:val="left"/>
      <w:lvlText w:val="%1."/>
      <w:numFmt w:val="decimal"/>
      <w:start w:val="4"/>
    </w:lvl>
  </w:abstractNum>
  <w:abstractNum w:abstractNumId="108">
    <w:nsid w:val="45E6D486"/>
    <w:multiLevelType w:val="hybridMultilevel"/>
    <w:lvl w:ilvl="0">
      <w:lvlJc w:val="left"/>
      <w:lvlText w:val="%1."/>
      <w:numFmt w:val="decimal"/>
      <w:start w:val="1"/>
    </w:lvl>
  </w:abstractNum>
  <w:abstractNum w:abstractNumId="109">
    <w:nsid w:val="5C10FE21"/>
    <w:multiLevelType w:val="hybridMultilevel"/>
    <w:lvl w:ilvl="0">
      <w:lvlJc w:val="left"/>
      <w:lvlText w:val="(%1)"/>
      <w:numFmt w:val="lowerLetter"/>
      <w:start w:val="1"/>
    </w:lvl>
  </w:abstractNum>
  <w:abstractNum w:abstractNumId="110">
    <w:nsid w:val="E7FFA2B"/>
    <w:multiLevelType w:val="hybridMultilevel"/>
    <w:lvl w:ilvl="0">
      <w:lvlJc w:val="left"/>
      <w:lvlText w:val="%1."/>
      <w:numFmt w:val="decimal"/>
      <w:start w:val="2"/>
    </w:lvl>
  </w:abstractNum>
  <w:abstractNum w:abstractNumId="111">
    <w:nsid w:val="3C5991AA"/>
    <w:multiLevelType w:val="hybridMultilevel"/>
    <w:lvl w:ilvl="0">
      <w:lvlJc w:val="left"/>
      <w:lvlText w:val="%1."/>
      <w:numFmt w:val="decimal"/>
      <w:start w:val="1"/>
    </w:lvl>
    <w:lvl w:ilvl="1">
      <w:lvlJc w:val="left"/>
      <w:lvlText w:val="%2)"/>
      <w:numFmt w:val="lowerLetter"/>
      <w:start w:val="1"/>
    </w:lvl>
  </w:abstractNum>
  <w:abstractNum w:abstractNumId="112">
    <w:nsid w:val="4BD8591A"/>
    <w:multiLevelType w:val="hybridMultilevel"/>
    <w:lvl w:ilvl="0">
      <w:lvlJc w:val="left"/>
      <w:lvlText w:val="%1."/>
      <w:numFmt w:val="decimal"/>
      <w:start w:val="1"/>
    </w:lvl>
    <w:lvl w:ilvl="1">
      <w:lvlJc w:val="left"/>
      <w:lvlText w:val="%2)"/>
      <w:numFmt w:val="lowerLetter"/>
      <w:start w:val="1"/>
    </w:lvl>
  </w:abstractNum>
  <w:abstractNum w:abstractNumId="113">
    <w:nsid w:val="78DF6A55"/>
    <w:multiLevelType w:val="hybridMultilevel"/>
    <w:lvl w:ilvl="0">
      <w:lvlJc w:val="left"/>
      <w:lvlText w:val="(%1)"/>
      <w:numFmt w:val="decimal"/>
      <w:start w:val="1"/>
    </w:lvl>
  </w:abstractNum>
  <w:abstractNum w:abstractNumId="114">
    <w:nsid w:val="39B7AAA2"/>
    <w:multiLevelType w:val="hybridMultilevel"/>
    <w:lvl w:ilvl="0">
      <w:lvlJc w:val="left"/>
      <w:lvlText w:val="*"/>
      <w:numFmt w:val="bullet"/>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2019-12-11T02:03:44Z</dcterms:created>
  <dcterms:modified xsi:type="dcterms:W3CDTF">2019-12-11T02:03:44Z</dcterms:modified>
</cp:coreProperties>
</file>