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30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 TRANSITION</w:t>
      </w:r>
    </w:p>
    <w:p>
      <w:pPr>
        <w:spacing w:after="0" w:line="203" w:lineRule="exact"/>
        <w:rPr>
          <w:sz w:val="24"/>
          <w:szCs w:val="24"/>
          <w:color w:val="auto"/>
        </w:rPr>
      </w:pPr>
    </w:p>
    <w:p>
      <w:pPr>
        <w:ind w:left="460"/>
        <w:spacing w:after="0"/>
        <w:tabs>
          <w:tab w:leader="none" w:pos="2660" w:val="left"/>
          <w:tab w:leader="none" w:pos="384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001-32975</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20" w:type="dxa"/>
            <w:vAlign w:val="bottom"/>
          </w:tcPr>
          <w:p>
            <w:pPr>
              <w:jc w:val="center"/>
              <w:ind w:right="17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20-4748747</w:t>
            </w:r>
          </w:p>
        </w:tc>
      </w:tr>
      <w:tr>
        <w:trPr>
          <w:trHeight w:val="149"/>
        </w:trPr>
        <w:tc>
          <w:tcPr>
            <w:tcW w:w="492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0"/>
        </w:trPr>
        <w:tc>
          <w:tcPr>
            <w:tcW w:w="49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9"/>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218"/>
        </w:trPr>
        <w:tc>
          <w:tcPr>
            <w:tcW w:w="4920" w:type="dxa"/>
            <w:vAlign w:val="bottom"/>
          </w:tcPr>
          <w:p>
            <w:pPr>
              <w:jc w:val="center"/>
              <w:ind w:right="1804"/>
              <w:spacing w:after="0"/>
              <w:rPr>
                <w:sz w:val="20"/>
                <w:szCs w:val="20"/>
                <w:color w:val="auto"/>
              </w:rPr>
            </w:pPr>
            <w:r>
              <w:rPr>
                <w:rFonts w:ascii="Arial" w:cs="Arial" w:eastAsia="Arial" w:hAnsi="Arial"/>
                <w:sz w:val="18"/>
                <w:szCs w:val="18"/>
                <w:b w:val="1"/>
                <w:bCs w:val="1"/>
                <w:color w:val="auto"/>
                <w:w w:val="88"/>
              </w:rPr>
              <w:t>55 East 52</w:t>
            </w:r>
            <w:r>
              <w:rPr>
                <w:rFonts w:ascii="Arial" w:cs="Arial" w:eastAsia="Arial" w:hAnsi="Arial"/>
                <w:sz w:val="11"/>
                <w:szCs w:val="11"/>
                <w:b w:val="1"/>
                <w:bCs w:val="1"/>
                <w:color w:val="auto"/>
                <w:w w:val="88"/>
              </w:rPr>
              <w:t>nd</w:t>
            </w:r>
            <w:r>
              <w:rPr>
                <w:rFonts w:ascii="Arial" w:cs="Arial" w:eastAsia="Arial" w:hAnsi="Arial"/>
                <w:sz w:val="18"/>
                <w:szCs w:val="18"/>
                <w:b w:val="1"/>
                <w:bCs w:val="1"/>
                <w:color w:val="auto"/>
                <w:w w:val="88"/>
              </w:rPr>
              <w:t xml:space="preserve"> Street, New York, New York</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10055</w:t>
            </w:r>
          </w:p>
        </w:tc>
      </w:tr>
      <w:tr>
        <w:trPr>
          <w:trHeight w:val="174"/>
        </w:trPr>
        <w:tc>
          <w:tcPr>
            <w:tcW w:w="49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(212) 857-3100</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94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140" w:type="dxa"/>
            <w:vAlign w:val="bottom"/>
          </w:tcPr>
          <w:p>
            <w:pPr>
              <w:spacing w:after="0"/>
              <w:rPr>
                <w:sz w:val="14"/>
                <w:szCs w:val="14"/>
                <w:color w:val="auto"/>
              </w:rPr>
            </w:pPr>
          </w:p>
        </w:tc>
      </w:tr>
      <w:tr>
        <w:trPr>
          <w:trHeight w:val="222"/>
        </w:trPr>
        <w:tc>
          <w:tcPr>
            <w:tcW w:w="69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87"/>
              </w:rPr>
              <w:t>Class A Common Stock, $0.01 par value</w:t>
            </w:r>
          </w:p>
        </w:tc>
        <w:tc>
          <w:tcPr>
            <w:tcW w:w="28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New York Stock Exchange</w:t>
            </w:r>
          </w:p>
        </w:tc>
      </w:tr>
      <w:tr>
        <w:trPr>
          <w:trHeight w:val="242"/>
        </w:trPr>
        <w:tc>
          <w:tcPr>
            <w:tcW w:w="1880" w:type="dxa"/>
            <w:vAlign w:val="bottom"/>
          </w:tcPr>
          <w:p>
            <w:pPr>
              <w:spacing w:after="0"/>
              <w:rPr>
                <w:sz w:val="21"/>
                <w:szCs w:val="21"/>
                <w:color w:val="auto"/>
              </w:rPr>
            </w:pPr>
          </w:p>
        </w:tc>
        <w:tc>
          <w:tcPr>
            <w:tcW w:w="6520" w:type="dxa"/>
            <w:vAlign w:val="bottom"/>
            <w:gridSpan w:val="3"/>
          </w:tcPr>
          <w:p>
            <w:pPr>
              <w:ind w:left="102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12"/>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proceeding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8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0" w:right="279" w:bottom="1440" w:gutter="0" w:footer="0" w:header="0"/>
        </w:sectPr>
      </w:pPr>
    </w:p>
    <w:p>
      <w:pPr>
        <w:spacing w:after="0" w:line="34" w:lineRule="exact"/>
        <w:rPr>
          <w:sz w:val="24"/>
          <w:szCs w:val="24"/>
          <w:color w:val="auto"/>
        </w:rPr>
      </w:pPr>
    </w:p>
    <w:p>
      <w:pPr>
        <w:ind w:left="8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both"/>
        <w:ind w:firstLine="290"/>
        <w:spacing w:after="0" w:line="291" w:lineRule="auto"/>
        <w:rPr>
          <w:sz w:val="20"/>
          <w:szCs w:val="20"/>
          <w:color w:val="auto"/>
        </w:rPr>
      </w:pPr>
      <w:r>
        <w:rPr>
          <w:rFonts w:ascii="Arial" w:cs="Arial" w:eastAsia="Arial" w:hAnsi="Arial"/>
          <w:sz w:val="16"/>
          <w:szCs w:val="16"/>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42" w:lineRule="exact"/>
        <w:rPr>
          <w:sz w:val="24"/>
          <w:szCs w:val="24"/>
          <w:color w:val="auto"/>
        </w:rPr>
      </w:pPr>
    </w:p>
    <w:p>
      <w:pPr>
        <w:sectPr>
          <w:pgSz w:w="11900" w:h="16838" w:orient="portrait"/>
          <w:cols w:equalWidth="0" w:num="8">
            <w:col w:w="2480" w:space="100"/>
            <w:col w:w="720" w:space="720"/>
            <w:col w:w="1220" w:space="80"/>
            <w:col w:w="160" w:space="480"/>
            <w:col w:w="1860" w:space="80"/>
            <w:col w:w="160" w:space="520"/>
            <w:col w:w="2000" w:space="100"/>
            <w:col w:w="700"/>
          </w:cols>
          <w:pgMar w:left="240" w:top="230" w:right="2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5">
            <w:col w:w="7980" w:space="160"/>
            <w:col w:w="260" w:space="80"/>
            <w:col w:w="160" w:space="180"/>
            <w:col w:w="220" w:space="80"/>
            <w:col w:w="22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aggregate market value of the voting and nonvoting common equity of the registrant held by non-affiliates as of June 30, 2010 was approximately</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$391.2 million, based on the closing price of the registrant’s Class A common stock reported on the New York Stock Exchange on such date of $23.35 per share</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and on the par value of the registrant’s Class B common stock, par value $0.01 per share.</w:t>
      </w:r>
    </w:p>
    <w:p>
      <w:pPr>
        <w:spacing w:after="0" w:line="57" w:lineRule="exact"/>
        <w:rPr>
          <w:sz w:val="24"/>
          <w:szCs w:val="24"/>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number of shares of the registrant’s Class A common stock, par value $0.01 per share, outstanding as of March 7, 2011, was 20,918,581. The number of shares of the registrant’s Class B common stock, par value $0.01 per share, outstanding as of March 7, 2011 was 48 (excluding 52 shares of Class B common stock held by a subsidiary of the registrant).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Portions of the definitive Proxy Statement of Evercore Partners Inc. to be filed pursuant to Regulation 14A of the general rules and regulations under the Securities Exchange Act of 1934, as amended, for the 2011 annual meeting of stockholders to be held on June 7, 2011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74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6"/>
              </w:rPr>
              <w:t>EVERCORE PARTNERS INC.</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4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1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9260" w:type="dxa"/>
            <w:vAlign w:val="bottom"/>
            <w:gridSpan w:val="19"/>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9000" w:type="dxa"/>
            <w:vAlign w:val="bottom"/>
            <w:gridSpan w:val="1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Unresolved Staff Comments</w:t>
              </w:r>
            </w:hyperlink>
          </w:p>
        </w:tc>
        <w:tc>
          <w:tcPr>
            <w:tcW w:w="7880" w:type="dxa"/>
            <w:vAlign w:val="bottom"/>
            <w:gridSpan w:val="1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8580" w:type="dxa"/>
            <w:vAlign w:val="bottom"/>
            <w:gridSpan w:val="1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(Removed and 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1"/>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Market for Registrant’s Common Equity, Related Stockholder Matters and Issuer Purchases of Equity Securities</w:t>
              </w:r>
            </w:hyperlink>
          </w:p>
        </w:tc>
        <w:tc>
          <w:tcPr>
            <w:tcW w:w="2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98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Management’s Discussion and Analysis of Financial Condition and Results of Operations</w:t>
              </w:r>
            </w:hyperlink>
          </w:p>
        </w:tc>
        <w:tc>
          <w:tcPr>
            <w:tcW w:w="3580" w:type="dxa"/>
            <w:vAlign w:val="bottom"/>
            <w:gridSpan w:val="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988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Supplemental Data</w:t>
              </w:r>
            </w:hyperlink>
          </w:p>
        </w:tc>
        <w:tc>
          <w:tcPr>
            <w:tcW w:w="564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07">
              <w:r>
                <w:rPr>
                  <w:rFonts w:ascii="Arial" w:cs="Arial" w:eastAsia="Arial" w:hAnsi="Arial"/>
                  <w:sz w:val="18"/>
                  <w:szCs w:val="18"/>
                  <w:color w:val="0000EE"/>
                  <w:w w:val="88"/>
                </w:rPr>
                <w:t>Changes in and Disagreements with Accountants on Accounting and Financial Disclosure</w:t>
              </w:r>
            </w:hyperlink>
          </w:p>
        </w:tc>
        <w:tc>
          <w:tcPr>
            <w:tcW w:w="3560" w:type="dxa"/>
            <w:vAlign w:val="bottom"/>
            <w:gridSpan w:val="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988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8160" w:type="dxa"/>
            <w:vAlign w:val="bottom"/>
            <w:gridSpan w:val="1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451"/>
        </w:trPr>
        <w:tc>
          <w:tcPr>
            <w:tcW w:w="1120" w:type="dxa"/>
            <w:vAlign w:val="bottom"/>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988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10">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22"/>
                <w:szCs w:val="22"/>
                <w:color w:val="auto"/>
              </w:rPr>
            </w:pPr>
          </w:p>
        </w:tc>
        <w:tc>
          <w:tcPr>
            <w:tcW w:w="590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988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8"/>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278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1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Principal Accountant Fees and Services</w:t>
              </w:r>
            </w:hyperlink>
          </w:p>
        </w:tc>
        <w:tc>
          <w:tcPr>
            <w:tcW w:w="4620" w:type="dxa"/>
            <w:vAlign w:val="bottom"/>
            <w:gridSpan w:val="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451"/>
        </w:trPr>
        <w:tc>
          <w:tcPr>
            <w:tcW w:w="1120" w:type="dxa"/>
            <w:vAlign w:val="bottom"/>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31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Exhibits and Financial Statement Schedules</w:t>
              </w:r>
            </w:hyperlink>
          </w:p>
        </w:tc>
        <w:tc>
          <w:tcPr>
            <w:tcW w:w="6740" w:type="dxa"/>
            <w:vAlign w:val="bottom"/>
            <w:gridSpan w:val="8"/>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website address is www.evercore.com. We make available free of charge on the Investor Relations section of our website (http://ir.evercore.com) our Annual Report on Form 10-K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as amended (the “Exchange Act”). We also make available through our website other reports filed with or furnished to the SEC under the Exchange Act, including our Proxy Statements and reports filed by officers and directors under Section 16(a) of that Act, as well as our Code of Business Conduct and Ethics. From time to time we may use our website as a channel of distribution of material company information. Financial and other material information regarding the Company is routinely posted on and accessible at http://ir.evercore.com. In addition, you may automatically receive email alerts and other information about us by enrolling your email by visiting the “Email Alert” section at http://ir.evercore.com. We do not intend for information contained in our website to be part of this Form 10-K.</w:t>
      </w:r>
    </w:p>
    <w:p>
      <w:pPr>
        <w:spacing w:after="0" w:line="12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Any materials we file with the SEC may be read and copied at the SEC’s Public Reference Room at 100 F Street, N.E., Washington, DC, 20549. Information on the operation of the Public Reference Room may be obtained by calling the SEC at 1-800-SEC-0330. The SEC maintains an Internet site (http://www.sec.gov) that contains reports, proxy and information statements and other information regarding issuers that file electronically with the SEC.</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this report, references to “Evercore”, the “Company”, “we”, “us”, “our” and our “Successor Company” refer to Evercore Partners Inc., a Delaware corporation, and its consolidated subsidiaries. These references (other than Successor Company) refer, prior to the formation transaction and IPO, collectively referred to as the “Reorganization”, to Evercore Holdings, or our “Predecessor Company”, which was comprised of certain combined and consolidated entities under the common ownership of the Evercore Senior Managing Directors. Unless the context otherwise requires, references to (1) “Evercore Partners Inc.” refer solely to Evercore Partners Inc., and not to any of its consolidated subsidiaries and (2) “Evercore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43"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or incorporated by reference in this report. We undertake no obligation to publicly update or review any forward-looking statement, whether as a result of new information, future developments or otherwise. You should, however, consult further disclosures we may make in future filings of our Annual Reports on Form 10-K, Quarterly Reports on Form 10-Q and Current Reports on Form 8-K and any amendments thereto or in future press releases or other public statements.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Evercore is one of the leading independent investment banking advisory firms in the world based on the dollar volume of announced worldwide merger and acquisition (“M&amp;A”) transactions on which we have advised since 2000. When we use the term “independent investment banking advisory firm,” we mean an investment banking firm that directly or through its affiliates does not engage in commercial banking or proprietary trading activities. We were founded on the belief that there was an opportunity within the investment banking industry for a firm free of the potential conflicts of interest created within large, multi-product financial institutions. We also believed that the broad set of relationships of an independent advisory business would provide the foundation for a differentiated investment management platform. We believe maintaining standards of excellence and integrity in our core businesses demands a spirit of cooperation and hands-on participation more commonly found in smaller organizations. Since our inception, we have set out to build—in the employees we choose and in the projects we undertake—an organization dedicated to the highest caliber of professionalism and integrity.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around the world from our offices in New York, San Francisco, Boston, Washington D.C., Los Angeles, Houston, London, Mexico City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Monterrey, Mexico and, through our affiliate G5 Holdings S.A. (“G5”), in Rio de Janeiro and São Paulo, Brazil, through two business segments:</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Banking;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Management.</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Investment Banking segment includes our Advisory services, through which we provide advice to clients on significant mergers, acquisitions, divestitures and other strategic corporate transactions, with a particular focus on advising prominent multinational corporations and substantial private equity firms on large, complex transactions. We also provide restructuring advice to companies in financial transition, as well as to creditors, shareholders and potential acquirers. In addition, we provide our clients with capital markets advice, underwrite securities offerings and raise funds for financial sponsors. Our Investment Banking segment also includes our Institutional Equities services through which we offer equity research and agency-only equity securities trading for institutional investors.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Investment Management segment focuses on Institutional Asset Management, through which we manage financial assets for sophisticated institutional investors and provide independent fiduciary services to corporate employee benefit plans, Wealth Management, through which we provide wealth management services for high net-worth individuals and Private Equity, through which we manage private equity funds. Each of these businesses is led by senior investment professionals with extensive experience in their respective fields.</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During 2010, we expanded our global Investment Banking presence through the acquisition of a 50% interest in G5, a São Paulo-based independent</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investment banking boutique and investment management firm. G5’s business includes M&amp;A, restructuring, wealth management and asset management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December 31, 2010, our Investment Banking segment had 47 Senior Managing Directors—34 in the United States, seven in Mexico and six in Europe —and four Senior Advisors with expertise and client relationships in a wide variety of industry sectors, as well as 20 senior research and sales professionals in Institutional Equities.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2010, our Investment Banking segment generated $301.9 million, or 80%, of our revenues, excluding Other Revenue, net, and earned advisory fees from 191 clients.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provide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are advising or have advised on numerous noteworthy transactions, including:</w:t>
      </w:r>
    </w:p>
    <w:p>
      <w:pPr>
        <w:spacing w:after="0" w:line="59"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CenturyLink on its merger with Qwest Communications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sanofi-aventis on its pending acquisition of Genzyme and its joint</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venture in animal health with Merck</w:t>
      </w:r>
    </w:p>
    <w:p>
      <w:pPr>
        <w:spacing w:after="0" w:line="111"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Burlington Northern Santa Fe on its sale to Berkshire Hathaway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General Motors on its IPO, its restructuring, including the Delphi</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restructuring and various other matters</w:t>
      </w:r>
    </w:p>
    <w:p>
      <w:pPr>
        <w:spacing w:after="0" w:line="111"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The Special Committee of the Board of Directors of Affiliated Computer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Frontier Communications on its acquisition of access lines from</w:t>
      </w:r>
    </w:p>
    <w:p>
      <w:pPr>
        <w:spacing w:after="0" w:line="15" w:lineRule="exact"/>
        <w:rPr>
          <w:sz w:val="20"/>
          <w:szCs w:val="20"/>
          <w:color w:val="auto"/>
        </w:rPr>
      </w:pPr>
    </w:p>
    <w:p>
      <w:pPr>
        <w:ind w:left="440"/>
        <w:spacing w:after="0"/>
        <w:tabs>
          <w:tab w:leader="none" w:pos="6480" w:val="left"/>
        </w:tabs>
        <w:rPr>
          <w:sz w:val="20"/>
          <w:szCs w:val="20"/>
          <w:color w:val="auto"/>
        </w:rPr>
      </w:pPr>
      <w:r>
        <w:rPr>
          <w:rFonts w:ascii="Arial" w:cs="Arial" w:eastAsia="Arial" w:hAnsi="Arial"/>
          <w:sz w:val="18"/>
          <w:szCs w:val="18"/>
          <w:color w:val="auto"/>
        </w:rPr>
        <w:t>Services on the pending sale to Xerox</w:t>
      </w:r>
      <w:r>
        <w:rPr>
          <w:sz w:val="20"/>
          <w:szCs w:val="20"/>
          <w:color w:val="auto"/>
        </w:rPr>
        <w:tab/>
      </w:r>
      <w:r>
        <w:rPr>
          <w:rFonts w:ascii="Arial" w:cs="Arial" w:eastAsia="Arial" w:hAnsi="Arial"/>
          <w:sz w:val="15"/>
          <w:szCs w:val="15"/>
          <w:color w:val="auto"/>
        </w:rPr>
        <w:t>Verizon</w:t>
      </w:r>
    </w:p>
    <w:p>
      <w:pPr>
        <w:spacing w:after="0" w:line="111"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MGM Mirage on its recapitalization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LyondellBasell on its restructuring</w:t>
      </w:r>
    </w:p>
    <w:p>
      <w:pPr>
        <w:spacing w:after="0" w:line="117"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Special Committee of Time Warner Cable on its separation from Time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CIT on its restructuring</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Warner</w:t>
      </w:r>
    </w:p>
    <w:p>
      <w:pPr>
        <w:spacing w:after="0" w:line="111"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Tyco on its split-up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Centennial Communications on its sale to AT&amp;T</w:t>
      </w:r>
    </w:p>
    <w:p>
      <w:pPr>
        <w:spacing w:after="0" w:line="117"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E*TRADE Financial on its capital raise from Citadel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Swiss Re on its investment from Berkshire Hathaway</w:t>
      </w:r>
    </w:p>
    <w:p>
      <w:pPr>
        <w:spacing w:after="0" w:line="117"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Smiths Group on its sale of its Aerospace division to General Electric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Electronic Data Systems on its sale to Hewlett-Packard</w:t>
      </w:r>
    </w:p>
    <w:p>
      <w:pPr>
        <w:spacing w:after="0" w:line="117"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CVS on its acquisition of Caremark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AT&amp;T on its acquisition of BellSouth</w:t>
      </w:r>
    </w:p>
    <w:p>
      <w:pPr>
        <w:spacing w:after="0" w:line="117" w:lineRule="exact"/>
        <w:rPr>
          <w:sz w:val="20"/>
          <w:szCs w:val="20"/>
          <w:color w:val="auto"/>
        </w:rPr>
      </w:pPr>
    </w:p>
    <w:p>
      <w:pPr>
        <w:ind w:left="120"/>
        <w:spacing w:after="0"/>
        <w:tabs>
          <w:tab w:leader="none" w:pos="340" w:val="left"/>
          <w:tab w:leader="none" w:pos="6140" w:val="left"/>
          <w:tab w:leader="none" w:pos="6380" w:val="left"/>
        </w:tabs>
        <w:rPr>
          <w:sz w:val="20"/>
          <w:szCs w:val="20"/>
          <w:color w:val="auto"/>
        </w:rPr>
      </w:pPr>
      <w:r>
        <w:rPr>
          <w:rFonts w:ascii="Arial" w:cs="Arial" w:eastAsia="Arial" w:hAnsi="Arial"/>
          <w:sz w:val="18"/>
          <w:szCs w:val="18"/>
          <w:color w:val="auto"/>
        </w:rPr>
        <w:t>•</w:t>
        <w:tab/>
        <w:t>SBC on its acquisition of AT&amp;T and on Cingular’s acquisition of AT&amp;T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Cendant on its split-up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Wireless</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ind w:left="440" w:hanging="324"/>
        <w:spacing w:after="0" w:line="332" w:lineRule="auto"/>
        <w:tabs>
          <w:tab w:leader="none" w:pos="353" w:val="left"/>
        </w:tabs>
        <w:numPr>
          <w:ilvl w:val="0"/>
          <w:numId w:val="4"/>
        </w:numPr>
        <w:rPr>
          <w:rFonts w:ascii="Arial" w:cs="Arial" w:eastAsia="Arial" w:hAnsi="Arial"/>
          <w:sz w:val="16"/>
          <w:szCs w:val="16"/>
          <w:color w:val="auto"/>
        </w:rPr>
      </w:pPr>
      <w:r>
        <w:rPr>
          <w:rFonts w:ascii="Arial" w:cs="Arial" w:eastAsia="Arial" w:hAnsi="Arial"/>
          <w:sz w:val="16"/>
          <w:szCs w:val="16"/>
          <w:color w:val="auto"/>
        </w:rPr>
        <w:t>Lafarge SA on its pending formation of a 50/50 joint venture in UK building materials businesses with the Tarmac business of Anglo American plc</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334" w:right="500" w:hanging="334"/>
        <w:spacing w:after="0" w:line="268" w:lineRule="auto"/>
        <w:tabs>
          <w:tab w:leader="none" w:pos="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Swift Transportation on its IPO, debt issuance and various other matters</w:t>
      </w:r>
    </w:p>
    <w:p>
      <w:pPr>
        <w:spacing w:after="0" w:line="131" w:lineRule="exact"/>
        <w:rPr>
          <w:sz w:val="20"/>
          <w:szCs w:val="20"/>
          <w:color w:val="auto"/>
        </w:rPr>
      </w:pPr>
    </w:p>
    <w:p>
      <w:pPr>
        <w:sectPr>
          <w:pgSz w:w="11900" w:h="16838" w:orient="portrait"/>
          <w:cols w:equalWidth="0" w:num="2">
            <w:col w:w="5740" w:space="426"/>
            <w:col w:w="5234"/>
          </w:cols>
          <w:pgMar w:left="240" w:top="459" w:right="259" w:bottom="1440" w:gutter="0" w:footer="0" w:header="0"/>
          <w:type w:val="continuous"/>
        </w:sectPr>
      </w:pPr>
    </w:p>
    <w:p>
      <w:pPr>
        <w:ind w:right="4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services are differentiated from that of our competitors in the following respects:</w:t>
      </w:r>
    </w:p>
    <w:p>
      <w:pPr>
        <w:spacing w:after="0" w:line="26" w:lineRule="exact"/>
        <w:rPr>
          <w:sz w:val="20"/>
          <w:szCs w:val="20"/>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color w:val="auto"/>
        </w:rPr>
        <w:t>. We seek to recommend shareholder value enhancement strategies or other financial strategies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 Excellence</w:t>
      </w:r>
      <w:r>
        <w:rPr>
          <w:rFonts w:ascii="Arial" w:cs="Arial" w:eastAsia="Arial" w:hAnsi="Arial"/>
          <w:sz w:val="18"/>
          <w:szCs w:val="18"/>
          <w:color w:val="auto"/>
        </w:rPr>
        <w:t>. Since the beginning of 2000, we have advised on over $1.2 trillion of announced transactions, including acquisitions,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mergers of equals, special committee advisory assignments, recapitalizations and restructurings. We have provided significant advisory services on multiple transactions for AT&amp;T (including its predecessor company, SBC), CVS, General Mills, General Motors and Swiss Re, among others.</w:t>
      </w:r>
    </w:p>
    <w:p>
      <w:pPr>
        <w:spacing w:after="0" w:line="62"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color w:val="auto"/>
        </w:rPr>
        <w:t>. The Senior Managing Directors in our Advisory business participate in all facets of client interaction,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evaluation phase to the final stage of executing our recommendations.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13" w:lineRule="exact"/>
        <w:rPr>
          <w:sz w:val="20"/>
          <w:szCs w:val="20"/>
          <w:color w:val="auto"/>
        </w:rPr>
      </w:pPr>
    </w:p>
    <w:p>
      <w:pPr>
        <w:ind w:left="900" w:right="16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color w:val="auto"/>
        </w:rPr>
        <w:t>. When we advise companies about the potential acquisition of another company or certain assets, our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62"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Divestitures and Sale Transactions</w:t>
      </w:r>
      <w:r>
        <w:rPr>
          <w:rFonts w:ascii="Arial" w:cs="Arial" w:eastAsia="Arial" w:hAnsi="Arial"/>
          <w:sz w:val="16"/>
          <w:szCs w:val="16"/>
          <w:color w:val="auto"/>
        </w:rPr>
        <w:t>. When we advise clients that are contemplating the sale of certain businesses, assets or their entire company,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include evaluating and recommending financial and strategic alternatives with respect to a sale, advising on the appropriate sales process for the 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31"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Special Committee and Fairness Opinion Assignments</w:t>
      </w:r>
      <w:r>
        <w:rPr>
          <w:rFonts w:ascii="Arial" w:cs="Arial" w:eastAsia="Arial" w:hAnsi="Arial"/>
          <w:sz w:val="15"/>
          <w:szCs w:val="15"/>
          <w:color w:val="auto"/>
        </w:rPr>
        <w:t>. We are well known for our independence, quality and thoroughness and devoting senior-level attention throughout the project lifecycle. We believe our objectivity, integrity and discretion allow us to provide an unbiased perspective.</w:t>
      </w:r>
    </w:p>
    <w:p>
      <w:pPr>
        <w:ind w:left="9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color w:val="auto"/>
        </w:rPr>
        <w:t>. We provide financial advice and investment banking services to companies in financial transition, as well as to creditors,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potential acquirers. 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Capital Markets</w:t>
      </w:r>
      <w:r>
        <w:rPr>
          <w:rFonts w:ascii="Arial" w:cs="Arial" w:eastAsia="Arial" w:hAnsi="Arial"/>
          <w:sz w:val="16"/>
          <w:szCs w:val="16"/>
          <w:color w:val="auto"/>
        </w:rPr>
        <w:t>. We serve as an independent and objective advisor to corporations and financial sponsors on a broad array of financing issues.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developed an expertise in assisting clients with respect to the entire spectrum of capital structure decisions. In addition, we act as an underwriter in public offerings and private placements of debt and equity securities in the U.S. and internationally.</w:t>
      </w:r>
    </w:p>
    <w:p>
      <w:pPr>
        <w:spacing w:after="0" w:line="25"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Private Funds</w:t>
      </w:r>
      <w:r>
        <w:rPr>
          <w:rFonts w:ascii="Arial" w:cs="Arial" w:eastAsia="Arial" w:hAnsi="Arial"/>
          <w:sz w:val="16"/>
          <w:szCs w:val="16"/>
          <w:color w:val="auto"/>
        </w:rPr>
        <w:t>. In February 2010, we formed the Private Funds Group (“PFG”) with the addition of key personnel and the acquisition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from Neuberger Berman. This group is headquartered in London, with personnel in Europe and the United States and advises fund sponsors on all aspects of the fundraising process. We recently announced an intention to expand into Asia.</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Equities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June 2010, we received the requisite regulatory approvals and commenced our U.S. Institutional Equities operations. This business distributes equity research and engages in agency-only equity securities trading for institutional investors.</w:t>
      </w:r>
    </w:p>
    <w:p>
      <w:pPr>
        <w:spacing w:after="0" w:line="51" w:lineRule="exact"/>
        <w:rPr>
          <w:sz w:val="20"/>
          <w:szCs w:val="20"/>
          <w:color w:val="auto"/>
        </w:rPr>
      </w:pPr>
    </w:p>
    <w:p>
      <w:pPr>
        <w:ind w:left="900" w:right="2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Equity Research</w:t>
      </w:r>
      <w:r>
        <w:rPr>
          <w:rFonts w:ascii="Arial" w:cs="Arial" w:eastAsia="Arial" w:hAnsi="Arial"/>
          <w:sz w:val="18"/>
          <w:szCs w:val="18"/>
          <w:color w:val="auto"/>
        </w:rPr>
        <w:t>. Our research analysts perform research to help our clients understand the dynamics that drive the industries and companies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We seek to differentiate ourselves through originality of perspective, depth of insight and ability to uncover industry trends. Our research analysts cover major industry developments, publish research on industry sectors, provide fundamental, company-specific coverage and identify and evaluate investment opportunities in publicly-traded companies.</w:t>
      </w:r>
    </w:p>
    <w:p>
      <w:pPr>
        <w:spacing w:after="0" w:line="62"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Institutional Sales and Trading</w:t>
      </w:r>
      <w:r>
        <w:rPr>
          <w:rFonts w:ascii="Arial" w:cs="Arial" w:eastAsia="Arial" w:hAnsi="Arial"/>
          <w:sz w:val="16"/>
          <w:szCs w:val="16"/>
          <w:color w:val="auto"/>
        </w:rPr>
        <w:t>. Our professionals provide equity securities sales and trading services to institutional investors and seek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relationships with the portfolio managers and traders they serve by working closely with our equity research professionals.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Management segment includes Institutional Asset Management, in the United States through Evercore Asset Management L.L.C. (“EAM”), Evercore Trust Company, N.A. (“ETC”) and Atalanta Sosnoff Capital LLC (“Atalanta Sosnoff”), and in Mexico through Protego Casa de Bolsa (“PCB”); Wealth Management, through Evercore Wealth Management (“EWM”) and Evercore Pan-Asset Capital Management (“Pan”); and Private Equity. Our Investment Management business principally manages and invests capital on behalf of third parties, including a broad range of institutional investors such as corporate and public pension funds, endowments, foundations, insurance companies, family offices and high net-worth individuals. Our Investment Management business is led by highly-experienced Portfolio and Client Relationship Managers.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2010, our Investment Management segment generated revenue of $77.6 million. As of December 31, 2010, we had $17.4 billion of assets under management (“AUM”) excluding any AUM from our non-consolidated affiliates, of which $14.3 billion was attributable to Institutional Asset Management, $2.5 billion was attributable to Wealth Management and $0.6 billion was attributable to Private Equity clients.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Asset Management</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Within our Institutional Asset Management business, Atalanta Sosnoff manages large-capitalization U.S. equity and balanced products, EAM manages small- and mid-capitalization U.S. public equity investment products, PCB primarily manages Mexican fixed income products and offers fiduciary and trust services and ETC provides specialized investment management, independent fiduciary and trustee services.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acquired a controlling equity interest in Atalanta Sosnoff in May 2010 and consolidate its financial results 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Wealth Management provides services through EWM and Pan. EWM targets clients with more than $5 million in investable assets and offers services such as investment policy creation, asset allocation, customized investment management, manager selection, performance reporting and financial planning. Pan provides asset allocation advisory services and products to high net-worth individuals, charities and endowments, principally in the U.K.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Private Equity manages value-oriented, middle-market private equity funds in both the United States and Mexico. While we do not intend to raise Evercore-sponsored successor funds in the United States or Europe, on February 11, 2010, we announced the formation of a strategic alliance to pursue private equity investment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opportunities with Trilantic Capital Partners (“Trilantic”) and to collaborate on the future growth of Trilantic’s business. We own a minority economic interest in Trilantic and an interest in Trilantic’s current fund, Trilantic Global Fund IV, and have agreed to commit 2.5% of the total capital commitments of Trilantic’s next private equity fund when it is raised, up to $50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 for Growth</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continue to grow and diversify our Investment Banking and Investment Management businesses, and to further enhance our profile and competitive position, through the following strategies:</w:t>
      </w:r>
    </w:p>
    <w:p>
      <w:pPr>
        <w:spacing w:after="0" w:line="51" w:lineRule="exact"/>
        <w:rPr>
          <w:sz w:val="20"/>
          <w:szCs w:val="20"/>
          <w:color w:val="auto"/>
        </w:rPr>
      </w:pPr>
    </w:p>
    <w:p>
      <w:pPr>
        <w:ind w:left="900" w:right="20" w:hanging="325"/>
        <w:spacing w:after="0" w:line="318"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Add Highly Qualified Investment Banking Professionals with Industry and Product Expertise</w:t>
      </w:r>
      <w:r>
        <w:rPr>
          <w:rFonts w:ascii="Arial" w:cs="Arial" w:eastAsia="Arial" w:hAnsi="Arial"/>
          <w:sz w:val="15"/>
          <w:szCs w:val="15"/>
          <w:color w:val="auto"/>
        </w:rPr>
        <w:t>. We have taken action in a competitive environment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hiring five new Senior Managing Directors in the last 12 months, thereby enhancing or adding sectors for Evercore, such as metals, mining and materials and real estate. We have also launched Institutional Equities and entered the funds placement business. We intend to continue to recruit high-caliber advisory, funds placement, research and sales and trading professionals to add depth in industry sectors and products and services in areas that we believe we already have strength, and to extend our reach to sectors or new business lines we have identified as particularly attractive.</w:t>
      </w:r>
    </w:p>
    <w:p>
      <w:pPr>
        <w:spacing w:after="0" w:line="18" w:lineRule="exact"/>
        <w:rPr>
          <w:rFonts w:ascii="Arial" w:cs="Arial" w:eastAsia="Arial" w:hAnsi="Arial"/>
          <w:sz w:val="15"/>
          <w:szCs w:val="15"/>
          <w:color w:val="auto"/>
        </w:rPr>
      </w:pPr>
    </w:p>
    <w:p>
      <w:pPr>
        <w:ind w:left="900" w:right="260" w:hanging="325"/>
        <w:spacing w:after="0" w:line="314"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Achieve Growth and Improved Profitability in Investment Management and Opportunistically Pursue Inorganic Growth</w:t>
      </w:r>
      <w:r>
        <w:rPr>
          <w:rFonts w:ascii="Arial" w:cs="Arial" w:eastAsia="Arial" w:hAnsi="Arial"/>
          <w:sz w:val="15"/>
          <w:szCs w:val="15"/>
          <w:color w:val="auto"/>
        </w:rPr>
        <w:t>. We are focused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managing our current Investment Management business towards growth and improved profitability. We also continue to evaluate opportunities to expand through financially attractive acquisitions. In particular, we seek to ensure that the Investment Management businesses we acquire are capable of strong, repeatable investment performance and that our transactions are structured in a manner that aligns the interests of each management team with our own. We believe that the current market and competitive environment provide attractive opportunities to grow our Investment Management business. For example, we completed both our Atalanta Sosnoff and Trilantic transactions in the first half of 2010.</w:t>
      </w:r>
    </w:p>
    <w:p>
      <w:pPr>
        <w:spacing w:after="0" w:line="23" w:lineRule="exact"/>
        <w:rPr>
          <w:rFonts w:ascii="Arial" w:cs="Arial" w:eastAsia="Arial" w:hAnsi="Arial"/>
          <w:sz w:val="15"/>
          <w:szCs w:val="15"/>
          <w:color w:val="auto"/>
        </w:rPr>
      </w:pPr>
    </w:p>
    <w:p>
      <w:pPr>
        <w:ind w:left="900" w:hanging="325"/>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are expanding into new geographic markets where we believe the business environment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receptive to the strengths of our Investment Banking and Investment Management business models or where we believe our clients have or may develop a significant presence. Our entry into Mexico and Europe in 2006, as well as the formation of our advisory alliances in Japan and China, represented important steps in this strategy. We are actively seeking to strengthen, expand and deepen these alliances and to enter into new arrangements in additional geographies. We may hire groups of talented professionals or pursue additional strategic acquisitions or alliances with highly-regarded regional or local firms whose cultures and operating principles are similar to ours. We completed our investment in G5, a São Paulo-based independent investment banking boutique and investment management firm, during the fourth quarter of 2010. In addition, we recently announced our intention to expand the activities of our Advisory business to South East Asia.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and Geographic Location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 22 to our consolidated financial statements for additional information regarding our segment results and the geographic areas from which we derive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December 31, 2010, we employed a total of 610 people. Our senior professionals play a significant role in driving growth and are measured by their productivity either through revenue per Senior Managing Director or other metrics including asset growth for Portfolio and Client Relationship Managers. None of our employees are subject to any collective bargaining agreements, and we believe we have good relations with our employees.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leading independent investment banking advisory firm, our core asset is our professional staff, including their intellectual capital and their dedication to providing the highest quality services to our clients. Prior to joining Evercore, many of our Senior Managing Directors, Portfolio and Client Relationship Managers and Senior Research and Sales and Trading Professionals held senior level positions with other leading corporations, financial services firms, or investment firms.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investment management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believe our primary competitors in securing advisory, restructuring and capital markets advisory engagements include Bank of America, Barclays, Citigroup, Credit Suisse, Goldman Sachs, JPMorgan Chase, Lazard, Morgan Stanley, UBS and other large investment banking firms, as well as investment banking boutiques such as Blackstone, Centerview, Greenhill, Moelis and Perella Weinberg, among others. Our Institutional Equities business is subject to competition from investment banks and other large and small financial institutions who offer similar services.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we face a range of competitors in our Investment Management business, with numerous other firms providing competitive services in each of our sectors. In our Institutional Asset Management sector, each of Atalanta Sosnoff, EAM, ETC and PCB face substantial competition from a large number of asset management and trust companies, many of which are larger, more established firms with greater brand name recognition and more extensive client networks and product offerings. Our Wealth Management sector competes with domestic and global private banks, regional broker-dealers, independent broker-dealers, registered investment advisors, commercial banks, trust companies and other financial services firms offering wealth management services to U.S. clients, many of which have substantially greater resources and offer a broader range of services. In our Private Equity sector, our competition includes private equity funds of all sizes, and we expect to face competition both for our private equity funds and, in Mexico, in making acquisitions of portfolio companies.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 is the federal agency responsible for the administration of the federal securities laws. Evercore Group L.L.C. (“EGL”), a wholly-owned subsidiary of ours through which we conduct our investment banking business, is registered as a broker-dealer with the SEC and the Financial Industry Regulatory Authority (“FINRA”), and is registered as a broker-dealer in all 50 states and the District of Columbia. EGL is subject to regulation and oversight by the SEC. FINRA, a self-regulatory organization that is subject to oversight by the SEC, adopts and enforces rules governing the conduct, and examines the activities, of its member firms, including EGL. State securities regulators also have regulatory or oversight authority over EGL. In addition, as a result of regulatory initiatives adopted in 2010, EGL has recently become subject to regulation by the Municipal Securities Rulemaking Board (the “MSRB”) with respect to certain activities of PFG.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sales methods, trade practices among broker-dealers,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Our broker-dealer subsidiary is also subject to regulations, including the USA PATRIOT Act of 2001, which impose obligations regarding the prevention and detection of money- laundering activities, including the establishment of customer due diligence and other compliance policies and procedures. Failure to comply with these requirements may result in monetary, regulatory and, in certain cases, criminal penalties.</w:t>
      </w:r>
    </w:p>
    <w:p>
      <w:pPr>
        <w:spacing w:after="0" w:line="12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Three of our affiliates, EWM, EAM and Atalanta Sosnoff, are registered as investment advisors with the SEC. In addition, as a result of recent regulatory initiatives, we expect that Evercore Advisors L.L.C., as investment advisor to Evercore Capital Partners II L.P. and its affiliated entities (“ECP II”), will become subject to the Investment Advisers Act of 1940 and will be required to register with the SEC as an investment advisor.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 EWM is also an investment advisor to the Wall Street Fund, a registered investment company, which subjects EWM to additional regulations under the Investment Company Act of 1940 (the “1940 Act”). ETC, which is limited to fiduciary activities, is regulated by the Office of the Comptroller of the Currency (“OCC”) and is a member bank of the Federal Reserve System.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PCB is authorized by the Mexican Ministry of Finance to act as a broker-dealer and financial advisor in accordance with the Mexican Securities Market Law. PCB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PCB. Since August 2009, PCB has been authorized by the Mexican National Banking and Securities Commission to act as a trustee and to operate in the equity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Authorization by the Financial Services Authority (“FSA”). </w:t>
      </w:r>
      <w:r>
        <w:rPr>
          <w:rFonts w:ascii="Arial" w:cs="Arial" w:eastAsia="Arial" w:hAnsi="Arial"/>
          <w:sz w:val="16"/>
          <w:szCs w:val="16"/>
          <w:color w:val="auto"/>
        </w:rPr>
        <w:t>The current U.K. regulatory regime is based upon the Financial Services and Markets Act 2000</w:t>
      </w:r>
      <w:r>
        <w:rPr>
          <w:rFonts w:ascii="Arial" w:cs="Arial" w:eastAsia="Arial" w:hAnsi="Arial"/>
          <w:sz w:val="16"/>
          <w:szCs w:val="16"/>
          <w:i w:val="1"/>
          <w:iCs w:val="1"/>
          <w:color w:val="auto"/>
        </w:rPr>
        <w:t xml:space="preserve"> </w:t>
      </w:r>
      <w:r>
        <w:rPr>
          <w:rFonts w:ascii="Arial" w:cs="Arial" w:eastAsia="Arial" w:hAnsi="Arial"/>
          <w:sz w:val="16"/>
          <w:szCs w:val="16"/>
          <w:color w:val="auto"/>
        </w:rPr>
        <w:t>(the “FSMA”), together with secondary legislation and other rules made under the FSMA. Under section 19 of the FSMA, it is an offense for any person to carry on “regulated activities” in the United Kingdom unless it is an authorized person or otherwise exempt from the need to be authorized. The various “regulated activities” are set out in the FSMA (Regulated Activities) Order 2001 (as amended). They include, among other things: advising on investments; arranging deals in investments; dealing in investments as agent; managing investments (</w:t>
      </w:r>
      <w:r>
        <w:rPr>
          <w:rFonts w:ascii="Arial" w:cs="Arial" w:eastAsia="Arial" w:hAnsi="Arial"/>
          <w:sz w:val="16"/>
          <w:szCs w:val="16"/>
          <w:i w:val="1"/>
          <w:iCs w:val="1"/>
          <w:color w:val="auto"/>
        </w:rPr>
        <w:t>i.e.</w:t>
      </w:r>
      <w:r>
        <w:rPr>
          <w:rFonts w:ascii="Arial" w:cs="Arial" w:eastAsia="Arial" w:hAnsi="Arial"/>
          <w:sz w:val="16"/>
          <w:szCs w:val="16"/>
          <w:color w:val="auto"/>
        </w:rPr>
        <w:t>, portfolio management) and the safeguarding and administration of assets (including the arranging of such safeguarding and administration).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color w:val="auto"/>
        </w:rPr>
        <w:t xml:space="preserve">Regulatory capital. </w:t>
      </w:r>
      <w:r>
        <w:rPr>
          <w:rFonts w:ascii="Arial" w:cs="Arial" w:eastAsia="Arial" w:hAnsi="Arial"/>
          <w:sz w:val="16"/>
          <w:szCs w:val="16"/>
          <w:color w:val="auto"/>
        </w:rPr>
        <w:t>Regulatory capital requirements form an integral part of the FSA’s prudential supervision of FSA authorized firms. The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rules oblige firms to hold a certain amount of capital at all times (taking into account the particular risks to which the firm may be exposed given its business activities), thereby helping to ensure that firms can meet their liabilities as they fall due and safeguarding their (and their counterparties’) financial stability. The FSA also expects firms to take a proactive approach to monitoring and managing risks, consistent with its high level requirement for firms to have adequate financial resources. Regulatory capital requirements exist on two levels. The first is a solo requirement aimed at individual authorized entities (with the relevant firm being required to submit periodic reports to demonstrate compliance with the relevant requirement). The second is a consolidated (or group) requirement and relates to a part of or the entire group of which an authorized firm or firms form part. The FSA’s rules in relation to capital requirements were updated in 2007 to implement the recast EU Capital Requirements Directive (“CRD”), which came fully into force in the United Kingdom in January 2007. The CRD, which amended two capital requirements directives (The Banking Consolidation Directive and the Capital Adequacy Directive), introduced a more risk-sensitive approach to capital adequacy (with a particular emphasis on operational risk).</w:t>
      </w:r>
    </w:p>
    <w:p>
      <w:pPr>
        <w:spacing w:after="0" w:line="12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 xml:space="preserve">Anti-Money laundering. </w:t>
      </w:r>
      <w:r>
        <w:rPr>
          <w:rFonts w:ascii="Arial" w:cs="Arial" w:eastAsia="Arial" w:hAnsi="Arial"/>
          <w:sz w:val="16"/>
          <w:szCs w:val="16"/>
          <w:color w:val="auto"/>
        </w:rPr>
        <w:t>The U.K. Money Laundering Regulations 2007 came into force on December 15, 2007. The regulations, which implement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EU Money Laundering Directive, require firms to have procedures in place to prevent money laundering and to take a risk-based approach to focus the efforts where they are most needed. This approach includes client due diligence, monitoring, staff training and awareness. Failure to maintain the necessary procedures is a criminal offense. The Proceeds of Crime Act 2002 also contains a number of offenses in relation to money laundering.</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Regulatory Framework in the European Union. </w:t>
      </w:r>
      <w:r>
        <w:rPr>
          <w:rFonts w:ascii="Arial" w:cs="Arial" w:eastAsia="Arial" w:hAnsi="Arial"/>
          <w:sz w:val="16"/>
          <w:szCs w:val="16"/>
          <w:color w:val="auto"/>
        </w:rPr>
        <w:t>Evercore Europe has obtained the appropriate European investment services passport rights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cross-border services into a number of other members of the European Economic Area, which we refer to as the EEA. This “passport” derives from the pan-European regime established by the EU Markets in Financial Instruments Directive (“MiFID”), which regulates the provision of investment services and activities throughout the EEA. MiFID provides investment firms which are authorized in any one EEA member state the right to provide investment services on a cross-border basis, or through the establishment of a branch to clients located in other EEA member states (known as “host member states”) on the basis of their home member state authorization without the need for separate authorization by the competent authorities in the relevant host member state. This practice is known as “passporting”. MiFID was required to be implemented across the EEA on November 1, 2007. MiFID made substantial and important changes to the way in which our business is conducted across the EEA. These include, among others, an extension to the scope of the “passport” but also clarification that the conduct of business rules of a host member state are not to apply to a firm providing services within its territory on a cross-border basis (host member state conduct of business rules will apply to branches). Evercore Europe has implemented MiFID, and we believe our business is now compliant with the requirements of MiFID.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Hong Kong, the Securities and Futures Commission (“SFC”) regulates our subsidiary, Evercore Asia Limited. The compliance requirements of the SFC include, among other things, net capital requirements and stockholders’ equity requirements. The SFC regulates the activities of the officers, directors, employees and other persons affiliated with Evercore Asia Limited, and require the registration of such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promulgated by financial authorities and self-regulatory organizations or changes in the interpretation or enforcement of existing laws and rules, either in the United States or elsewhere, may directly affect our mode of operation and profitability.</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regulated entity or its directors, officers or employees.</w:t>
      </w:r>
    </w:p>
    <w:p>
      <w:pPr>
        <w:spacing w:after="0" w:line="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Difficult market conditions may adversely affect our business in many ways, including reducing the volume of the transactions involving our Investment Banking business and reducing the value of the assets we manage in our Investment Management businesses, which, in each case, may materially reduce our revenue or income.</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Global financial markets and economic conditions are negatively impacted by many factors beyond our control, including inability to access credit markets, rising interest rates or inflation, terrorism or political uncertainty. Financial market and economic conditions have been volatile in the last several years, and challenging conditions have persisted. A continuation of these conditions could reduce the demand for our services and present new challenges. Revenue generated by our Investment Banking business is directly related to the volume and value of the transactions in which we are involved. During periods of unfavorable market and economic conditions, our operating results may be adversely affected by a decrease in the volume and value of M&amp;A transactions and increasing price competition among financial services companies seeking advisory engagements. It also may lead to a reduction in revenues from our trading, underwriting and placement agent activities.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a market or general economic downturn, our Institutional Asset and Wealth Management businesses would also be expected to generate lower revenue because the management fees we receive are typically based on the market value of the securities that comprise the assets we manage. In addition, due to uncertainty or volatility in the market or in response to difficult market conditions, clients may withdraw funds from these businesses in favor of investments they perceive as offering greater opportunity or lower risk. Difficult market conditions can also materially adversely affect our ability to launch new products or offer new services in our Institutional Asset or Wealth Management businesses, which could negatively affect our ability to increase AUM. In each case, management fees based on AUM would be negatively affected. Moreover, difficult market conditions may negatively impact the private equity funds that we manage by further reducing valuations and curtailing opportunities to exit and realize value from their investments.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Our profitability may also be adversely affected by our fixed costs and costs associated with new or expanded lines of business and the possibility that we would be unable to scale back these costs within a time frame sufficient to match any decreases in revenue relating to changes in market and economic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senior professionals, including our executive officers, and the loss of their services could have a material adverse effect on us.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senior leadership team’s reputations and relationships with clients and potential clients are critical elements in maintaining and expanding our businesses. For example, our Investment Banking business is dependent on our senior Investment Banking professionals and on a small number of senior research analysts, traders and executives. In addition, Atalanta Sosnoff, EWM, ETC and EAM, are dependent on a small number of senior portfolio managers and executives. Further, the operations and performance of G5 and Pan are dependent on a small number of senior executives. Our professionals possess substantial experience and expertise and strong client relationships. The loss of these personnel could jeopardize our relationships with clients and result in the loss of client engagements and revenues.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have experienced growth over the past several years, which may be difficult to sustain and which may place significant demands on our administrative, operational and financial resources.</w:t>
      </w:r>
    </w:p>
    <w:p>
      <w:pPr>
        <w:spacing w:after="0" w:line="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future growth will depend, among other things, on our ability to successfully identify practice groups and individuals to join our firm. It may take more than one year for us to determine whether new advisory professionals will be profitable or effective. Typically, we hire new Senior Managing Directors and other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seasoned advisory professionals in the middle of a calendar year, but the new hires do not begin to generate significant revenue until the following calendar year. During that time, we may incur significant expenses and expend significant time and resources on training, integration and business development. If we are unable to hire and retain profitable professionals, we will not be able to implement our growth strategy and our financial results may be materially adversely affected.</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expect our growth to continue, including in our new lines of business, which could place additional demands on our resources and increase our expenses. For example, even when we only partner, enter into strategic alliances or take minority stakes in other businesses, we are often required to commit additional resources to maintain appropriate operational, legal, regulatory and financial systems to adequately support expansion. We cannot provide assurance that our financial controls, the level of knowledge of our personnel, our operational abilities, our legal and compliance controls and our other corporate support systems will be adequate to manage our expanding operations effectively. Any failure to do so could adversely affect our ability to pursue our growth strategy, generate revenue and control expenses.</w:t>
      </w:r>
    </w:p>
    <w:p>
      <w:pPr>
        <w:spacing w:after="0" w:line="20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If we are unable to consummate additional acquisitions or joint ventures on attractive terms, we may not be able to implement our growth strategy successfully.</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growth strategy is based, in part, on expanding our various businesses through additional acquisitions, entering into joint ventures and strategic alliances, and internally developing new opportunities that are complementary to our existing businesses and where we think we can add substantial value or generate substantial returns. The success of this strategy will depend on, among other things:</w:t>
      </w:r>
    </w:p>
    <w:p>
      <w:pPr>
        <w:spacing w:after="0" w:line="2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suitable opportunities and capital resources to effect our strategy;</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competition from other companies that may have greater financial resources than we do or may not require the same level of disclosure of these activities;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value acquisition and investment candidates accurately and negotiate acceptable terms for those acquisitions and investments;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enter into mutually beneficial relationships with joint venture partners.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Acquiring the equity of an existing business or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A material liability associated with an acquisition, especially where there is no right to indemnification, could adversely affect our operating results, financial condition and liquidity.</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If we are not successful in implementing our growth strategy, our business and results and the market price for our Class A common stock may be adversely affected.</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inability to develop, integrate and manage recently added capabilities, joint ventures, alliances and acquired businesses successfully could have adverse consequences to our business.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processes involved in integrating acquired businesses, providing a platform for new businesses and partnering with other firms may be disruptive to our business and may cause an interruption or reduction of our business as a result of the following factors, among others:</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key employees or customers;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inconsistencies in or conflicts between standards, controls, procedures and policies and the need to implement company-wide financial, accounting, information technology and other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maintain the quality of services that have historically been provided;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coordinate geographically diverse organizations;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our day-to-day business as a result of the need to manage any disruptions and difficulties and the need to add management resources to do so.</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These disruptions and difficulties, if they occur, may cause us to fail to realize the cost savings, revenue enhancements and other benefits that we expect to result from our acquisitions and other growth initiatives. In addition, acquisitions, start-ups and internally developed initiatives generally result in increased operating and administrative costs as the necessary infrastructure, IT and legal and compliance systems, controls and personnel are put in place.</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Even if we are able to integrate the operations of acquired businesses into our operations or successfully launch start-up businesses, we may not realize the full benefits of the cost savings, revenue enhancements or other benefits that we may have expected at the time of approving the transaction. Our analyses of the benefits and costs of expanding our businesses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our analyses and their underlying assumptions to be reasonable, they are estimates that are necessarily speculative in nature. In addition, new regulatory requirements and conflicts may reduce the synergies that we expect to result from our growth initiatives. Even if we achieve the expected benefits, we may not be able to achieve them within the anticipated time frame. Also, the cost savings and other synergies from these acquisitions may be offset by costs incurred in integrating the companies, increases in other expenses or problems in the business unrelated to these acquisitions. In the case of joint ventures, we are subject to additional risks and uncertainties in that we may be dependent upon, and subject to liability, losses or reputational damage relating to personnel, systems and activities that are not under our direct and sole control, and conflicts and disagreements between us and our joint venture partners may negatively impact our business.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inability to develop, integrate and manage acquired companies, joint venture or other strategic relationships and growth initiatives successfully, and the costs associated with those efforts, could have material adverse short- and long-term effects on our operating results, financial condition and liquidity.</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5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revenue and profits are highly volatile. We generally derive Investment Banking revenue from a limited number of engagements that generate significant fees at key transaction milestones, such as closing, and the timing of these milestones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earn a majority of our revenue from advisory engagements, and, in many cases, we are not paid until the successful consummation of the underlying M&amp;A transaction or restructuring. As a result, our Investment Banking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Institutional Asset Management and Wealth Management, our revenue includes management fees from funds we manage. These revenues are dependent upon the amount of AUM, which can decline as a result of market depreciation, withdrawals or otherwise, as well as the performance of the funds. The timing of flows, contributions and withdrawals are often out of our control, can occur on short notice, and may be inconsistent from quarter to quarter. See “—</w:t>
      </w:r>
      <w:r>
        <w:rPr>
          <w:rFonts w:ascii="Arial" w:cs="Arial" w:eastAsia="Arial" w:hAnsi="Arial"/>
          <w:sz w:val="16"/>
          <w:szCs w:val="16"/>
          <w:i w:val="1"/>
          <w:iCs w:val="1"/>
          <w:color w:val="auto"/>
        </w:rPr>
        <w:t>The amount</w:t>
      </w:r>
      <w:r>
        <w:rPr>
          <w:rFonts w:ascii="Arial" w:cs="Arial" w:eastAsia="Arial" w:hAnsi="Arial"/>
          <w:sz w:val="16"/>
          <w:szCs w:val="16"/>
          <w:color w:val="auto"/>
        </w:rPr>
        <w:t xml:space="preserve"> </w:t>
      </w:r>
      <w:r>
        <w:rPr>
          <w:rFonts w:ascii="Arial" w:cs="Arial" w:eastAsia="Arial" w:hAnsi="Arial"/>
          <w:sz w:val="16"/>
          <w:szCs w:val="16"/>
          <w:i w:val="1"/>
          <w:iCs w:val="1"/>
          <w:color w:val="auto"/>
        </w:rPr>
        <w:t>and mix of our AUM are subject to significant fluctuations</w:t>
      </w:r>
      <w:r>
        <w:rPr>
          <w:rFonts w:ascii="Arial" w:cs="Arial" w:eastAsia="Arial" w:hAnsi="Arial"/>
          <w:sz w:val="16"/>
          <w:szCs w:val="16"/>
          <w:color w:val="auto"/>
        </w:rPr>
        <w:t>.” In addition, a portion of our Institutional Asset Management revenue is derived from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fees, which vary depending on the performance of the investments we select for the funds and clients we manage, which could cause our revenue and profits to fluctuate. Even in the absence of a market downturn, below-market investment performance by our funds and portfolio managers could reduce AUM and asset management revenues.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Private Equity, we record revenue from performance fees, or carried interest, when the returns on the private equity funds’ investments exceed certain minimum thresholds. In addition, if a fund performs poorly, we may be obligated to reverse previously recorded performance fee revenue under “claw-back” provisions. Our Private Equity revenue also includes our allocable share, based on our investments in the funds managed by our Private Equity business, of unrealized (“mark-to-market”) as well as realized gains and losses reported by such funds. As a result, because the investment returns of our Private Equity funds are uncertain and difficult to predict, the revenue we derive from our Private Equity business can be volatile from quarter to quarter and year to year. Management fees are contractually based and are derived from Investment Management services provided in originating, recommending and consummating investment opportunities to private equity funds. Management fees are typically paid based on committed capital during the private equity funds’ investment period, and on invested capital thereafter. These management fees are dependent on the Company’s ability to raise new funds and committed capital. The management fees for Evercore Capital Partners L.P. and its affiliated entities (“ECP I”) were terminated pursuant to an amendment to the ECP I Partnership Agreement. ECP II is not expected to make any additional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deal appropriately with conflicts of interest could damage our reputation and materially adversely affect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we have expanded the scope of our businesses and client base, we increasingly confront actual and potential conflicts of interest relating to our Investment Banking (including Institutional Equities) and Investment Management businesses. It is possible that actual, potential or perceived conflicts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in a number of ways, including an inability to raise additional funds and a reluctance of counterparties to do business with us.</w:t>
      </w:r>
    </w:p>
    <w:p>
      <w:pPr>
        <w:spacing w:after="0" w:line="147"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Policies, controls and procedures that we may be required to implement to address additional regulatory requirements, including as a result of our Institutional Equities business and expansion into underwriting activities, or to mitigate actual or potential conflicts of interest, may result in increased costs, including for additional personnel and infrastructure and IT improvements, as well as limit our activities and reduce the positive synergies that we seek to cultivate across our businesses.</w:t>
      </w:r>
    </w:p>
    <w:p>
      <w:pPr>
        <w:spacing w:after="0" w:line="22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have been a number of highly-publicized cases involving fraud or other misconduct by employees in the financial services industry, and there is a risk that our employees could engage in misconduct that adversely affects our business. For example, our Investment Banking business often requires that we deal with confidential matters of great significance to our clients. If our employees were to improperly use or disclose confidential information provided by our clients, we could be subject to regulatory sanctions and suffer serious harm to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M&amp;A financial advisors has been increasing. Our M&amp;A advisory activities may subject us to the risk of significant legal liability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addition, a portion of our M&amp;A advisory fees are obtained from restructuring clients, and often these clients do not have sufficient resources to indemnify us for costs and expenses associated with third-party subpoenas and, to the extent claims are not barred as part of the reorganization process, direct claims.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In our Investment Management business, we make investment decisions on behalf of our clients that could result in substantial losses. This also may subject us to the risk of legal liability or actions alleging negligent misconduct, breach of fiduciary duty or breach of contract. These risks often may be difficult to assess or quantify and their existence and magnitude often remain unknown for substantial periods of time. Substantial legal liability or legal expenses incurred in defending against litigation could materially adversely affect our business, financial condition, operating results or liquidity or cause significant reputational harm to us, which could seriously harm our business.</w:t>
      </w:r>
    </w:p>
    <w:p>
      <w:pPr>
        <w:spacing w:after="0" w:line="2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Extensive and evolving regulation of our businesses exposes us to the potential for significant penalties and fines due to compliance failures, increases our costs and limits on our ability to engage in certain activities.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financial services industry is subject to extensive regulation. Our Investment Banking and Investment Management businesses are subject to regulation in the United States, including by the SEC, OCC, FINRA and the MSRB. In Mexico, our business is regulated by the Mexican Ministry of Finance and the Mexican National Banking and Securities Commission, our European business is subject to regulation by the FSA in the United Kingdom and our Hong Kong business is subject to regulation by the Hong Kong SFC. In addition, three of our affiliates are registered as investment advisors with the SEC. Registered investment advisors are subject to the requirements and regulations of the Investment Advisers Act of 1940, and we are an advisor to a registered investment company subject to the 1940 Act. Such requirements relate to, among other things, recordkeeping and reporting requirements, disclosure requirements, limitations on agency cross and principal transactions between an advisor and advisory clients, as well as general anti-fraud prohibitions. Our failure to comply with applicable laws or regulations could result in adverse publicity and reputational harm as well as fines, suspensions of personnel or other sanctions, including revocation of the registration of us or any of our subsidiaries as an investment adviser or broker-dealer. Our businesses are subject to periodic examination by various regulatory authorities, and we cannot predict the outcome of any such examinations. In addition, adverse regulatory scrutiny of any of our strategic partners could have a material adverse effect on our business and reputation.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Over the last several years, global financial markets have experienced extraordinary disruption and volatility, and highly-publicized financial scandals and alleged improprieties by financial market participants have led to concerns about the integrity of the U.S. financial markets. As a result, various U.S. and foreign government agencies and regulatory bodies have taken, and may take further, actions to expand laws, rules, regulations and standards that may be applicable to our activities. Our ability to conduct business and our operating results, including compliance costs, may be adversely affected as a result of any new requirements imposed by the SEC, other U.S. or foreign governmental regulatory authorities or self-regulatory organizations that regulate financial services firms or supervise financial markets. We also may be adversely affected by changes in the interpretation or enforcement of existing laws and rules by these governmental authorities and self-regulatory organizations. In addition, some of our clients or prospective clients may adopt policies that exceed regulatory requirements and impose additional restrictions. For example, certain public pension funds will not invest in funds where a placement agent or other solicitor was involved.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Operational Risks.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face various operational risks related to our businesses on a day-to-day basis, particularly in our Institutional Equities and Institutional Asset Management and Wealth Management businesses in which we must consistently and reliably obtain securities pricing information, process client transactions and provide reports and other customer service to our clients. Any failure to keep accurate books and records can render us liable to disciplinary action by governmental and self-regulatory authorities, as well as to claims by our clients. Our financial, accounting, compliance, trading or other data processing systems, including the systems of third parties on whom we rely, may not operate properly or may become disabled, including for reasons beyond our control. In that event, or if there are shortcomings or failures in our internal processes, people or systems, or the processes, people or systems of third parties on whom we rely, we could suffer a disruption of our business, financial losses, liability to clients, regulatory sanctions and damage to our reputation.</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We cannot provide assurance that we will maintain a level of cash flows from operating activities sufficient to permit us to pay the principal of, and interest on, our indebtedness, including the $120.0 million principal amount of senior unsecured notes issued to Mizuho Corporate Bank, Ltd. (“Mizuho”) due 2020 with a 5.20% coupon (the “Senior Notes”). If our cash flows and capital resources are insufficient to fund our debt service obligations and our contingent obligations to fund our redeemable noncontrolling interest, we may be forced to reduce or delay investments and capital expenditures, or to sell assets, seek additional capital or restructure or refinance our indebtedness, including the Senior Notes and other contractual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attract and retain high quality, experienced professionals.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anticipate that it will be necessary for us to add financial professionals as we pursue our growth strategy, including continuing to expand our new lines of business. Due to the start-up nature of many of our businesses and competition from other firms, we may face difficulties in recruiting and retaining professionals of a caliber consistent with our business strategy. In particular, many of our competitors are significantly larger with greater financial resources, and may be able to offer more attractive compensation packages and broader career opportunities.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Investment Banking Business</w:t>
      </w:r>
    </w:p>
    <w:p>
      <w:pPr>
        <w:spacing w:after="0" w:line="177" w:lineRule="exact"/>
        <w:rPr>
          <w:sz w:val="20"/>
          <w:szCs w:val="20"/>
          <w:color w:val="auto"/>
        </w:rPr>
      </w:pPr>
    </w:p>
    <w:p>
      <w:pPr>
        <w:jc w:val="both"/>
        <w:ind w:right="160"/>
        <w:spacing w:after="0" w:line="357" w:lineRule="auto"/>
        <w:rPr>
          <w:sz w:val="20"/>
          <w:szCs w:val="20"/>
          <w:color w:val="auto"/>
        </w:rPr>
      </w:pPr>
      <w:r>
        <w:rPr>
          <w:rFonts w:ascii="Arial" w:cs="Arial" w:eastAsia="Arial" w:hAnsi="Arial"/>
          <w:sz w:val="15"/>
          <w:szCs w:val="15"/>
          <w:b w:val="1"/>
          <w:bCs w:val="1"/>
          <w:i w:val="1"/>
          <w:iCs w:val="1"/>
          <w:color w:val="auto"/>
        </w:rPr>
        <w:t>A majority of our revenue is derived from advisory assignments for Investment Banking clients, which are not long-term contracted sources of revenue and are subject to intense competition, and declines in these engagements could have a material adverse effect on our financial condition and operating results.</w:t>
      </w:r>
    </w:p>
    <w:p>
      <w:pPr>
        <w:ind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Investment Banking fees paid to us by our Investment Banking clients. These fees are typically payable upon the successful completion of a particular transaction or restructuring. Investment Banking services accounted for 80%, 93% and 96% of Net Revenues in 2010, 2009 and 2008, respectively. We expect that we will continue to rely on Investment Banking fees for a substantial portion of our revenue for the foreseeable future. Accordingly, a decline in our Investment Banking engagements or the market for Investment Banking services would adversely affect our business.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our Investment Banking business operates in a highly-competitive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 high percentage of our net revenue is derived from a small number of Investment Banking clients, and the termination of any one advisory engagement could reduce our revenue and harm our operating results.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year, we advise a limited number of Investment Banking clients. Our top five Investment Banking clients accounted for 21%, 44% and 21% of Net Revenues in 2010, 2009 and 2008, respectively. The composition of the group comprising our largest Investment Banking clients varies significantly from year to year, and a relatively small number of clients may account for a significant portion of our Investment Banking Revenues. As a result, our operating results, financial condition and liquidity may be significantly affected by even one lost mandate or the failure of one advisory assignment to be completed. For the year ended December 31, 2009, two clients accounted for more than 10% of the Company’s consolidated Net Revenues. No clients accounted for more than 10% of our Net Revenues for the years ended December 31, 2010 and 2008.</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Investment Banking business in the future as some of our competitors seek to obtain increased market share by reducing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Institutional Equities business’ reliance on non-affiliated third-party service providers subjects us to operational risks.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Institutional Equities business has entered into service agreements with third-party service providers for client order management and the execution and settlement of client securities transactions. Our business faces the risk of operational failure of any of our clearing agents, the exchanges, clearing houses or other intermediaries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to facilitate our securities transactions. Our senior management and officers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trading activities expose us to risks.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incur losses and be subject to reputational harm to the extent that, for any reason, we are unable to sell securities we purchased as an underwriter at the anticipated price levels. As an underwriter, we also are subject to liability for material misstatements or omissions in prospectuses and other offering documents relating to offerings we underwrite. In addition, through indemnification provisions in our agreement with our clearing organization, customer activities may expose us to off-balance-sheet credit risk. Financial instruments may have to be purchased or sold at prevailing market prices in the event a customer fails to settle a trade on its original terms. We seek to manage the risks associated with customer trading activities through customer screening and trading procedures.</w:t>
      </w:r>
    </w:p>
    <w:p>
      <w:pPr>
        <w:spacing w:after="0" w:line="300" w:lineRule="exact"/>
        <w:rPr>
          <w:sz w:val="20"/>
          <w:szCs w:val="20"/>
          <w:color w:val="auto"/>
        </w:rPr>
      </w:pPr>
    </w:p>
    <w:p>
      <w:pPr>
        <w:ind w:right="3580" w:firstLine="3589"/>
        <w:spacing w:after="0" w:line="394" w:lineRule="auto"/>
        <w:rPr>
          <w:sz w:val="20"/>
          <w:szCs w:val="20"/>
          <w:color w:val="auto"/>
        </w:rPr>
      </w:pPr>
      <w:r>
        <w:rPr>
          <w:rFonts w:ascii="Arial" w:cs="Arial" w:eastAsia="Arial" w:hAnsi="Arial"/>
          <w:sz w:val="18"/>
          <w:szCs w:val="18"/>
          <w:b w:val="1"/>
          <w:bCs w:val="1"/>
          <w:color w:val="auto"/>
        </w:rPr>
        <w:t xml:space="preserve">Risks Relating to Our Investment Management Business </w:t>
      </w:r>
      <w:r>
        <w:rPr>
          <w:rFonts w:ascii="Arial" w:cs="Arial" w:eastAsia="Arial" w:hAnsi="Arial"/>
          <w:sz w:val="18"/>
          <w:szCs w:val="18"/>
          <w:b w:val="1"/>
          <w:bCs w:val="1"/>
          <w:i w:val="1"/>
          <w:iCs w:val="1"/>
          <w:color w:val="auto"/>
        </w:rPr>
        <w:t>The Investment Management business is intensely competitive.</w:t>
      </w:r>
    </w:p>
    <w:p>
      <w:pPr>
        <w:spacing w:after="0" w:line="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Investment Management business is intensely competitive, with competition based on a variety of factors, including investment performance, the quality of service provided to clients, innovation, product mix and offerings, distribution relationships, fees charged, brand recognition and business reputation.</w:t>
      </w:r>
    </w:p>
    <w:p>
      <w:pPr>
        <w:spacing w:after="0" w:line="8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Investment Management business competes with a wide range of other investment management providers, including asset management firms and broker-dealers, mutual funds and hedge fund complexes, commercial banks, insurance companies, private equity and venture capital firms and other financial institutions. A number of factors serve to increase our competitive risks:</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number of our competitors have more experience, greater financial and other resources and more personnel than we do;</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investment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investment professionals and other employees away from us;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our investment management businesses are newly established and relatively small</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retain our personnel and increase AUM, any of which would adversely impact our revenue and earnings.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and mix of our AUM are subject to significant fluctuations.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revenues and profitability of our Asset Management and Wealth Management businesses are derived from providing investment management and related services. The level of our revenues depends largely on the level and mix of AUM. Fluctuations in the amount and mix of our AUM may be attributable in part to market conditions outside of our control that have had, and in the future could have, a negative impact on our revenues and income. Any decrease in the value or amount of our AUM because of market volatility or other factors negatively impacts our revenues and income. We are subject to an increased risk of asset volatility from changes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global financial and equity markets. Individual financial and equity markets may be adversely affected by economic, political, financial, or other instabilities that are particular to the country or regions in which a market is located, including without limitation local acts of terrorism, economic crises or other business, social or political crises. Declines in these markets have caused in the past, and may cause in the future, a decline in our revenues and income. Global economic conditions, exacerbated by war or terrorism or financial crises, changes in the equity market place, currency exchange rates, interest rates, inflation rates, the yield curve, and other factors that are difficult to predict affect the mix, market values and levels of our AUM. A decline in the price of stocks or bonds, or in particular market segments, or in the securities market generally, could cause the value and returns on our AUM to decline, resulting in a decline in our revenues and income. Moreover, changing market conditions may cause a shift in our asset mix between international and U.S. assets, potentially resulting in a decline in our revenue and income depending upon the nature of our AUM and the level of management fees we earn based on them. Additionally, changing market conditions may cause a shift in our asset mix towards fixed-income products and a related decline in our revenue and income, as in the U.S. we generally derive higher fee revenues and income from equity assets than from fixed-income products we manage.</w:t>
      </w:r>
    </w:p>
    <w:p>
      <w:pPr>
        <w:spacing w:after="0" w:line="2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the investments we make on behalf of our funds and clients perform poorly, we will suffer a decline in our investment management revenue and earnings and our ability to raise capital from clients or for future funds may be adversely affected.</w:t>
      </w:r>
    </w:p>
    <w:p>
      <w:pPr>
        <w:spacing w:after="0" w:line="51"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Revenue from our Institutional Asset Management and Wealth Management businesses is derived from fees earned for our management of client assets, generally based on the market value of AUM. Poor investment performance by these businesses, on an absolute basis or as compared to third-party benchmarks or competitors, could stimulate higher redemptions, thereby lowering AUM and reducing the fees we earn, even in periods when securities prices are rising generally. In addition, if the investments we make on behalf of our funds and clients perform poorly, it may be more difficult for us to attract new investors, launch new products or offer new services in our Institutional Asset or Wealth Management businesses. In our Private Equity business, our revenues include management fees based on committed or invested capital and performance fees. If our private equity investments perform poorly, whether on a realized or unrealized basis, our revenues and earnings will suffer. Poor performance by our private equity investments may also make it more difficult for us to raise any new funds in the future, may result in such fundraising taking longer to complete than anticipated or may prevent us from raising such funds. In addition, to the extent that, over the life of the funds, we have received an amount of carried interest that exceeds a specified percentage of distributions made to the third-party investors in our funds, we may be obligated to repay the amount of this excess to the third-party investors.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 Management business’ reliance on non-affiliated third-party service providers subjects the Company to operational risks.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services agreements with third-party service providers for custodial services and trust and investment administration processing and reporting services. Our officers oversee and manage these relationships; however, poor oversight and control on our part or inferior performance or service on the part of the service providers could result in loss of customers, violation of applicable rules and regulations, including, but not limited to, privacy and anti-money laundering laws and otherwise adversely affect our business and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comply with agreements it has entered into with the OCC, the Company could be adversely affected.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organization of ETC, the OCC required the Company and Evercore LP to enter into a Capital and Liquidity Support Agreement, a Capital and Liquidity Maintenance Agreement and other related agreements (collectively, the “OCC Agreements”). The OCC Agreements require the Company’s and Evercore LP’s continuing obligation to provide ETC necessary capital and liquidity support in order to ensure that ETC continues to operate safely and soundly and in accordance with applicable laws and regulations. In particular, the OCC Agreements require that the Company and Evercore LP (1) maintain at least $5 million in Tier 1 capital in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ETC or such other amount as the OCC may require, (2) maintain liquid assets in ETC in an amount at least equal to the greater of $3.5 million or 90 days coverage of ETC’s operating expenses and (3) provide at least $10 million of certain collateral held in a segregated account at a third-party depository institution.</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fail to comply with any of the OCC Agreements, we could become subject to civil money penalties, regulatory enforcement actions, payment of damages and, if the OCC deems it likely that we are unable to fulfill our obligations or breach the OCC Agreements, a forced disposition of ETC. The occurrence of any of these events or the disclosure that these events are probable or under consideration may cause reputational harm and erosion of client trust, due to a perception that we are unable to comply with applicable regulatory requirements, unable to successfully launch new initiatives and businesses, or that our reputation for integrity and high-caliber professional services is no longer valid, any of which could adversely affect our business and operations.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due diligence process that we undertake in connection with private equity investments may not reveal all facts that may be relevant in connection with an investment.</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Before Evercore Mexico Capital Partners II (“EMCP II”) makes an investment,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accountants and investment banks may be involved in the due diligence process in varying degrees depending on the type of investment.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may be necessary or helpful in evaluating such investment opportunity. Moreover, such an investigation will not necessarily result in the investment being successful.</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Valuation methodologies for certain assets in our private equity funds can be subject to significant subjectivity, and the values of assets established pursuant to such methodologies may never be realized, which could result in significant losses for our funds.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made principal investments in ECP II, EMCP II, Discovery Americas I L.P., CITIC Securities International Partners, LTD and a private equity fund managed by Trilantic. These funds generally invest in relatively high-risk, illiquid assets. Contributing capital to these funds is risky, and we may lose some or all of the principal amount of our investments. There are no regularly quoted market prices for a number of investments in our funds. The value of the investments of our funds is determined periodically by us based on applicable accounting principles generally accepted in the United States of America (“U.S. GAAP”) using fair value methodologies described in the funds’ valuation policies. These policies are based on a number of factors, including the nature of the investment, the expected cash flows from the investment, bid or ask prices provided by third parties for the investment and the trading price of recent sales of securities (in the case of publicly-traded securities), restrictions on transfer and other recognized valuation methodologies. The methodologies we use in valuing individual investments are based on estimates and assumptions specific to the particular investments, and therefore ultimate realized results related to the investment may vary materially from the values based on such assumptions or estimates. In addition, because some of the illiquid investments held by our funds are or may in the future be in industries or sectors which are unstable, in distress or undergoing some uncertainty, such investments may be subject to rapid changes in value caused by sudden company-specific or industry-wide developments.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Because there is significant uncertainty in the valuation of, or in the stability of the value of, illiquid investments, the fair values of such investments as reflected in a fund’s value do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 and principal investments.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partners of the private equity funds we manage may terminate their relationship with us at any time.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w:t>
      </w:r>
    </w:p>
    <w:p>
      <w:pPr>
        <w:spacing w:after="0" w:line="29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derived from our international operations, which are subject to certain risks.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2010, we earned 23% of our Total Revenues, excluding Other Revenue, from clients and private equity funds located outside of the United States. We intend to grow our non-U.S. business, and this growth is critical to our overall success. In addition, many of our larger clients for our Investment Banking business are non-U.S. entities seeking to enter into transactions involving U.S. businesses. Moreover, given the challenges the U.S. economy has faced, we expect a significant number of non-U.S. entities will play a greater role in the U.S. M&amp;A market.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 of operations.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from continuing operations in other currencies, predominantly in Mexican pesos, Euros, British pounds, Brazilian real and Hong Kong dollars, we are exposed to fluctuations in foreign currencies. In addition, we pay certain of our expenses in such currencies.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respectively, to our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in Mexico may result in a decrease in Protego’s revenue.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Protego is a Mexican company, with all of its assets located in Mexico and most of its revenue derived from operations in Mexico. As a financial services firm, Protego’s businesses are materially affected by Mexico’s financial markets and economic conditions. For example, for our PCB business, a lack of liquidity in Mexican government bonds could have a material adverse effect on PCB’s business. Historically, interest rates in Mexico have been volatile, particularly in times of economic unrest and uncertainty. Mexico has had, and may continue to have, high real and nominal interest rates.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revenue generated by Protego’s Investment Banking business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Investment Banking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Political events in Mexico, including a change in state and municipal political leadership, may result in disruptions to Protego’s business operations and adversely affect its revenue.</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Mexican government exercises significant influence over many aspects of the Mexican economy, and Mexico’s financial sector is heavily regulated. Any action by the government, including changes in the regulation of Mexico’s financial sector, could have an adverse effect on the operations of Protego, especially on its asset management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addition, Protego derives a significant portion of its revenue from advisory contracts with state and local governments in Mexico. The term limit system in Mexico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w:t>
      </w:r>
    </w:p>
    <w:p>
      <w:pPr>
        <w:spacing w:after="0" w:line="22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cost of compliance with international employment, labor, benefits and tax regulations may adversely affect our business and hamper our ability to expand internationally.</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required to pay some of our Senior Managing Directors for most of the benefits relating to any additional tax depreciation or amortization deductions we may claim as a result of the tax basis step-up we received in connection with exchanges of Evercore LP partnership units (“LP Units”) for shares and related transactions.</w:t>
      </w:r>
    </w:p>
    <w:p>
      <w:pPr>
        <w:spacing w:after="0" w:line="59"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As of December 31, 2010, there were 9,781,269 vested and 4,525,482 unvested LP Units held by some of our Senior Managing Directors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entered into a tax receivable agreement with some of our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are not aware of any issue that would cause the IRS to challenge a tax basis increase, Senior Managing Directors who receive payments will not reimburse us for any payments that may previously have been made under the tax receivable agreement. As a result, in certain circumstances we could make payments to some of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only material asset is our interest in Evercore LP, and we are accordingly dependent upon distributions from Evercore LP to pay dividends and taxes and other expenses.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Evercore Partners Inc. is a holding company and has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operating results, financial condition and liquidity.</w:t>
      </w:r>
    </w:p>
    <w:p>
      <w:pPr>
        <w:spacing w:after="0" w:line="2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If Evercore Partners Inc. were deemed an “investment company” under the 1940 Act as a result of its ownership of Evercore LP, applicable restrictions could make it impractical for us to continue our business as contemplated and could have a material adverse effect on our business.</w:t>
      </w:r>
    </w:p>
    <w:p>
      <w:pPr>
        <w:spacing w:after="0" w:line="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27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Senior Managing Directors control a significant portion of the voting power in Evercore Partners Inc., which may give rise to conflicts of interests.</w:t>
      </w:r>
    </w:p>
    <w:p>
      <w:pPr>
        <w:spacing w:after="0" w:line="1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LP Units held by such holders. Each holder of Class B common stock is entitled, without regard to the number of shares of Class B common stock held by such holder, to one vote for each partnership unit in Evercore LP held by such holder. Our Senior Managing Directors, and certain trusts benefiting their families, collectively have 38% of the voting power in Evercore Partners Inc. As a result, our Senior Managing Directors have the ability to exercise significant influence over the election of the members of our board of directors and, therefore, significant influence over our management and affairs, including determinations with respect to acquisitions, dispositions, borrowings, issuances of common stock or other securities, and the declaration and payment of dividends. In addition, they are able to exercise significant influence over the outcome of all matters requiring stockholder approval and are able to cause or prevent a change of control of our company or a change in the composition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and can preclude any unsolicited acquisition of our company. This concentration of ownership could deprive our Class A stockholders of an opportunity to receive a premium for their common stock as part of a sale of our company and might ultimately affect the market price of our 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decline due to the large number of shares eligible for future sale and for exchange.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21, 2008, we entered into a Purchase Agreement with Mizuho pursuant to which Mizuho purchased from us Senior Notes along with warrants to purchase 5,454,545 shares of Evercore Class A common stock at $22.00 per share (the “Warrants”) expiring in 2020.</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At December 31, 2010, we had a total of 19,983,646 shares of our Class A common stock outstanding, of which 2,080,980 shares were restricted and become available for sale beginning in August 2011. In addition, our Senior Managing Directors own an aggregate of 14,306,751 partnership units in Evercore LP, of which 9,781,269 partnership units were fully vested and 4,525,482 partnership units were unvested.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are eligible for resale from time to time, subject to certain contractual and Securities Act restrictions. Also, as of December 31, 2010, 7,717,804 restricted stock units (“RSUs”) issued pursuant to the Evercore Partners Inc. 2006 Stock Incentive Plan were outstanding. Of these RSUs, 2,173,308 were fully vested and 5,544,496 were unvested.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first quarter of 2011, as part of the 2010 bonus awards, we granted to certain employees approximately 1.4 million unvested RSUs pursuant to the 2006 Plan.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Some of our Senior Managing Directors are parties to registration rights agreements with us. Under these agreements, these persons have the ability to cause us to register the shares of our Class A common stock they could acquire.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our Class A common stock to decline.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delay or prevent a change in control.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2010 relating to our periodic or current reports under the Exchange Act.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in leased office space at 55 East 52nd Street, New York, New York, at Blvd. Manuel A. Camacho 36-22, Col.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Lomas de Chapultepec in Mexico City, Mexico and at 10 Hill Street in London, U.K. We do not own any real property.</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and, in the past, the Company and its affiliates have been named as a defendant in civil litigation matters involving present or former clients or competitors.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legal proceedings, individually or in the aggregate, the resolution of which would have a material adverse impact on the Company’s financial position, results of operations or cash flows. Legal reserves are established in accordance with ASC 450,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when warranted</w:t>
      </w:r>
      <w:r>
        <w:rPr>
          <w:rFonts w:ascii="Arial" w:cs="Arial" w:eastAsia="Arial" w:hAnsi="Arial"/>
          <w:sz w:val="16"/>
          <w:szCs w:val="16"/>
          <w:i w:val="1"/>
          <w:iCs w:val="1"/>
          <w:color w:val="auto"/>
        </w:rPr>
        <w:t>.</w:t>
      </w:r>
      <w:r>
        <w:rPr>
          <w:rFonts w:ascii="Arial" w:cs="Arial" w:eastAsia="Arial" w:hAnsi="Arial"/>
          <w:sz w:val="16"/>
          <w:szCs w:val="16"/>
          <w:color w:val="auto"/>
        </w:rPr>
        <w:t xml:space="preserve"> Once established, reserves are adjusted when there is more information available or when an event occurs requiring a change.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78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Evercore Class A Common Stock</w:t>
      </w:r>
    </w:p>
    <w:p>
      <w:pPr>
        <w:spacing w:after="0" w:line="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Class A common stock is listed on the NYSE and is traded under the symbol “EVR.” At the close of business on March 7, 2011, there were 21 Class A common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reported sale prices per share for the Class A common stock, as reported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$34.42</w:t>
            </w: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$27.34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$38.23</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0"/>
              </w:rPr>
              <w:t>$23.15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14.26</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$21.02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17.63</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$35.05</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0"/>
              </w:rPr>
              <w:t>$27.07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27.43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There is no trading market for the Evercore Partners Inc. Class B common stock. As of March 7, 2011, there were 48 holders of record of the 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paid quarterly cash dividends of $0.18 per share of Class A common stock for the quarter ended December 31, 2010, $0.15 per share for the quarters ended September 30, 2010, June 30, 2010, March 31, 2010 and December 31, 2009, and $0.12 per share of Class A common stock for the quarters ended September 30, 2009, June 30, 2009, March 31, 2009.</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2009, we began paying dividend equivalents, in the form of unvested RSU awards, concurrently with the payment of dividends to the holders of Class A common shares, on all unvested RSU grants awarded in conjunction with annual bonuses. The dividend equivalents have the same vesting and delivery terms as the underlying RSU award.</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are a holding company and have no material assets other than our ownership of partnership units in Evercore LP. We intend to cause Evercore LP to make distributions to us in an amount sufficient to cover dividends, if any, declared by us. If Evercore LP makes such distributions, the limited partners of Evercore LP will be entitled to receive equivalent distributions from Evercore LP on their vested partnership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for the period October 1, 2010 through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92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 as Part of</w:t>
            </w:r>
          </w:p>
        </w:tc>
        <w:tc>
          <w:tcPr>
            <w:tcW w:w="920" w:type="dxa"/>
            <w:vAlign w:val="bottom"/>
          </w:tcPr>
          <w:p>
            <w:pPr>
              <w:spacing w:after="0"/>
              <w:rPr>
                <w:sz w:val="12"/>
                <w:szCs w:val="12"/>
                <w:color w:val="auto"/>
              </w:rPr>
            </w:pPr>
          </w:p>
        </w:tc>
        <w:tc>
          <w:tcPr>
            <w:tcW w:w="1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of Shares (or Units)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92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Yet Be Purchased Under the</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5"/>
              </w:rPr>
              <w:t>Purchased(1)</w:t>
            </w:r>
          </w:p>
        </w:tc>
        <w:tc>
          <w:tcPr>
            <w:tcW w:w="18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86"/>
              </w:rPr>
              <w:t>Paid Per 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Plans or Programs(2)</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Plan or Program(2)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28.33</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November 1 to November 30</w:t>
            </w:r>
          </w:p>
        </w:tc>
        <w:tc>
          <w:tcPr>
            <w:tcW w:w="980" w:type="dxa"/>
            <w:vAlign w:val="bottom"/>
          </w:tcPr>
          <w:p>
            <w:pPr>
              <w:jc w:val="right"/>
              <w:spacing w:after="0"/>
              <w:rPr>
                <w:sz w:val="20"/>
                <w:szCs w:val="20"/>
                <w:color w:val="auto"/>
              </w:rPr>
            </w:pPr>
            <w:r>
              <w:rPr>
                <w:rFonts w:ascii="Arial" w:cs="Arial" w:eastAsia="Arial" w:hAnsi="Arial"/>
                <w:sz w:val="18"/>
                <w:szCs w:val="18"/>
                <w:color w:val="auto"/>
              </w:rPr>
              <w:t>12,481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30.66</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9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9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17,487</w:t>
            </w:r>
          </w:p>
        </w:tc>
        <w:tc>
          <w:tcPr>
            <w:tcW w:w="9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30.35</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reflect treasury transactions arising from net settlement of equity awards to satisfy minimum tax obligations.</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October 2010, Evercore’s Board authorized the repurchase of up to 2 million shares of Evercore Class A Common Stock and/or LP Units for up to $85.0 million. Under this share repurchase program, shares may be repurchased from time to time in open market transactions, in privately negotiated transactions or otherwise. The timing and the actual number of shares repurchased will depend on a variety of factors, including legal requirements, price and economic and market conditions. This program may be suspended or discontinued at any time and does not have a specified expiration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following table sets forth the historical selected financial data for the Company for all periods presented. For more information on our historical financial information, see Item 7 “Management’s Discussion and Analysis of Financial Condition and Results of Operations” and Item 8 “Financial Statements and Supplementary Data.” During 2010, certain balances for prior periods were reclassified to conform to their current presentation.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w w:val="96"/>
              </w:rPr>
              <w:t>Consolidated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4"/>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9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August 10, 2006</w:t>
            </w:r>
          </w:p>
        </w:tc>
        <w:tc>
          <w:tcPr>
            <w:tcW w:w="9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January 1,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90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2006</w:t>
            </w:r>
          </w:p>
        </w:tc>
        <w:tc>
          <w:tcPr>
            <w:tcW w:w="9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SUCCESSOR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4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SUCCESSOR</w:t>
            </w:r>
          </w:p>
        </w:tc>
        <w:tc>
          <w:tcPr>
            <w:tcW w:w="9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2"/>
              </w:rPr>
              <w:t>(dollars in</w:t>
            </w: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0"/>
              </w:rPr>
              <w:t>thousands, except per</w:t>
            </w:r>
          </w:p>
        </w:tc>
        <w:tc>
          <w:tcPr>
            <w:tcW w:w="42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5"/>
              </w:rPr>
              <w:t>share</w:t>
            </w: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Banking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301,931</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293,311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181,608</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295,751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87,659</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77,579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23,269</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9,811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20,158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6,591</w:t>
            </w:r>
          </w:p>
        </w:tc>
        <w:tc>
          <w:tcPr>
            <w:tcW w:w="9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16,860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22,228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22,234</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33,885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24,141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8,622</w:t>
            </w: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401,738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338,814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225,304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340,050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102,872</w:t>
            </w:r>
          </w:p>
        </w:tc>
        <w:tc>
          <w:tcPr>
            <w:tcW w:w="9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113,625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22,841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24,269</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30,278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6,794</w:t>
            </w: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NET REVENUES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378,897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314,545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195,026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321,599</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96,078</w:t>
            </w:r>
          </w:p>
        </w:tc>
        <w:tc>
          <w:tcPr>
            <w:tcW w:w="900" w:type="dxa"/>
            <w:vAlign w:val="bottom"/>
          </w:tcPr>
          <w:p>
            <w:pPr>
              <w:spacing w:after="0"/>
              <w:rPr>
                <w:sz w:val="14"/>
                <w:szCs w:val="14"/>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Operating Expenses(a)</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321,498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260,928</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188,975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235,502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63,268</w:t>
            </w:r>
          </w:p>
        </w:tc>
        <w:tc>
          <w:tcPr>
            <w:tcW w:w="9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23,157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32,433</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15,064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141,032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9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344,655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293,361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204,039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376,534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70,271</w:t>
            </w:r>
          </w:p>
        </w:tc>
        <w:tc>
          <w:tcPr>
            <w:tcW w:w="900" w:type="dxa"/>
            <w:vAlign w:val="bottom"/>
          </w:tcPr>
          <w:p>
            <w:pPr>
              <w:spacing w:after="0"/>
              <w:rPr>
                <w:sz w:val="14"/>
                <w:szCs w:val="14"/>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43,594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INCOME (LOSS) BEFORE INCOME (LOSS)</w:t>
            </w: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FROM EQUITY METHOD INVESTMENTS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AND INCOME TAXES</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34,242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21,184</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color w:val="auto"/>
              </w:rPr>
              <w:t>(9,013)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12"/>
              <w:spacing w:after="0"/>
              <w:rPr>
                <w:sz w:val="20"/>
                <w:szCs w:val="20"/>
                <w:color w:val="auto"/>
              </w:rPr>
            </w:pPr>
            <w:r>
              <w:rPr>
                <w:rFonts w:ascii="Arial" w:cs="Arial" w:eastAsia="Arial" w:hAnsi="Arial"/>
                <w:sz w:val="14"/>
                <w:szCs w:val="14"/>
                <w:color w:val="auto"/>
              </w:rPr>
              <w:t>(54,935)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25,807</w:t>
            </w: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Income (Loss) from Equity Method Investments</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9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(371)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000" w:type="dxa"/>
            <w:vAlign w:val="bottom"/>
            <w:gridSpan w:val="2"/>
          </w:tcPr>
          <w:p>
            <w:pPr>
              <w:jc w:val="center"/>
              <w:ind w:left="512"/>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33,685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19,778</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(9,384)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(54,935)</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25,807</w:t>
            </w: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Provision for Income Taxes(b)</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15,880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19,532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179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12,401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6,030</w:t>
            </w:r>
          </w:p>
        </w:tc>
        <w:tc>
          <w:tcPr>
            <w:tcW w:w="9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17,805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(9,563)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(67,336)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19,777</w:t>
            </w:r>
          </w:p>
        </w:tc>
        <w:tc>
          <w:tcPr>
            <w:tcW w:w="9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Noncontrolling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8,851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1,816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12"/>
              <w:spacing w:after="0" w:line="159" w:lineRule="exact"/>
              <w:rPr>
                <w:sz w:val="20"/>
                <w:szCs w:val="20"/>
                <w:color w:val="auto"/>
              </w:rPr>
            </w:pPr>
            <w:r>
              <w:rPr>
                <w:rFonts w:ascii="Arial" w:cs="Arial" w:eastAsia="Arial" w:hAnsi="Arial"/>
                <w:sz w:val="14"/>
                <w:szCs w:val="14"/>
                <w:color w:val="auto"/>
              </w:rPr>
              <w:t>(32,841)</w:t>
            </w:r>
          </w:p>
        </w:tc>
        <w:tc>
          <w:tcPr>
            <w:tcW w:w="80" w:type="dxa"/>
            <w:vAlign w:val="bottom"/>
          </w:tcPr>
          <w:p>
            <w:pPr>
              <w:spacing w:after="0"/>
              <w:rPr>
                <w:sz w:val="14"/>
                <w:szCs w:val="14"/>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15,991</w:t>
            </w:r>
          </w:p>
        </w:tc>
        <w:tc>
          <w:tcPr>
            <w:tcW w:w="900" w:type="dxa"/>
            <w:vAlign w:val="bottom"/>
          </w:tcPr>
          <w:p>
            <w:pPr>
              <w:spacing w:after="0"/>
              <w:rPr>
                <w:sz w:val="14"/>
                <w:szCs w:val="14"/>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EVERCORE PARTNERS INC.</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8,954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(1,570)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color w:val="auto"/>
              </w:rPr>
              <w:t>(4,713)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12"/>
              <w:spacing w:after="0"/>
              <w:rPr>
                <w:sz w:val="20"/>
                <w:szCs w:val="20"/>
                <w:color w:val="auto"/>
              </w:rPr>
            </w:pPr>
            <w:r>
              <w:rPr>
                <w:rFonts w:ascii="Arial" w:cs="Arial" w:eastAsia="Arial" w:hAnsi="Arial"/>
                <w:sz w:val="14"/>
                <w:szCs w:val="14"/>
                <w:color w:val="auto"/>
              </w:rPr>
              <w:t>(34,495)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Dividends Declared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gridSpan w:val="2"/>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0.63</w:t>
            </w:r>
          </w:p>
        </w:tc>
        <w:tc>
          <w:tcPr>
            <w:tcW w:w="36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0.51</w:t>
            </w:r>
          </w:p>
        </w:tc>
        <w:tc>
          <w:tcPr>
            <w:tcW w:w="42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72"/>
              <w:spacing w:after="0" w:line="143" w:lineRule="exact"/>
              <w:rPr>
                <w:sz w:val="20"/>
                <w:szCs w:val="20"/>
                <w:color w:val="auto"/>
              </w:rPr>
            </w:pPr>
            <w:r>
              <w:rPr>
                <w:rFonts w:ascii="Arial" w:cs="Arial" w:eastAsia="Arial" w:hAnsi="Arial"/>
                <w:sz w:val="14"/>
                <w:szCs w:val="14"/>
                <w:color w:val="auto"/>
              </w:rPr>
              <w:t>0.48</w:t>
            </w:r>
          </w:p>
        </w:tc>
        <w:tc>
          <w:tcPr>
            <w:tcW w:w="34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0.41</w:t>
            </w:r>
          </w:p>
        </w:tc>
        <w:tc>
          <w:tcPr>
            <w:tcW w:w="42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000" w:type="dxa"/>
            <w:vAlign w:val="bottom"/>
            <w:gridSpan w:val="2"/>
          </w:tcPr>
          <w:p>
            <w:pPr>
              <w:jc w:val="center"/>
              <w:ind w:left="572"/>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Net Income (Loss) per Share Attributable to Evercore</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Partners Inc. Common Shareholders</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0.39</w:t>
            </w:r>
          </w:p>
        </w:tc>
        <w:tc>
          <w:tcPr>
            <w:tcW w:w="3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(0.36)</w:t>
            </w:r>
          </w:p>
        </w:tc>
        <w:tc>
          <w:tcPr>
            <w:tcW w:w="3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0.76</w:t>
            </w:r>
          </w:p>
        </w:tc>
        <w:tc>
          <w:tcPr>
            <w:tcW w:w="900" w:type="dxa"/>
            <w:vAlign w:val="bottom"/>
            <w:tcBorders>
              <w:righ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jc w:val="center"/>
              <w:ind w:left="572"/>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FINANCIAL CONDITION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898,085</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891,160</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738,940</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689,096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301,503</w:t>
            </w:r>
          </w:p>
        </w:tc>
        <w:tc>
          <w:tcPr>
            <w:tcW w:w="9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Long-term Liabilities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218,465</w:t>
            </w:r>
          </w:p>
        </w:tc>
        <w:tc>
          <w:tcPr>
            <w:tcW w:w="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179,113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141,980</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50,205</w:t>
            </w:r>
          </w:p>
        </w:tc>
        <w:tc>
          <w:tcPr>
            <w:tcW w:w="4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900" w:type="dxa"/>
            <w:vAlign w:val="bottom"/>
          </w:tcPr>
          <w:p>
            <w:pPr>
              <w:spacing w:after="0"/>
              <w:rPr>
                <w:sz w:val="12"/>
                <w:szCs w:val="12"/>
                <w:color w:val="auto"/>
              </w:rPr>
            </w:pPr>
          </w:p>
        </w:tc>
        <w:tc>
          <w:tcPr>
            <w:tcW w:w="1000" w:type="dxa"/>
            <w:vAlign w:val="bottom"/>
            <w:gridSpan w:val="2"/>
          </w:tcPr>
          <w:p>
            <w:pPr>
              <w:jc w:val="center"/>
              <w:ind w:left="572"/>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98,082</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96,618</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95,263</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505,438</w:t>
            </w:r>
          </w:p>
        </w:tc>
        <w:tc>
          <w:tcPr>
            <w:tcW w:w="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595,404</w:t>
            </w:r>
          </w:p>
        </w:tc>
        <w:tc>
          <w:tcPr>
            <w:tcW w:w="4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507,355</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469,781</w:t>
            </w:r>
          </w:p>
        </w:tc>
        <w:tc>
          <w:tcPr>
            <w:tcW w:w="4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152,108</w:t>
            </w:r>
          </w:p>
        </w:tc>
        <w:tc>
          <w:tcPr>
            <w:tcW w:w="900" w:type="dxa"/>
            <w:vAlign w:val="bottom"/>
          </w:tcPr>
          <w:p>
            <w:pPr>
              <w:spacing w:after="0"/>
              <w:rPr>
                <w:sz w:val="12"/>
                <w:szCs w:val="12"/>
                <w:color w:val="auto"/>
              </w:rPr>
            </w:pPr>
          </w:p>
        </w:tc>
        <w:tc>
          <w:tcPr>
            <w:tcW w:w="1000" w:type="dxa"/>
            <w:vAlign w:val="bottom"/>
            <w:gridSpan w:val="2"/>
          </w:tcPr>
          <w:p>
            <w:pPr>
              <w:jc w:val="center"/>
              <w:ind w:left="572"/>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91,948</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29,361</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15,978</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46,699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36,294</w:t>
            </w:r>
          </w:p>
        </w:tc>
        <w:tc>
          <w:tcPr>
            <w:tcW w:w="9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center"/>
              <w:ind w:left="572"/>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367,241</w:t>
            </w:r>
          </w:p>
        </w:tc>
        <w:tc>
          <w:tcPr>
            <w:tcW w:w="3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295,756</w:t>
            </w:r>
          </w:p>
        </w:tc>
        <w:tc>
          <w:tcPr>
            <w:tcW w:w="4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72"/>
              <w:spacing w:after="0"/>
              <w:rPr>
                <w:sz w:val="20"/>
                <w:szCs w:val="20"/>
                <w:color w:val="auto"/>
              </w:rPr>
            </w:pPr>
            <w:r>
              <w:rPr>
                <w:rFonts w:ascii="Arial" w:cs="Arial" w:eastAsia="Arial" w:hAnsi="Arial"/>
                <w:sz w:val="14"/>
                <w:szCs w:val="14"/>
                <w:color w:val="auto"/>
              </w:rPr>
              <w:t>231,585</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219,315</w:t>
            </w:r>
          </w:p>
        </w:tc>
        <w:tc>
          <w:tcPr>
            <w:tcW w:w="4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149,395</w:t>
            </w:r>
          </w:p>
        </w:tc>
        <w:tc>
          <w:tcPr>
            <w:tcW w:w="900" w:type="dxa"/>
            <w:vAlign w:val="bottom"/>
          </w:tcPr>
          <w:p>
            <w:pPr>
              <w:spacing w:after="0"/>
              <w:rPr>
                <w:sz w:val="14"/>
                <w:szCs w:val="14"/>
                <w:color w:val="auto"/>
              </w:rPr>
            </w:pPr>
          </w:p>
        </w:tc>
        <w:tc>
          <w:tcPr>
            <w:tcW w:w="1000" w:type="dxa"/>
            <w:vAlign w:val="bottom"/>
            <w:gridSpan w:val="2"/>
          </w:tcPr>
          <w:p>
            <w:pPr>
              <w:jc w:val="center"/>
              <w:ind w:left="572"/>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Prior to our August 2006 IPO, payments for services rendered by our Senior Managing Directors were accounted for as distributions of members’ capital rather than as compensation expense.</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Prior to our August 2006 IPO, our income was not subject to U.S. federal and state income taxes.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Evercore Partners Inc.’s consolidated financial statements and the related notes included elsewhere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Total revenues reflect revenues from our Investment Banking (formerly called Advisory) and Investment Management business segments that include transaction-related client reimbursements plus other revenue. Net revenues reflect total revenues less interest expense related to repurchase agreements, senior notes and other borrowings.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Investment Banking. </w:t>
      </w:r>
      <w:r>
        <w:rPr>
          <w:rFonts w:ascii="Arial" w:cs="Arial" w:eastAsia="Arial" w:hAnsi="Arial"/>
          <w:sz w:val="16"/>
          <w:szCs w:val="16"/>
          <w:color w:val="auto"/>
        </w:rPr>
        <w:t>Our Investment Banking business earns fees from our clients for providing advice on mergers, acquisitions, divestitures, leveraged</w:t>
      </w:r>
      <w:r>
        <w:rPr>
          <w:rFonts w:ascii="Arial" w:cs="Arial" w:eastAsia="Arial" w:hAnsi="Arial"/>
          <w:sz w:val="16"/>
          <w:szCs w:val="16"/>
          <w:i w:val="1"/>
          <w:iCs w:val="1"/>
          <w:color w:val="auto"/>
        </w:rPr>
        <w:t xml:space="preserve"> </w:t>
      </w:r>
      <w:r>
        <w:rPr>
          <w:rFonts w:ascii="Arial" w:cs="Arial" w:eastAsia="Arial" w:hAnsi="Arial"/>
          <w:sz w:val="16"/>
          <w:szCs w:val="16"/>
          <w:color w:val="auto"/>
        </w:rPr>
        <w:t>buyouts, restructurings and similar corporate finance matters, and during 2010, as a result of the expansion of our Investment Banking business we also earn fees from underwriting and private fund placement activities, as well as commissions from our agency trading activities. The amount and timing of the fees paid vary by the type of engagement. In general, advisory fees are paid at the time we sign an engagement letter, during the course of the engagement or when an engagement is completed. The majority of our investment banking revenue comes from advisory fees that are dependent on the successful completion of a transaction. A transaction can fail to be completed for many reasons, including failure of parties to agree upon final terms with the counterparty, to secure necessary board or shareholder approvals, to secure necessary financing or to achieve necessary regulatory approvals. In the case of bankruptcy engagements, fees are subject to approval of the court. Underwriting revenues are recognized when the offering has been deemed to be completed, placement fees are recognized at the time of the client’s acceptance of capital or capital commitments and commissions are recorded on a trade-date basis.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M&amp;A activity and/or restructuring activity, which tends to be counter-cyclical to M&amp;A. However, deviations from this trend can occur in any given year or quarter for a number of reasons. For example, changes in our market share or the ability of our clients to close certain large transactions can cause our revenue results to diverge from the level of overall M&amp;A or restructuring activity.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operate in a highly competitive environment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includes operations related to the management of the Institutional Asset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Wealth Management and Private Equity businesses. Revenue sources primarily include management fees, which include fees earned from portfolio companies, fiduciary and consulting fees, performance fees (including carried interest) and gains (or losses) on our investments.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Management fees for third party clients generally represent a percentage of AUM. Fiduciary and consulting fees, which are generally a function of the size and complexity of each engagement, are individually negotiated. Management fees from private equity operations are generally a percentage of committed capital or invested capital at rates agreed with the investment funds we manage or with the individual client. Performance fees from private equity funds are earned when specified benchmarks are exceeded. In certain circumstances, such fees are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subject to “claw-back” provisions. Portfolio company fees include monitoring, director and transaction fees associated with services provided to the portfolio companies of the private equity funds we manage. Gains and losses include both realized and unrealized gains and losses on principal investments, including those arising from our equity interest in investment partnerships.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Transaction-Related Client Reimbursements</w:t>
      </w:r>
      <w:r>
        <w:rPr>
          <w:rFonts w:ascii="Arial" w:cs="Arial" w:eastAsia="Arial" w:hAnsi="Arial"/>
          <w:sz w:val="16"/>
          <w:szCs w:val="16"/>
          <w:color w:val="auto"/>
        </w:rPr>
        <w:t>. In both our Investment Banking and Investment Management segments, we make various transaction-related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travel and professional fees, on behalf of our clients. Pursuant to the engagement letters with our advisory clients or the contracts with the limited partners in the private equity funds we manage, these expenditures may be reimbursable. We define these expenses as transaction-related expenses and record such expenditures as incurred and record revenue when it is determined that clients have an obligation to reimburse us for such transaction-related expenses. Client expense reimbursements are recorded as revenue on the Consolidated Statements of Operations on the later of the date an engagement letter is executed or the date we pay or accrue the expense.</w:t>
      </w:r>
    </w:p>
    <w:p>
      <w:pPr>
        <w:spacing w:after="0" w:line="12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i w:val="1"/>
          <w:iCs w:val="1"/>
          <w:color w:val="auto"/>
        </w:rPr>
        <w:t xml:space="preserve">Other Revenue and Interest Expense. </w:t>
      </w:r>
      <w:r>
        <w:rPr>
          <w:rFonts w:ascii="Arial" w:cs="Arial" w:eastAsia="Arial" w:hAnsi="Arial"/>
          <w:sz w:val="15"/>
          <w:szCs w:val="15"/>
          <w:color w:val="auto"/>
        </w:rPr>
        <w:t>Other Revenue and Interest Expense is derived primarily from investing customer funds in financing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These transactions are principally repurchases and resales of Mexican government and government agency securities. Revenue and expenses associated with these transactions are recognized over the term of the repurchase or resale transaction. Other Revenue and Interest Expense also includes interest expense associated with the Senior Notes, as well as income earned on marketable securities, cash and cash equivalents and assets segregated for regulatory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 xml:space="preserve">Employee Compensation and Benefits Expense. </w:t>
      </w:r>
      <w:r>
        <w:rPr>
          <w:rFonts w:ascii="Arial" w:cs="Arial" w:eastAsia="Arial" w:hAnsi="Arial"/>
          <w:sz w:val="18"/>
          <w:szCs w:val="18"/>
          <w:color w:val="auto"/>
        </w:rPr>
        <w:t>We include all payments for services rendered by our employees, as well as profits interests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that have been accounted for as compensation, in employee compensation and benefits expense.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maintain compensation programs, including base salary, cash, deferred cash and equity bonus awards and benefits programs and manage compensation to estimates of competitive levels based on market conditions. Our level of compensation reflects our plan to maintain competitive compensation levels to retain key personnel, and it reflects the impact of newly-hired senior professionals, including related grants of equity awards which are generally valued at their grant date.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Increasing the number of high-caliber, experienced senior level employees is critical to our growth efforts. In our advisory businesses, these hires generally do not begin to generate significant revenue in the year they are hired.</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annual compensation program includes stock-based compensation awards and deferred cash awards as a component of the annual bonus awards for certain employees. These equity awards are generally subject to annual vesting requirements over a four-year period beginning at the date of grant, which generally occurs in the first quarter of each year; accordingly, the expense is amortized over the vesting period.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Expenses.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acquisition and transition costs and other operating expenses. We refer to all of these expenses as non-compensation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Other Expenses include compensation costs associated with the modification of unvested LP Units and certain other awards, Acquisition and Transition Costs incurred in connection with the consummation of our acquisition of Bank of America’s Special Fiduciary Services Division (“SFS”) in 2009 and the formation of ETC, special charges and amortization of intangibles associated with certain acquisitions.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account for income taxes in accordance with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(“ASC 740”), which requires the recognition of tax benefits or expenses on temporary differences between the financial reporting and tax basis of our assets and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record noncontrolling interest relating to the ownership interests of our current and former Senior Managing Directors, their estate planning vehicles and Trilantic in Evercore LP, as well as the portions of our operating subsidiaries not owned by Evercore. As described in Note 1 to our consolidated financial statements herein, Evercore Partners Inc. is the sole general partner of Evercore LP. Prior to the Company’s stock offering and purchase of a portion of the noncontrolling interest in Evercore LP in the third quarter of 2009, Evercore Partners Inc. had a minority economic interest in Evercore LP; however, through its majority voting interest, it controlled the management of Evercore LP. Subsequent to the Company’s stock offering in the third quarter of 2009, in addition to having a majority voting interest in and controlling the management of Evercore LP, Evercore Partners Inc. has a majority economic interest in Evercore LP. As a result, both before and after the Company’s stock offering in the third quarter of 2009, Evercore Partners Inc. consolidates Evercore LP and records a noncontrolling interest for the economic interest in Evercore LP held by the limited partners. For further information see Note 15 to our consolidated financial statements.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generally allocate net income (loss) to noncontrolling interests held at Evercore LP and at the operating entity level, where required, by multiplying the vested equity ownership percentage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(losses) to the controlling and noncontrolling interest holders, then the net income or loss of these entities will be allocated based on these special allocations.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following is a discussion of our results of operations for the years ended December 31, 2010, 2009 and 2008. For a more detailed discussion of the factors that affected the revenue and operating expenses of our Investment Banking and Investment Management business segments in these periods, see the discussion in “Business Segments” below.</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us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For the Years Ended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2010 v. 2009</w:t>
            </w:r>
          </w:p>
        </w:tc>
        <w:tc>
          <w:tcPr>
            <w:tcW w:w="58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2009 v. 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16"/>
          </w:tcPr>
          <w:p>
            <w:pPr>
              <w:ind w:left="28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Investment Banking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301,931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352"/>
              <w:spacing w:after="0"/>
              <w:rPr>
                <w:sz w:val="20"/>
                <w:szCs w:val="20"/>
                <w:color w:val="auto"/>
              </w:rPr>
            </w:pPr>
            <w:r>
              <w:rPr>
                <w:rFonts w:ascii="Arial" w:cs="Arial" w:eastAsia="Arial" w:hAnsi="Arial"/>
                <w:sz w:val="18"/>
                <w:szCs w:val="18"/>
                <w:color w:val="auto"/>
                <w:w w:val="86"/>
              </w:rPr>
              <w:t>293,311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181,608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23,269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5"/>
              </w:rPr>
              <w:t>233%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22,234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33,885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401,738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86"/>
              </w:rPr>
              <w:t>338,814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225,304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24,269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30,278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378,897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86"/>
              </w:rPr>
              <w:t>314,545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195,026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321,498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86"/>
              </w:rPr>
              <w:t>260,928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188,975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32,433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15,064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86"/>
              </w:rPr>
              <w:t>293,361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204,039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w w:val="99"/>
              </w:rPr>
              <w:t>Income (Loss) Before Income (Loss) from Equity Method</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Investments and Income Taxes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52"/>
              <w:spacing w:after="0"/>
              <w:rPr>
                <w:sz w:val="20"/>
                <w:szCs w:val="20"/>
                <w:color w:val="auto"/>
              </w:rPr>
            </w:pPr>
            <w:r>
              <w:rPr>
                <w:rFonts w:ascii="Arial" w:cs="Arial" w:eastAsia="Arial" w:hAnsi="Arial"/>
                <w:sz w:val="18"/>
                <w:szCs w:val="18"/>
                <w:color w:val="auto"/>
              </w:rPr>
              <w:t>21,184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(9,013)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Equity Method Investments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vMerge w:val="restart"/>
          </w:tcPr>
          <w:p>
            <w:pPr>
              <w:jc w:val="right"/>
              <w:ind w:right="72"/>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1"/>
        </w:trPr>
        <w:tc>
          <w:tcPr>
            <w:tcW w:w="486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33,685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19,778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(9,384)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17,805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52"/>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(9,563)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5"/>
              </w:rPr>
              <w:t>387%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(Loss) Attributable to Evercore Partners Inc.</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8,954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92"/>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(4,713)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620" w:type="dxa"/>
            <w:vAlign w:val="bottom"/>
            <w:gridSpan w:val="6"/>
          </w:tcPr>
          <w:p>
            <w:pPr>
              <w:jc w:val="right"/>
              <w:ind w:right="700"/>
              <w:spacing w:after="0"/>
              <w:rPr>
                <w:sz w:val="20"/>
                <w:szCs w:val="20"/>
                <w:color w:val="auto"/>
              </w:rPr>
            </w:pPr>
            <w:r>
              <w:rPr>
                <w:rFonts w:ascii="Arial" w:cs="Arial" w:eastAsia="Arial" w:hAnsi="Arial"/>
                <w:sz w:val="18"/>
                <w:szCs w:val="18"/>
                <w:color w:val="auto"/>
                <w:w w:val="95"/>
              </w:rPr>
              <w:t>As of December 31, 2010, 2009 and 2008 our total headcount was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ind w:left="54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Evercore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Evercore</w:t>
            </w:r>
          </w:p>
        </w:tc>
        <w:tc>
          <w:tcPr>
            <w:tcW w:w="240" w:type="dxa"/>
            <w:vAlign w:val="bottom"/>
          </w:tcPr>
          <w:p>
            <w:pPr>
              <w:spacing w:after="0"/>
              <w:rPr>
                <w:sz w:val="11"/>
                <w:szCs w:val="11"/>
                <w:color w:val="auto"/>
              </w:rPr>
            </w:pPr>
          </w:p>
        </w:tc>
        <w:tc>
          <w:tcPr>
            <w:tcW w:w="56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3"/>
              </w:rPr>
              <w:t>Evercore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Mexico</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Europe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1"/>
              </w:rPr>
              <w:t>Total</w:t>
            </w:r>
          </w:p>
        </w:tc>
        <w:tc>
          <w:tcPr>
            <w:tcW w:w="300" w:type="dxa"/>
            <w:vAlign w:val="bottom"/>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w w:val="71"/>
              </w:rPr>
              <w:t>8</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Portfolio and Client Relationship Managers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Institutional Equities Professionals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Professionals and Administrative Personnel(1)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620" w:type="dxa"/>
            <w:vAlign w:val="bottom"/>
            <w:gridSpan w:val="3"/>
          </w:tcPr>
          <w:p>
            <w:pPr>
              <w:ind w:left="360"/>
              <w:spacing w:after="0"/>
              <w:rPr>
                <w:sz w:val="20"/>
                <w:szCs w:val="20"/>
                <w:color w:val="auto"/>
              </w:rPr>
            </w:pPr>
            <w:r>
              <w:rPr>
                <w:rFonts w:ascii="Arial" w:cs="Arial" w:eastAsia="Arial" w:hAnsi="Arial"/>
                <w:sz w:val="18"/>
                <w:szCs w:val="18"/>
                <w:color w:val="auto"/>
                <w:w w:val="79"/>
              </w:rPr>
              <w:t>121</w:t>
            </w:r>
          </w:p>
        </w:tc>
        <w:tc>
          <w:tcPr>
            <w:tcW w:w="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129</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two interns as of December 31, 2010 and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versus 2009</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Net revenues were $378.9 million in 2010; an increase of $64.4 million, or 20%, versus net revenues of $314.5 million in 2009. Investment Banking Revenue and Investment Management Revenue increased 3% and 233%, respectively, compared to 2009. See the segment discussion below for further information. Net revenues include interest expense on our Senior Notes.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Total Operating Expenses were $321.5 million in 2010 as compared to $260.9 million in 2009, a 23% increase. Employee Compensation and Benefits Expense, as a component of Operating Expenses, was $231.1 million in 2010, an increase of $29.7 million, or 15%, versus expense of $201.4 million in 2009. The increase was primarily due to compensation costs resulting from the expansion of existing businesses and our new businesses, all of which were either not consolidated, or in operation, during the entire year ended 2009, offset by the prior’s year impact of sign-on costs incurred in conjunction with the appointment of our President and Chief Executive Officer in 2009. Non-compensation expenses as a component of Operating Expenses were $90.4 million in 2010, an increase of $30.9 million, or 52% over non-compensation operating expenses of $59.5 million in 2009. Non-compensation operating expenses increased compared to 2009 primarily as a result of increased Professional Fees, Travel and Related Expenses, Depreciation and Amortization and Acquisition and Transition Costs, primarily driven by the addition of new businesses, including Atalanta Sosnoff, and higher deal-related activity levels.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Total Other Expenses of $23.2 million in 2010 related to compensation costs associated with unvested LP Units and certain other awards of $20.8 million and amortization of intangibles of $2.3 million. Total Other Expenses of $32.4 million in 2009 relate to compensation costs associated with unvested LP Units and certain other awards of $9.4 million, Special Charges of $20.1 million in conjunction with the cancellation of employee share-based awards, the U.S. Private Equity restructuring and other ongoing strategic cost management initiatives, Acquisition and Transition Costs of $0.7 million incurred in connection with the consummation of our acquisition of SFS and the formation of ETC and amortization of intangibles of $2.2 million.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Employee Compensation and Benefits Expense as a percentage of Net Revenues was 66% for the year ended December 31, 2010, compared to 67% for the year ended December 31, 2009. The decrease was primarily attributable to higher revenues offset by increased compensation expense associated with the amortization of unvested LP Units and certain other awards and the effect of new businesses.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provision for income taxes in 2010 was $15.9 million, which reflected an effective tax rate of 47%. The 2010 provision was impacted by the non-deductible compensation expense associated with the vesting of LP Units and certain other awards, as well as losses in certain foreign jurisdictions for which no foreign income tax benefits are anticipated. The provision for income taxes in 2009 was $19.5 million, which reflected an effective tax rate of 99%. The 2009 provision was impacted by non-deductible charges for the cancellation of certain equity awards for employees who continue to be employed by us, the modification of LP Units and certain other awards, as well as a valuation allowance on our deferred tax assets associated with our foreign subsidiaries and certain discrete adjustments and non-deductible equity-based share grants resulting from a decline in our share price from the date of grant to the date of vesting, which were permanent in nature.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Noncontrolling interest was $8.9 million in 2010 compared to $1.8 million for 2009. For 2010, we had net income attributable to Evercore Partners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the allocation to non-controlling interests was an allocation of net income.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versus 2008</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revenues were $314.5 million in 2009; an increase of $119.5 million, or 61%, versus net revenue of $195.0 million in 2008. Investment Banking Revenue and Investment Management Revenue increased 62% and 137%, respectively, compared to 2008. Net revenues include interest expense on our Senior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Total Operating Expenses were $260.9 million in 2009 as compared to $189.0 million in 2008, a 38% increase. Employee Compensation and Benefits Expense, as a component of Operating Expenses, was $201.4 million in 2009, an increase of $62.2 million, or 45%, versus expense of $139.2 million in 2008. The increase was primarily due to the accrual of higher amounts of discretionary compensation, reflecting higher revenues, as well as sign-on costs incurred in conjunction with the appointment of the President and Chief Executive Officer and compensation costs resulting from our new businesses in the Investment Management segment. Non-compensation expenses as a component of Operating Expenses were $59.5 million in 2009, an increase of $9.7 million, or 20% over non-compensation operating expenses of $49.8 million in 2008. Non-compensation operating expenses increased compared to 2008 primarily as a result of increased Professional Fees and other costs, primarily driven by the acquisition of a controlling interest in ETC, EAM and EWM.</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Total Other Expenses of $32.4 million in 2009 relate to compensation costs associated with unvested LP Units and certain other awards of $9.4 million, Special Charges of $20.1 million in conjunction with the cancellation of employee share-based awards, the U.S. Private Equity restructuring and other ongoing strategic cost management initiatives, Acquisition and Transition Costs of $0.7 million incurred in connection with the consummation of our acquisition of SFS and the formation of ETC and amortization of intangibles of $2.2 million. Total Other Expenses of $15.1 million in 2008 related to Acquisition and Transition Costs of $1.6 million incurred in connection with acquisitions that were in process, Special Charges of $4.1 million in connection with the write-off of certain capitalized costs associated with Evercore Capital Partners III L.P. and employee severance, accelerated share-based vesting and other costs related to the closing of the Los Angeles office, $7.5 million of deferred consideration pursuant to the Braveheart Sale and Purchase Agreement and amortization of intangibles of $1.9 million.</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Employee Compensation and Benefits Expense as a percentage of Net Revenues was 67% for the year ended December 31, 2009, compared to 75% for the year ended December 31, 2008. The decrease was primarily attributable to higher revenues offset by increased compensation expense associated with the amortization of unvested LP Units and certain other awards.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provision for income taxes in 2009 was $19.5 million, which reflected an effective tax rate of 99%. This provision was impacted by non-deductible charges for the cancellation of certain equity awards for employees who continue to be employed by us, the modification of LP Units and certain other awards, as well as a valuation allowance on our deferred tax assets associated with our foreign subsidiaries and certain discrete adjustments and non-deductible equity-based share grants resulting from a decline in our share price from the date of grant to the date of vesting, which were permanent in nature. The provision for income taxes in 2008 was $0.2 million, which reflected an effective tax rate of (2%).</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Noncontrolling interest was $1.8 million in 2009 compared to ($4.9) million in 2008. For 2009, the allocation of net income to noncontrolling interest exceeded net income due to the level of federal taxes being reflected on Evercore Partners Inc.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data presents revenue, expenses and contributions by business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Banking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5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 v. 2009</w:t>
            </w:r>
          </w:p>
        </w:tc>
        <w:tc>
          <w:tcPr>
            <w:tcW w:w="7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 v. 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Investment Banking Revenue(1)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301,931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293,311</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181,608</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 net(2)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5,020</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2"/>
            <w:vMerge w:val="restart"/>
          </w:tcPr>
          <w:p>
            <w:pPr>
              <w:jc w:val="right"/>
              <w:ind w:right="512"/>
              <w:spacing w:after="0"/>
              <w:rPr>
                <w:sz w:val="20"/>
                <w:szCs w:val="20"/>
                <w:color w:val="auto"/>
              </w:rPr>
            </w:pPr>
            <w:r>
              <w:rPr>
                <w:rFonts w:ascii="Arial" w:cs="Arial" w:eastAsia="Arial" w:hAnsi="Arial"/>
                <w:sz w:val="18"/>
                <w:szCs w:val="18"/>
                <w:color w:val="auto"/>
              </w:rPr>
              <w:t>3%</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230"/>
        </w:trPr>
        <w:tc>
          <w:tcPr>
            <w:tcW w:w="53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301,847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292,634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186,628</w:t>
            </w:r>
          </w:p>
        </w:tc>
        <w:tc>
          <w:tcPr>
            <w:tcW w:w="14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240,312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204,399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157,097</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color w:val="auto"/>
              </w:rPr>
              <w:t>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9,336</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2"/>
            <w:vMerge w:val="restart"/>
          </w:tcPr>
          <w:p>
            <w:pPr>
              <w:jc w:val="right"/>
              <w:ind w:right="512"/>
              <w:spacing w:after="0"/>
              <w:rPr>
                <w:sz w:val="20"/>
                <w:szCs w:val="20"/>
                <w:color w:val="auto"/>
              </w:rPr>
            </w:pPr>
            <w:r>
              <w:rPr>
                <w:rFonts w:ascii="Arial" w:cs="Arial" w:eastAsia="Arial" w:hAnsi="Arial"/>
                <w:sz w:val="18"/>
                <w:szCs w:val="18"/>
                <w:color w:val="auto"/>
              </w:rPr>
              <w:t>17%</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22"/>
        </w:trPr>
        <w:tc>
          <w:tcPr>
            <w:tcW w:w="53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259,720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222,127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166,433</w:t>
            </w:r>
          </w:p>
        </w:tc>
        <w:tc>
          <w:tcPr>
            <w:tcW w:w="14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20,195</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NM</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Pre-Tax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70,507</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20,195</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reimbursable expenses of $9.9 million, $6.0 million and $3.2 million for the years ended December 31, 2010, 2009 and 2008, respectively.</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interest expense on the Senior Notes of $4.2 million and $2.7 million for the years ended December 31, 2010 and 2009, respectively.</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Noncontrolling interest of ($4.7) million for the year ended December 31, 2010.</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2010, the level of completed M&amp;A activity was generally flat versus 2009 while announced transaction value increased, as evidenced by the following industry statistics regarding the volume of transactions: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For the Years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Industry Statistics ($ in billions)*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951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Value of Global M&amp;A Deals Announced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2,405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1,979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2,846</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Value of Global M&amp;A Deals Completed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2,909</w:t>
            </w:r>
          </w:p>
        </w:tc>
        <w:tc>
          <w:tcPr>
            <w:tcW w:w="100" w:type="dxa"/>
            <w:vAlign w:val="bottom"/>
            <w:shd w:val="clear" w:color="auto" w:fill="CCEEFF"/>
          </w:tcPr>
          <w:p>
            <w:pPr>
              <w:spacing w:after="0"/>
              <w:rPr>
                <w:sz w:val="18"/>
                <w:szCs w:val="18"/>
                <w:color w:val="auto"/>
              </w:rPr>
            </w:pPr>
          </w:p>
        </w:tc>
      </w:tr>
      <w:tr>
        <w:trPr>
          <w:trHeight w:val="322"/>
        </w:trPr>
        <w:tc>
          <w:tcPr>
            <w:tcW w:w="8360" w:type="dxa"/>
            <w:vAlign w:val="bottom"/>
          </w:tcPr>
          <w:p>
            <w:pPr>
              <w:spacing w:after="0"/>
              <w:rPr>
                <w:sz w:val="20"/>
                <w:szCs w:val="20"/>
                <w:color w:val="auto"/>
              </w:rPr>
            </w:pPr>
            <w:r>
              <w:rPr>
                <w:rFonts w:ascii="Arial" w:cs="Arial" w:eastAsia="Arial" w:hAnsi="Arial"/>
                <w:sz w:val="18"/>
                <w:szCs w:val="18"/>
                <w:b w:val="1"/>
                <w:bCs w:val="1"/>
                <w:color w:val="auto"/>
              </w:rPr>
              <w:t>Evercore Statistics**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Fee Paying Clients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Investment Banking Clients With Fees of at Least $1 million</w:t>
            </w:r>
          </w:p>
        </w:tc>
        <w:tc>
          <w:tcPr>
            <w:tcW w:w="120" w:type="dxa"/>
            <w:vAlign w:val="bottom"/>
          </w:tcPr>
          <w:p>
            <w:pPr>
              <w:spacing w:after="0"/>
              <w:rPr>
                <w:sz w:val="19"/>
                <w:szCs w:val="19"/>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Source: Thomson Financial January 11, 2011</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revenue generating clients only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Banking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versus 2009</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Investment Banking Revenues were $301.8 million in 2010 compared to $292.6 million in 2009, which represented an increase of 3%. We earned revenue from 191 advisory clients in 2010, 62 of which exceeded $1.0 million in revenue, compared to 162 clients in 2009, 42 of which exceeded $1.0 million in revenue. The increase in revenues from 2009 primarily reflected the increase in revenue from new initiatives.</w:t>
      </w:r>
    </w:p>
    <w:p>
      <w:pPr>
        <w:spacing w:after="0" w:line="10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Operating Expenses were $240.3 million in 2010, as compared to $204.4 million in 2009, an increase of $35.9 million, or 18%. Employee Compensation and Benefits Expense, as a component of Operating Expenses, was $178.4 million in 2010, as compared to $163.3 million in 2009, an increase of $15.1 million, or 9%. The increase was due to compensation costs resulting primarily from our new businesses, as well as increased headcount in our advisory business, offset by the prior’s year impact of sign-on costs incurred in conjunction with the appointment of our President and Chief Executive Officer. Non-compensation expenses, as a component of Operating Expenses, were $61.9 million in 2010, as compared to $41.1 million in 2009, an increase of $20.8 million, or 51%. Non-compensation operating expenses increased from the prior year primarily driven by growth in the business and higher deal-related activity levels.</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Other Expenses of $19.4 million in 2010 included $17.5 million related to compensation costs associated with unvested LP Units and certain other awards and $1.9 million of intangible asset amortization. Other Expenses of $17.7 million in 2009 included $7.9 million related to compensation costs associated with unvested LP Units and certain other awards, $7.9 million of Special Charges and $1.9 million of intangible asset amortization.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versus 2008</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Investment Banking Revenues were $292.6 million in 2009 compared to $186.6 million in 2008, which represented an increase of 57%, despite the dollar value of North American and Global M&amp;A completed transactions decreasing 23% and 37%, respectively. The increase in revenues over 2008 reflected a strong contribution from U.S. restructuring assignments and our participation in larger U.S. M&amp;A fees relative to those recognized in the prior year.</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Operating Expenses were $204.4 million in 2009, as compared to $157.1 million in 2008, an increase of $47.3 million, or 30%. Employee Compensation and Benefits Expense, as a component of Operating Expenses, was $163.3 million in 2009, as compared to $116.4 million in 2008, an increase of $46.8 million, or 40%. The increase was primarily due to higher amounts of discretionary compensation accrued, reflecting higher revenues, as well as sign-on costs incurred in conjunction with the appointment of the President and Chief Executive Officer. Non-compensation expenses, as a component of Operating Expenses, were $41.1 million in 2009, as compared to $40.7 million in 2008, an increase of $0.5 million, or 1%. Non-compensation operating expenses increased slightly from the prior year.</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Other Expenses of $17.7 million in 2009 included $7.9 million related to amortization costs associated with unvested LP Units and certain other awards, $7.9 million of Special Charges and $1.9 million of intangible asset amortization. Other Expenses of $9.3 million in 2008 related to a charge associated with deferred consideration pursuant to the Braveheart Sale and Purchase Agreement of $7.5 million, as well as amortization of intangibles of $1.9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 v. 2009</w:t>
            </w:r>
          </w:p>
        </w:tc>
        <w:tc>
          <w:tcPr>
            <w:tcW w:w="6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 v. 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Wealth Management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152%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Institutional Asset Management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51,663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2,658</w:t>
            </w:r>
          </w:p>
        </w:tc>
        <w:tc>
          <w:tcPr>
            <w:tcW w:w="560" w:type="dxa"/>
            <w:vAlign w:val="bottom"/>
          </w:tcPr>
          <w:p>
            <w:pPr>
              <w:spacing w:after="0"/>
              <w:rPr>
                <w:sz w:val="18"/>
                <w:szCs w:val="18"/>
                <w:color w:val="auto"/>
              </w:rPr>
            </w:pP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247%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Management Fees</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141%</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230"/>
        </w:trPr>
        <w:tc>
          <w:tcPr>
            <w:tcW w:w="45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69,885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28,989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12,218</w:t>
            </w:r>
          </w:p>
        </w:tc>
        <w:tc>
          <w:tcPr>
            <w:tcW w:w="5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w:t>
            </w:r>
          </w:p>
        </w:tc>
        <w:tc>
          <w:tcPr>
            <w:tcW w:w="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Institutional Asset Management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5,546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(3,140)</w:t>
            </w: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678%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NM</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Realized and Unrealized Gains (Losses)</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NM</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(4,466)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(1,476)</w:t>
            </w:r>
          </w:p>
        </w:tc>
        <w:tc>
          <w:tcPr>
            <w:tcW w:w="13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(931)</w:t>
            </w: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NM</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Investment Management Revenue(2)</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233%</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221"/>
        </w:trPr>
        <w:tc>
          <w:tcPr>
            <w:tcW w:w="454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77,579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23,269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9,811</w:t>
            </w:r>
          </w:p>
        </w:tc>
        <w:tc>
          <w:tcPr>
            <w:tcW w:w="5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 net(3)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(1,413)</w:t>
            </w: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Net Investment Management Revenues</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252%</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line="20" w:lineRule="exact"/>
              <w:rPr>
                <w:sz w:val="1"/>
                <w:szCs w:val="1"/>
                <w:color w:val="auto"/>
              </w:rPr>
            </w:pPr>
          </w:p>
        </w:tc>
      </w:tr>
      <w:tr>
        <w:trPr>
          <w:trHeight w:val="230"/>
        </w:trPr>
        <w:tc>
          <w:tcPr>
            <w:tcW w:w="45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77,050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21,911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8,398</w:t>
            </w:r>
          </w:p>
        </w:tc>
        <w:tc>
          <w:tcPr>
            <w:tcW w:w="5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81,186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56,529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31,878</w:t>
            </w:r>
          </w:p>
        </w:tc>
        <w:tc>
          <w:tcPr>
            <w:tcW w:w="560" w:type="dxa"/>
            <w:vAlign w:val="bottom"/>
          </w:tcPr>
          <w:p>
            <w:pPr>
              <w:spacing w:after="0"/>
              <w:rPr>
                <w:sz w:val="18"/>
                <w:szCs w:val="18"/>
                <w:color w:val="auto"/>
              </w:rPr>
            </w:pP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Expenses</w:t>
            </w: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19%</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84,935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71,234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37,606</w:t>
            </w:r>
          </w:p>
        </w:tc>
        <w:tc>
          <w:tcPr>
            <w:tcW w:w="5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(7,885)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(49,323)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(29,208)</w:t>
            </w: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(371)</w:t>
            </w: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59%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Pre-Tax Income (Loss)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(8,458)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(50,729)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(29,579)</w:t>
            </w: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EAM, which was consolidated April 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reimbursable expenses of $0.2 million, $0.2 million and $0.6 million for the years ended December 31, 2010, 2009 and 2008, respectively.</w:t>
      </w:r>
    </w:p>
    <w:p>
      <w:pPr>
        <w:spacing w:after="0" w:line="99"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interest expense on the Senior Notes of $3.5 million, $4.9 million and $2.6 million for the years ended December 31, 2010, 2009 and 2008, respectively.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Noncontrolling interest of ($0.2) million and ($3.3) million for the years ended December 31, 2010 and 2009,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in Pan and G5 are classified as Income (Loss) from Equity Method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Management Results of Operations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Wealth Management business includes the results of EWM, which commenced operations in the fourth quarter of 2008 and our acquisition of Morse, Williams and Company, Inc. (“Morse Williams”) during the second quarter of 2010. Our Institutional Asset Management business includes the results of ETC and EAM, which were consolidated in the second quarter of 2009, and Atalanta Sosnoff, which was consolidated during the second quarter of 2010. Our results for 2010 include seven months of Atalanta Sosnoff’s results, while our results for 2009 include nine and eight months of EAM and ETC’s results, respectively. Fee-based revenues from EWM and Atalanta Sosnoff are primarily earned on a percentage of AUM, while ETC primarily earns fees from negotiated trust services and fiduciary consulting arrangements.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U.S. private equity funds, with the exception of ECP I, earn management fees of 1% of invested capital. Starting January 1, 2010, pursuant to an amendment to the ECP I Partnership Agreement, no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management fees were earned. Our Mexico private equity fund earns management fees of 2.25% on committed capital during its investment period and 2.25% on net funded committed capital thereafter. Management fees for our Mexican private equity fund, EMCP II, were calculated on committed capital.</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the general partner of the private equity funds earns carried interest of 20% based on the fund’s performance, provided it exceeds preferred return hurdles to its limited partners. We own 8%-9% of the carried interest earned by the general partner of ECP II and 100% of Carried Interest in EMCP II. A significant portion of any gains recognized related to ECP II are distributed to certain of our U.S. private equity professionals.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event the fund performs poorly we may be obligated to repay certain carried interest previously distributed. As of December 31, 2010, we had $2.7 million of previously received carried interest that may be subject to repayment.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AUM for our Investment Management business of $17.4 billion at December 31, 2010, increased from $4.3 billion at December 31, 2009. The amounts of AUM presented in the table below reflect the assets for which we charge a management fee. These assets reflect the fair value of assets managed on behalf of Institutional Asset Management and Wealth Management clients, and the amount of either invested or committed capital to the Private Equity funds. As defined in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valuations performed for Level I investments are based on quoted prices obtained from active markets generated by third parties and Level II investments are valued through the use of models based on either direct or indirect observable inputs in the use of models or other valuation methodologies performed by third parties to determine fair value. For both the Level I and Level II investments, we obtain both active quotes from nationally recognized exchanges and third-party pricing services to determine market or fair value quotes, respectively. Wealth Management maintained 48% and 42% of Level I investments and 52% and 58% of Level II investments as of December 31, 2010 and 2009, respectively, and Institutional Asset Management maintained 95% and 85% of Level I investments and 5% and 15% of Level II investments as of December 31, 2010 and 2009, respectively. As noted above, Private Equity AUM is not presented at fair market value, but reported at either invested or committed capital in line with fee arrangements; notwithstanding, these assets represent primarily Level III investments.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Institutional</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Wealth</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Asset</w:t>
            </w:r>
          </w:p>
        </w:tc>
        <w:tc>
          <w:tcPr>
            <w:tcW w:w="20" w:type="dxa"/>
            <w:vAlign w:val="bottom"/>
          </w:tcPr>
          <w:p>
            <w:pPr>
              <w:spacing w:after="0"/>
              <w:rPr>
                <w:sz w:val="12"/>
                <w:szCs w:val="12"/>
                <w:color w:val="auto"/>
              </w:rPr>
            </w:pPr>
          </w:p>
        </w:tc>
        <w:tc>
          <w:tcPr>
            <w:tcW w:w="42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Private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Management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Management</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Equity</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314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$ 629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Inflows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Market Appreciation</w:t>
            </w:r>
          </w:p>
        </w:tc>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629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Inflows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10,608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Market Depreciation</w:t>
            </w: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3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629</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Inflows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Market Appreciation</w:t>
            </w:r>
          </w:p>
        </w:tc>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629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Inflows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Market Appreciation</w:t>
            </w:r>
          </w:p>
        </w:tc>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314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$ 629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0" w:type="dxa"/>
            <w:vAlign w:val="bottom"/>
            <w:vMerge w:val="restart"/>
          </w:tcPr>
          <w:p>
            <w:pPr>
              <w:jc w:val="right"/>
              <w:ind w:right="1032"/>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AUM increased from December 31, 2009, primarily due to the addition of assets in Institutional Asset Management from our acquisition of Atalanta Sosnoff during the second quarter of 2010, which resulted in the combination of $10.2 billion of AUM. Wealth Management increased from December 31, 2009 primarily due to client inflows from the addition of new clients and the acquisition of Morse Williams, which resulted in the consolidation of $0.2 billion of AUM, during the second quarter of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versus 2009</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Net Investment Management Revenues were $77.1 million in 2010, compared to $21.9 million in 2009. Fee-based revenues earned from the management of client portfolios and other investment advisory services increased 141% from 2009 primarily as a result of the acquisition of new businesses within Institutional Asset Management and Wealth Management, as well as continued growth in AUM. Fee-based revenues included $0.3 million of revenues from performance fees during 2010 compared to $0.1 million in 2009. Realized and Unrealized Gains (Losses) increased from the prior year primarily resulting from gains on the seed capital managed by EAM, EWM and G5 and realized gains in PCB and in our private equity funds.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Expenses were $81.2 million in 2010, as compared to $56.5 million in 2009, an increase of $24.7 million, or 44%. Employee Compensation and Benefits Expense, as a component of Operating Expenses, was $52.7 million in 2010, as compared to $38.1 million in 2009, an increase of $14.6 million, or 38%. Non-compensation expenses, as a component of Operating Expenses, were $28.5 million in 2010, as compared to $18.4 million in 2009, an increase of $10.1 million, or 55%. The increase in Operating Expenses was primarily a result of the acquisition of new businesses added during 2009 and 2010.</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Expenses of $3.7 million in 2010 included $3.3 million related to compensation costs associated with unvested LP Units and certain other awards and amortization of intangibles of $0.5 million. Other Expenses of $14.7 million in 2009 included $1.5 million related to compensation costs associated with unvested LP Units and certain other awards, Special Charges of $12.2 million, Acquisition and Transition Costs of $0.7 million and amortization of intangibles of $0.3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versus 2008</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Net Investment Management Revenues were $21.9 million in 2009, compared to $8.4 million in 2008, which represented an increase of 161%. Management Fees earned from the management of client portfolios and other investment advisory services increased 137% from 2008 as a result of the acquisition of new businesses, as well as continued growth in AUM. Fee-based revenues included $0.1 million of revenues from performance fees during 2009 and 2008. Realized and Unrealized Gains (Losses) decreased substantially from the prior year primarily resulting from losses related to ECP II. Other contributing factors for our losses include our losses related to the HighView Investment Group and EAM.</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Expenses were $56.5 million in 2009, as compared to $31.9 million in 2008, an increase of $24.7 million, or 77%. Employee Compensation and Benefits Expense, as a component of Operating Expenses, was $38.1 million in 2009, as compared to $22.8 million in 2008, an increase of $15.4 million, or 67%. The increase was primarily due to sign-on costs incurred in conjunction with the appointment of the President and Chief Executive Officer and compensation costs resulting from new businesses, as well as a charge for the accelerated vesting of RSUs in connection with U.S. private equity restructuring and severance. Non-compensation expenses, as a component of Operating Expenses, were $18.4 million in 2009, as compared to $9.1 million in 2008, an increase of $9.3 million, or 102%. The increase was primarily a result of the acquisition of new businesses.</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Other Expenses of $14.7 million in 2009 included $1.5 million related to compensation costs associated with unvested LP Units and certain other awards, Special Charges of $12.2 million, Acquisition and Transition Costs of $0.7 million and amortization of intangibles of $0.3 million. Total Other Expenses of $5.7 million in 2008 included Special Charges of $4.1 million and Acquisition and Transition Costs of $1.6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Offerings of Class A Common Stock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2010 and 2009, we completed offerings of 2,954,438 and 3,721,788 shares of Class A common stock, respectively. Net proceeds in conjunction with these issuances were $77.2 million and $70.8 million, respectively. We used all of the proceeds from these offerings to purchase from certain holders, including members of our senior management, a number of outstanding LP Units that was equal to the number of newly-issued shares of Class A common stock sold by us in the offering.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LP Units held by members of Evercore LP (“Members”) may be exchanged in the future for shares of our Class A common stock on a one-for-one basis, subject to customary conversion rate adjustments for stock splits, stock dividends and reclassifications. The above exchanges and any such future exchanges are expected to result in an increase in the tax basis of the tangible and intangible assets of Evercore LP. These increases in tax basis increase (for tax purposes) amortization and, therefore, reduce the amount of tax that we would otherwise be required to pay.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tax receivable agreement with Members that provides for the payment by us to an exchanging Member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Members are expected to be substantial.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the tax receivable agreement on our Consolidated Statement of Financial Condition as a result of the above exchanges were increases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$37.0 million and $37.8 million related to the 2010 and 2009 offerings, respectively, in deferred tax assets for the estimated income tax effects of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tax basis of the assets owned by Evercore LP, based on enacted federal and state tax rates at the dates of the transactions. To the extent we estimate that we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will not realize the full benefit represented by the deferred tax asset, based on an analysis of expected future earnings, we will reduce the deferred tax asset with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recorded 85% of the estimated realizable tax benefit (which is the recorded deferred tax asset less any recorded valuation allowance) as increases of $31.4 million and $32.1 million related to the 2010 and 2009 offerings, respectively, between Amounts Due Pursuant to Tax Receivable Agreements and Payable to Employees and Related Parties. We recorded the remaining 15% of the estimated realizable tax benefit, or $5.5 million and $5.7 million related to the 2010 and 2009 offerings, respectively, as increases to Additional Paid-In-Capital.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amounts that were recorded for both the deferred tax asset and the liability for our obligations under the tax receivable agreement have been estimated. Any additional payments under the tax receivable agreement that will further increase the tax benefits and the estimated payments under the tax receivable agreement have not been included in the estimates. All of the effects of changes in any of our estimates after the dates of the exchanges will be included in net income. Similarly, the effect of subsequent changes in the enacted tax rates will be included in net income. Future exchanges of LP Units for our shares of Class A common stock will be accounted for in a similar manner.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operating cash flows are primarily influenced by the timing and receipt of investment banking and investment management fees, and the payment of operating expenses, including bonuses to our employees and interest expense on our Senior Notes. Investment Banking advisory fees are generally collected within 90 days of billing. Management fees from our private equity investment management activities are generally billed in advance but collected at the end of a half year period from billing. Fees from our wealth management and institutional asset management businesses are generally billed and collected within 90 days. We traditionally pay a substantial portion of incentive compensation to personnel in the Investment Banking business and to executive officers during the first three months of each calendar year with respect to the prior year’s results. Our investing and financing cash flows are primarily influenced by activities to deploy capital to fund investments and acquisitions, raise capital through the issuance of stock or debt, repurchase of outstanding Class A shares, payment of dividends and other periodic distributions to our stakeholders. We generally make dividend payments and other distributions on a quarterly basis. A summary of our operating, investing and financing cash flows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Provided By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Non-cash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78,796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(39,274)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(15,756)</w:t>
            </w:r>
          </w:p>
        </w:tc>
        <w:tc>
          <w:tcPr>
            <w:tcW w:w="0" w:type="dxa"/>
            <w:vAlign w:val="bottom"/>
          </w:tcPr>
          <w:p>
            <w:pPr>
              <w:spacing w:after="0"/>
              <w:rPr>
                <w:sz w:val="1"/>
                <w:szCs w:val="1"/>
                <w:color w:val="auto"/>
              </w:rPr>
            </w:pPr>
          </w:p>
        </w:tc>
      </w:tr>
      <w:tr>
        <w:trPr>
          <w:trHeight w:val="221"/>
        </w:trPr>
        <w:tc>
          <w:tcPr>
            <w:tcW w:w="83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88,101</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(43,866)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(42,680)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(66,823)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(14,880)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(65,345)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30,780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206,682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175,902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141,337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206,682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2010. </w:t>
      </w:r>
      <w:r>
        <w:rPr>
          <w:rFonts w:ascii="Arial" w:cs="Arial" w:eastAsia="Arial" w:hAnsi="Arial"/>
          <w:sz w:val="16"/>
          <w:szCs w:val="16"/>
          <w:color w:val="auto"/>
        </w:rPr>
        <w:t>Cash and Cash Equivalents were $141.3 million at December 31, 2010, a decrease of $65.3 million versus Cash and Cash Equivalents of $206.7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2009. Operating activities resulted in a net inflow of $45.0 million, primarily related to earnings excluding non-cash charges, which reflect share-based compensation and other deferred compensation, offset by the payment of 2009 bonus awards. Cash of $43.9 million was used in investing activities primarily due to cash paid for acquisitions, offset by net proceeds from sales and maturities of Marketable Securities. Financing activities during the period used cash of $66.8 million, primarily for the purchase of LP Units, payment of dividends, distributions to Partners and treasury stock purchases offset by the issuance and sale of Class A common shares.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2009. </w:t>
      </w:r>
      <w:r>
        <w:rPr>
          <w:rFonts w:ascii="Arial" w:cs="Arial" w:eastAsia="Arial" w:hAnsi="Arial"/>
          <w:sz w:val="16"/>
          <w:szCs w:val="16"/>
          <w:color w:val="auto"/>
        </w:rPr>
        <w:t>Cash and Cash Equivalents were $206.7 million at December 31, 2009, an increase of $30.8 million versus Cash and Cash Equivalents of $175.9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2008. Operating activities during 2009 resulted in a net inflow of $88.1 million, primarily related to higher earnings, excluding non-cash charges which reflect an increase in share-based compensation resulting from the cancellation of certain equity awards, and an increase in accrued compensation and benefits, offset by an increase in assets segregated for bank regulators. Cash of $42.7 million was used in investing activities primarily for purchases of marketable securities and the acquisitions of SFS and EAM. Financing activities during the period used cash of $14.9 million, primarily for partnership distributions, the purchase of LP Units, payment of dividends and treasury stock purchases offset by the issuance and sale of Class A common shares, LP Units and for cash received from the noncontrolling interest of ETC.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2008. </w:t>
      </w:r>
      <w:r>
        <w:rPr>
          <w:rFonts w:ascii="Arial" w:cs="Arial" w:eastAsia="Arial" w:hAnsi="Arial"/>
          <w:sz w:val="16"/>
          <w:szCs w:val="16"/>
          <w:color w:val="auto"/>
        </w:rPr>
        <w:t>Cash and Cash Equivalents were $175.9 million at December 31, 2008, a decrease of $17.6 million versus Cash and Cash Equivalents of $193.5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2007. Operating activities during 2008 resulted in a net inflow of $18.3 million, principally driven by cash earnings and a decrease in accounts receivable. Cash of $112.2 million was used in investing activities primarily to purchase marketable securities, as well as the Company’s commitment to contribute capital to the private equity funds and Pan. Financing activities during the year provided cash of $90.0 million, primarily due to $120.0 million of cash inflows from the Senior Notes and Warrants issued, offset by $16.6 million of distributions to Evercore LP limited partners, $7.1 million in Treasury Stock Purchased and dividends paid of $6.2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Our current assets include Cash and Cash Equivalents, Marketable Securities and Accounts Receivable in relation to Investment Banking and Investment Management revenues. Our current liabilities include accrued expenses and accrued employee compensation. We traditionally have made payments for employee bonuses and year-end distributions to partners in the first quarter of the year with respect to the prior year’s results. Cash distributions related to partnership tax allocations are made to the partners of Evercore LP in accordance with our corporate estimated payment calendar; these payments are made prior the end of each calendar quarter. In addition, dividends on Class A common shares are paid when and if declared by the Board of Directors, which is generally quarterly.</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regularly monitor our liquidity position, including cash, other significant working capital current assets and liabilities, long-term liabilities, lease commitments, principal investment commitments related to our Investment Management business, dividends on Class A common shares, partnership distributions and other matters relating to liquidity and compliance with regulatory requirements. Our liquidity is highly dependent on our revenue stream from our operations, principally from our Investment Banking business, which is a function of closing transactions and earning success fees, the timing and realization of which is irregular and dependent upon factors that are not subject to our control. Our revenue stream funds the payment of our expenses, including annual bonus payments, a portion of which are guaranteed, interest expense on our Senior Notes and income taxes. Payments made for income taxes may be reduced by deductions taken for the increase in tax basis of our investment in Evercore LP.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commitments. The result of this review contributes to management’s recommendation to the Board of Directors as to the level of quarterly dividend payments, if any.</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Revenue generated by our advisory activities is directly related to the number and value of the transactions in which we are involved. During periods of unfavorable market or economic conditions, the number and value of M&amp;A transactions generally decrease, and they increase during periods of favorable market or economic conditions. Restructuring activity generally is counter-cyclical to M&amp;A activity. In addition, our Investment Management business may be impacted by reduced equity valuations and generate relatively lower revenue because fees we receive typically are in part based on the market value of underlying publicly-traded securities. Our profitability may also be adversely affected by our fixed costs and the possibility that we would be unable to scale back other costs within a time frame sufficient to match any decreases in revenue relating to changes in market and economic conditions. For a further discussion of risks related to our business, see “Risk Factors” elsewhere in this Form 10-K.</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second quarter of 2008, our Board of Directors authorized the repurchase of up to $25.0 million of Evercore Class A common stock and/or LP Units. During 2010, we repurchased 921,193 shares for $24.4 million, concluding the share repurchase program.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October 2010, our Board of Directors authorized the repurchase of up to 2 million shares of Evercore Class A Common Stock and/or LP Units for up to $85.0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periodically, we buy shares into treasury from our employees in order to fund the minimum tax requirements for share deliveries under our share equity plan. During 2010, we repurchased 436,068 shares for $13.0 million related to share deliveries.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August 21, 2008, we entered into a Purchase Agreement with Mizuho pursuant to which Mizuho purchased from us $120.0 million principal amount of Senior Notes and the Warrants to purchase 5,454,545 shares of Evercore Class A common stock at $22.00 per share expiring in 2020. The holder of the Senior Notes may require us to purchase, for cash, all or any portion of the holder’s Senior Notes upon a change of control of the Company for a price equal to the aggregate accreted amount of such Senior Notes (“Accreted Amount”), plus accrued and unpaid interest. Senior Notes held by Mizuho will be redeemable at the Accreted Amount at our option at any time within 90 days following the date on which Mizuho notifies us that it is terminating their strategic alliance agreement. Senior Notes held by any holder other than Mizuho will be redeemable at the Accreted Amount (plus accrued and unpaid interest) at our option at any time beginning on the third anniversary of closing. In the event of a default under the indenture, the trustee or holders of 33 1/3% of the Senior Notes may declare that the Accreted Amount is immediately due and payable.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Pursuant to the agreement, Mizuho may not transfer the Senior Notes or Warrants until either (a) after August 16, 2012 or (b) if the Strategic Alliance Agreement is terminated, the later of the third anniversary of the closing of the purchase of the Senior Notes and Warrants or one year following such termination. We have a right of first offer on any proposed transfer by Mizuho of the Warrants, Common Stock purchased by Mizuho in the open market or acquired by Mizuho upon exercise of the Warrants and associated Common Stock issued as dividends.</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agreement with Mizuho, Evercore is subject to certain nonfinancial covenants. As of December 31, 2010, we were in compliance with all of these covenants.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made certain capital commitments, with respect to our investment activities, as well as commitments related to redeemable noncontrolling interest and contingent consideration from our acquisitions, which are included in the Contractual Obligations section below.</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$8.1 million and secured with trading securities. No interest is charged on the intra-day facility. The overnight facility is charged the Inter-Bank Balance Interest Rate plus 10 basis points and is secured with trading securities. There have been no significant draw downs on PCB’s line of credit since August 10, 2006. The line of credit is renewable annually.</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Certain of our subsidiaries are regulated entities and are subject to capital requirements. For further information see Note 19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Financing Activity at PCB</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PCB enters into repurchase agreements with clients seeking overnight money market returns whereby PCB transfers to the clients Mexican government securities in exchange for cash and concurrently agrees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Statements of Financial Condition in relation to repurchase transactions executed with clients as Securities Sold Under Agreements to Repurchase. We record as assets on our Consolidated Statements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repurchase agreements by entering into reverse repurchase agreements with unrelated third parties). These Mexican government securities included in Financial Instruments Owned and Pledged as Collateral at Fair Value on the Consolidated Statements of Financial Condition have an estimated average time to maturity of approximately 2.6 years, as of December 31, 2010,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PCB, generally mature within one business day and permit the counterparty to pledge the securities. Increases and decreases in asset and liability levels related to these transactions are a function of growth in PCB’s AUM, as well as clients’ investment allocations requiring positioning in repurchase transactions.</w:t>
      </w:r>
    </w:p>
    <w:p>
      <w:pPr>
        <w:spacing w:after="0" w:line="128"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PCB has procedures in place to monitor the daily risk limits for positions taken, as well as the credit risk based on the collateral pledged under these agreements against their contract value from inception to maturity date. The daily risk measure is Value at Risk, which is a statistical measure, at a 98% confidence level, of the potential losses from adverse market movements in an ordinary market environment based on a historical simulation using the prior year’s historical data. PCB’s Risk Management Committee meets monthly to analyze the overall market risk exposure based on positions taken, as well as the credit risk, based on the collateral pledged under these agreements against the contract value from inception to maturity date.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periodically assess the collectability or credit quality related to securities purchased under agreements to resell; as of December 31, 2010, the Company believes it maintains a sufficient level of cash or collateral.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and 2009, a summary of PCB’s assets, liabilities and risk measures related to its collateralized financing activities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jc w:val="right"/>
              <w:ind w:right="1700"/>
              <w:spacing w:after="0"/>
              <w:rPr>
                <w:sz w:val="20"/>
                <w:szCs w:val="20"/>
                <w:color w:val="auto"/>
              </w:rPr>
            </w:pPr>
            <w:r>
              <w:rPr>
                <w:rFonts w:ascii="Arial" w:cs="Arial" w:eastAsia="Arial" w:hAnsi="Arial"/>
                <w:sz w:val="14"/>
                <w:szCs w:val="14"/>
                <w:b w:val="1"/>
                <w:bCs w:val="1"/>
                <w:color w:val="auto"/>
                <w:w w:val="88"/>
              </w:rPr>
              <w:t>December 31, 2010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w w:val="92"/>
              </w:rPr>
              <w:t>Market Value of</w:t>
            </w: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4"/>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 Received 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Collateral Received or</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(Pledged)</w:t>
            </w: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(Pledged)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60" w:type="dxa"/>
            <w:vAlign w:val="bottom"/>
          </w:tcPr>
          <w:p>
            <w:pPr>
              <w:spacing w:after="0"/>
              <w:rPr>
                <w:sz w:val="20"/>
                <w:szCs w:val="20"/>
                <w:color w:val="auto"/>
              </w:rPr>
            </w:pPr>
            <w:r>
              <w:rPr>
                <w:rFonts w:ascii="Arial" w:cs="Arial" w:eastAsia="Arial" w:hAnsi="Arial"/>
                <w:sz w:val="18"/>
                <w:szCs w:val="18"/>
                <w:color w:val="auto"/>
                <w:w w:val="97"/>
              </w:rPr>
              <w:t>Financial Instruments Owned and Pledged as Collateral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220"/>
              <w:spacing w:after="0"/>
              <w:rPr>
                <w:sz w:val="20"/>
                <w:szCs w:val="20"/>
                <w:color w:val="auto"/>
              </w:rPr>
            </w:pPr>
            <w:r>
              <w:rPr>
                <w:rFonts w:ascii="Arial" w:cs="Arial" w:eastAsia="Arial" w:hAnsi="Arial"/>
                <w:sz w:val="18"/>
                <w:szCs w:val="18"/>
                <w:color w:val="auto"/>
              </w:rPr>
              <w:t>at Fair Value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52,217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122,618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126,401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126,386</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184,118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183,957</w:t>
            </w:r>
          </w:p>
        </w:tc>
        <w:tc>
          <w:tcPr>
            <w:tcW w:w="0" w:type="dxa"/>
            <w:vAlign w:val="bottom"/>
          </w:tcPr>
          <w:p>
            <w:pPr>
              <w:spacing w:after="0"/>
              <w:rPr>
                <w:sz w:val="1"/>
                <w:szCs w:val="1"/>
                <w:color w:val="auto"/>
              </w:rPr>
            </w:pPr>
          </w:p>
        </w:tc>
      </w:tr>
      <w:tr>
        <w:trPr>
          <w:trHeight w:val="221"/>
        </w:trPr>
        <w:tc>
          <w:tcPr>
            <w:tcW w:w="43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178,618</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306,736</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(178,683)</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(178,603)</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(306,894)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(306,576)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Risk Measures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Value at Risk</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Sensitivity to a 100 basis point increase in the interest</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rate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Sensitivity to a 100 basis point decrease in the interest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5"/>
              </w:rPr>
              <w:t>Payment Due 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Less than 1 year</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75"/>
              </w:rPr>
              <w:t>(dollars in thousands)</w:t>
            </w:r>
          </w:p>
        </w:tc>
        <w:tc>
          <w:tcPr>
            <w:tcW w:w="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175,646</w:t>
            </w:r>
          </w:p>
        </w:tc>
        <w:tc>
          <w:tcPr>
            <w:tcW w:w="28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32,167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28,613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101,158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16,912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Notes Payable, Including Interest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182,400</w:t>
            </w:r>
          </w:p>
        </w:tc>
        <w:tc>
          <w:tcPr>
            <w:tcW w:w="28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12,480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Investment Banking Commitments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Investment Management Commitments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18,468</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6,852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480,542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32,672</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67,362</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58,478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As of December 31, 2010, we were unable to make reasonably reliable estimates of the period of cash settlement with the respective taxing authority, hence, per ASC 740, unrecognized tax benefits have been excluded from the above commitments and contractual obligations.</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had total commitments (not reflected on our Consolidated Statements of Financial Condition) relating to future principal investments of $8.1 million and $13.7 million as of December 31, 2010 and 2009, respectively. We expect to fund these commitments with cash flows from operations. We may be required to fund these commitments at any time through December 2017, depending on the timing and level of investments by our private equity funds.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February 2010, we announced the formation of a strategic alliance to pursue private equity investment opportunities with Trilantic and to collaborate on the future growth of Trilantic’s business. Under terms of the agreement, we issued 500,000 LP Units with a minimum redemption value of $16.5 million on December 31, 2014 in exchange for a minority economic interest in Trilantic’s general partner interest in its current fund. We also will commit 2.5% of the total capital commitments of Trilantic’s next private equity fund when it is raised, up to $50.0 million.</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also have commitments related to our redeemable noncontrolling interests. See Note 15 for further information. See Note 4 for our commitments related to the contingent consideration for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Investment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Institutional Asset Management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invest in funds managed by EAM, EWM and G5. These funds principally hold readily-marketable investment securities. As of December 31, 2010, the fair value of our investments with these products, based on closing prices, was $16.3 million.</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estimate that a hypothetical 10% adverse change in the market value of the investments would have resulted in a decrease in pre-tax income of approximately $1.6 million for the year ended December 31,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above for a discussion of collateralized financing transactions at PCB.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Funds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Through our principal investments in our private equity funds and our ability to earn carried interest from these funds, we face exposure to changes in the estimated fair value of the companies in which these funds invest. Our professionals devote considerable time and resources to work closely with the portfolio company’s management to assist in designing a business strategy, allocating capital and other resources and evaluating expansion or acquisition opportunities. On a quarterly basis, we perform a comprehensive analysis and valuation of all of the portfolio companies. Our analysis includes reviewing the current market conditions and valuations of each portfolio company. Valuations and analysis regarding our investments in the CSI Capital, L.P. fund and Trilantic are performed by their respective professionals.</w:t>
      </w:r>
    </w:p>
    <w:p>
      <w:pPr>
        <w:spacing w:after="0" w:line="14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estimate that a hypothetical 10% adverse change in the value of the private equity funds would have resulted in a decrease in pre-tax income of approximately $2.1 million for the year ended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foreign operations, through our subsidiaries and affiliates, in Mexico, the United Kingdom, Brazil and Hong Kong which creates foreign exchange rate risk. Their respective functional currencies are the Mexican peso, British pound sterling, Brazilian real and Hong Kong dollar. We have not entered into any transactions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hedge our exposure to these foreign exchange fluctuations through the use of derivative instruments or otherwise. An appreciation or depreciation of any of these currencies relative to the U.S. dollar would result in an adverse or beneficial impact to our financial results. A significant portion of our Latin American revenues have been, and will continue to be, derived from contracts denominated in Mexican pesos and Evercore Europe’s revenue and expenses are denominated primarily in British pounds sterling and euro. Historically, the value of these foreign currencies has fluctuated relative to the U.S. dollar. For the year ended December 31, 2010, the net impact of the fluctuation of foreign currencies recorded in Other Comprehensive Income and Noncontrolling Interest within the Consolidated Statement of Equity was $0.9 million. It is currently not our intention to hedge our foreign currency exposure, and we will reevaluate this policy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cash and cash equivalents with financial institutions with high credit ratings. At times, we may maintain deposits in federally insured financial institutions in excess of federally insured (“FDIC”) limits. However, we believe that the firm is not exposed to significant credit risk due to the financial position of the depository institution in which those deposits are held.</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We maintain an allowance for bad debts to provide coverage for probable losses from our customer receivables and derive the estimate through specific identification for the allowance for doubtful accounts and an assessment of the client’s creditworthiness. As of December 31, 2010 and 2009, total receivables amounted to $49.6 million and $24.6 million, respectively, net of an allowance. The Investment Banking and Investment Management receivables collection periods generally are within 90 days of invoice. The collection period for restructuring transactions and private equity fee receivables may exceed 90 days. We recorded minimal bad debt expense for each of the years ended December 31, 2010 and 2009.</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With respect to our Marketable Securities portfolio, which is comprised primarily of highly rated corporate and municipal bonds and Seed Capital Investments, we manage our credit risk exposure by limiting concentration risk and maintaining minimum credit quality. As of December 31, 2010, we had Marketable Securities of $92.8 million, of which 82% were corporate and municipal bonds and other debt securities primarily with S&amp;P ratings ranging from AAA to BB+ and 18% were Seed Capital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consolidated financial statements included in this report are prepared in conformity with U.S. GAAP, which requires management to make estimates and assumptions regarding future events that affect the amounts reported in our consolidated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Banking Revenue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earn investment banking fees from our clients for providing advisory services on mergers, acquisitions, divestitures, leveraged buyouts, restructurings and similar corporate finance matters. It’s our accounting policy to recognize revenue when (i) there is persuasive evidence of an arrangement with a client, (ii) fees are fixed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determinable, (iii) the agreed-upon services have been completed and delivered to the client or the transaction or events contemplated in the engagement letter are determined to be substantially completed and (iv) collection is reasonably assured. We record Investment Banking Revenue on the Consolidated Statement of Operations for the following:</w:t>
      </w:r>
    </w:p>
    <w:p>
      <w:pPr>
        <w:spacing w:after="0" w:line="5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general, advisory fees are paid at the time we sign an engagement letter, during the course of the engagement or when an engagement is completed. In some circumstances, and as a function of the terms of an engagement letter, we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which is recorded within Other Current Liabilities on the Consolidated Statements of Financial Condition, and subsequently recognized as revenue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M&amp;A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12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Placement fee revenues are attributable to capital raising. We recognize placement advisory fees at the time of the client’s acceptance of capital or capital commitments in accordance with the terms of the engagement letter.</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Underwriting revenues are attributable to public and private offerings of equity and debt securities and are recognized when the offering has been deemed to be completed by the lead manager of the underwriting group, pursuant to applicable SEC and FINRA rules. When the offering is completed, we recognize the applicable management fee, selling concession and underwriting fee, the latter net of estimated offering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Commissions received from customers on agency-based brokerage transactions in listed and over-the-counter equities are recorded on a trade-date basis.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Management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Management business generates revenues from the management of client assets and the private equity funds.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management fees generated for third-party clients are generally based on the value of the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is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We also record performance fee revenue from the private equity funds when the returns on the private equity funds’ investments exceed certain threshold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Fees for serving as an independent fiduciary and/or trustee are either based on a flat fee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w:t>
      </w:r>
    </w:p>
    <w:p>
      <w:pPr>
        <w:spacing w:after="0" w:line="113"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Net Interest revenue is derived from investing customer funds in financing transactions. These transactions are primarily repurchases and resales of Mexican government securities. Revenue and expenses associated with these transactions are recognized over the term of the repurchase or resale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valuation of our investments in securities and of our financial investments in the funds we manage impacts both the carrying value of direct investments and the determination of performance fees, including carried interest. Effective January 1, 2008, we adopted ASC 820, which among other things requires enhanced disclosures about financial instruments carried at fair value. See Note 10 to the consolidated financial statements for further information. Level I investments include financial instruments owned and pledged as collateral and readily-marketable equity securities. Level II investments include our investments in corporate and municipal bonds and other debt securities. We did not have any Level III investments as of December 31, 2010.</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adopted ASC 825,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(“ASC 825”), which permits entities the option to measure most financial instruments and certain other items at fair value at specified election dates and to report related unrealized gains and losses in earnings. We adopted ASC 825 on January 1, 2008 and have not elected to apply the fair value option to any specific financial assets or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Investments in corporate and municipal bonds and other debt securities are accounted for as available-for-sale under ASC 320-10, </w:t>
      </w:r>
      <w:r>
        <w:rPr>
          <w:rFonts w:ascii="Arial" w:cs="Arial" w:eastAsia="Arial" w:hAnsi="Arial"/>
          <w:sz w:val="16"/>
          <w:szCs w:val="16"/>
          <w:i w:val="1"/>
          <w:iCs w:val="1"/>
          <w:color w:val="auto"/>
        </w:rPr>
        <w:t>“Accounting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in Debt and Equity Securities”</w:t>
      </w:r>
      <w:r>
        <w:rPr>
          <w:rFonts w:ascii="Arial" w:cs="Arial" w:eastAsia="Arial" w:hAnsi="Arial"/>
          <w:sz w:val="16"/>
          <w:szCs w:val="16"/>
          <w:color w:val="auto"/>
        </w:rPr>
        <w:t>. These securities are carried at fair value on the Consolidated Statements of Financial Condition.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reported as net increases or decreases to Accumulated Other Comprehensive Income (Loss), net of tax, while realized gains and losses on these securities are determined using the specific identification method and are included in Other Revenue on the Consolidated Statements of Operations. We invest in readily-marketable debt and equity securities which are managed by EAM and EWM. These securities are valued using quoted market prices on applicable exchanges or markets. The realized and unrealized gains and losses on these securities are included in the Consolidated Statements of Operations in Investment Management Revenue. Marketable Securities also include investments in municipal bonds carried by EGL, which are carried at fair value, with changes in fair value recorded in Other Revenues on the Consolidated Statement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 Owned and Pledged as Collateral at Fair Value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Financial Instruments Owned and Pledged as Collateral at Fair Value consist principally of foreign government obligations, which are recorded on a trade-date basis and are stated at quoted market values. Related gains and losses are reflected in Other Revenue on the Consolidated Statements of Operations. We pledge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Instruments Owned and Pledged as Collateral at Fair Value to collateralize certain financing arrangements which permits the counterparty to pledge the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 We account for share-based payments in accordance with Financial Accounting Standards Board (“FASB”) issued ASC 718,</w:t>
      </w:r>
      <w:r>
        <w:rPr>
          <w:rFonts w:ascii="Arial" w:cs="Arial" w:eastAsia="Arial" w:hAnsi="Arial"/>
          <w:sz w:val="16"/>
          <w:szCs w:val="16"/>
          <w:i w:val="1"/>
          <w:iCs w:val="1"/>
          <w:color w:val="auto"/>
        </w:rPr>
        <w:t xml:space="preserve"> “Share-Based Payment”</w:t>
      </w:r>
      <w:r>
        <w:rPr>
          <w:rFonts w:ascii="Arial" w:cs="Arial" w:eastAsia="Arial" w:hAnsi="Arial"/>
          <w:sz w:val="16"/>
          <w:szCs w:val="16"/>
          <w:color w:val="auto"/>
        </w:rPr>
        <w:t>. We grant employees event-based awards and performance-based awards that vest upon the occurrence of certain events 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criteria being achieved. Compensation cost is accrued if it is probable that the event or performance condition will be achieved and is not accrued if it is not probable that the event or performance condition will be achieved. Significant judgment is required in determining the probability an event’s occurrence or that the performance criteria will be achieved. See Note 17 to the consolidated financial statements herein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and losses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more-likely-than-not,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4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This standard also requires the recognition of liabilities created by differences between tax positions taken in a tax return and amounts recognized in the financial statements. See Note 20 to the consolidated financial statements herein in regard to the impact of the adoption of this standard on our consolidated financial statements.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the deferred tax assets relate to the U.S. operations of the Company. The realization of the deferred tax assets is primarily dependent on the amount of the Company’s historic and projected future taxable income for its U.S. and foreign operations. In 2010 and 2009, we performed an assessment of the ultimate realization of our deferred tax assets and determined that the Company should have sufficient future taxable income in the normal course of business to fully realize the portion of the deferred tax assets associated with its U.S. operations and management has concluded that it is more likely than not the deferred tax assets will be realized. We also concluded that the net deferred tax assets of certain foreign subsidiaries required a full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valuation allowance. We intend to maintain a valuation allowance until sufficient positive evidence exists to support its reversal. See Note 20 to the consolidated financial statements herein for further information.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estimates that Evercore Partners Inc. must generate approximately $343.4 million of future taxable income to realize the U.S. deferred tax asset balance of approximately $139.3 million. The deferred tax balance is expected to reverse over a period ranging of 5 to 15 taxable years. The Company evaluated Evercore Partners Inc.’s historical U.S. taxable income, which has averaged approximately $22.8 million per year over the last two tax years, as well as the current anticipated profitability and taxable income in the future, which indicates sufficient taxable income to support the realization of these deferred tax assets. To the extent enough taxable income is not generated in the 15 year estimated reversal period, the Company will have an additional 20 years to utilize any net operating loss carry forwards created, as well as the relevant net operating loss carry back period in effect at the time of a taxable loss.</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As part of the assessment of the ultimate realization of our deferred tax assets, we determined certain deferred tax assets of our foreign subsidiaries would require a valuation allowance. We concluded that the recoverability of these deferred tax assets was not more-likely-than-not to be recoverable as required by ASC 740. As a result of our assessment of the impacted foreign subsidiaries projected future taxable income relative to their cumulative net loss position, we concluded that, based on such negative evidence, a full valuation allowance was required. We intend to maintain a valuation allowance until sufficient positive evidence exists to support its reversal. The positive evidence that will be considered is sustained profitability resulting from significant growth going forward.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Goodwill is tested for impairment annually, or more frequently if circumstances indicate impairment may have occurred. In this process, we make estimates and assumptions in order to determine the fair value of our reporting units and to project future earnings using valuation techniques. We use our best judgment and information available to us at the time to perform this review. Because our assumptions and estimates are used in projecting future earnings as part of the valuation, actual results could differ. Intangible assets with finite lives are amortized over their estimated useful lives which are reviewed for impairment whenever events or changes in circumstances indicate the carrying amount of such assets may not be recoverable as prescribed by ASC 360,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(“ASC 360”).</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test goodwill for impairment at the reporting unit level. In determining the fair value for each reporting unit, we utilize either a market multiple approach or a discounted cash flow methodology based on the adjusted cash flows from operations. The market multiple approach includes applying the average earnings multiples of comparable public companies for their respective reporting segment multiplied by the forecasted earnings of the respective reporting unit to yield an estimate of fair value. The discounted cash flow methodology begins with the adjusted cash flows from each of the reporting units and uses a discount rate that reflects the weighted average costs of capital adjusted for the risks inherent in the future cash flows. For the year ended December 31, 2010 and 2009, we have concluded the fair values substantially exceeded the carrying values for our reporting units.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Goodwill and Intangible Assets, we annually assess our Equity Method and Cost Method Investments for impairment per ASC 323-10-35 and ASC 325-20-35, respectively, “</w:t>
      </w:r>
      <w:r>
        <w:rPr>
          <w:rFonts w:ascii="Arial" w:cs="Arial" w:eastAsia="Arial" w:hAnsi="Arial"/>
          <w:sz w:val="18"/>
          <w:szCs w:val="18"/>
          <w:i w:val="1"/>
          <w:iCs w:val="1"/>
          <w:color w:val="auto"/>
        </w:rPr>
        <w:t>Subsequent Measurement</w:t>
      </w:r>
      <w:r>
        <w:rPr>
          <w:rFonts w:ascii="Arial" w:cs="Arial" w:eastAsia="Arial" w:hAnsi="Arial"/>
          <w:sz w:val="18"/>
          <w:szCs w:val="18"/>
          <w:color w:val="auto"/>
        </w:rPr>
        <w:t>”. For the year ended December 31, 2010, we concluded there was no impairment of Goodwill, Intangible Assets and Equity Method and Cost Method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ASU 2010-28 </w:t>
      </w:r>
      <w:r>
        <w:rPr>
          <w:rFonts w:ascii="Arial" w:cs="Arial" w:eastAsia="Arial" w:hAnsi="Arial"/>
          <w:sz w:val="18"/>
          <w:szCs w:val="18"/>
          <w:color w:val="auto"/>
        </w:rPr>
        <w:t>– In December 2010, the Financial Accounting Standards Board (“FASB”) issued Accounting Standards Update (“ASU”) No. 2010-28,</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When to Perform Step 2 of the Goodwill Impairment Test for Reporting Units with Zero or Negative Carrying Amounts”</w:t>
      </w:r>
      <w:r>
        <w:rPr>
          <w:rFonts w:ascii="Arial" w:cs="Arial" w:eastAsia="Arial" w:hAnsi="Arial"/>
          <w:sz w:val="18"/>
          <w:szCs w:val="18"/>
          <w:color w:val="auto"/>
        </w:rPr>
        <w:t xml:space="preserve"> (“ASU 2010-28”). ASU 2010-28 provides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amendments to ASC No. 350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modifying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the existing guidance and examples in paragraph 350-20-35-30, which requires that goodwill of a reporting unit be tested for impairment between annual tests if an event occurs or circumstances change that would more likely than not reduce the fair value of a reporting unit below its carrying amount. The amendments in this update are effective for fiscal years, and interim periods within those years, beginning after December 15, 2010 and early adoption is not permitted. The Company is currently assessing the impact of the adoption of this update on the Company’s financial condition, results of operations and cash flows.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ASU 2010-29 </w:t>
      </w:r>
      <w:r>
        <w:rPr>
          <w:rFonts w:ascii="Arial" w:cs="Arial" w:eastAsia="Arial" w:hAnsi="Arial"/>
          <w:sz w:val="16"/>
          <w:szCs w:val="16"/>
          <w:color w:val="auto"/>
        </w:rPr>
        <w:t>– In December 2010, the FASB issued ASU No. 2010-29, “</w:t>
      </w:r>
      <w:r>
        <w:rPr>
          <w:rFonts w:ascii="Arial" w:cs="Arial" w:eastAsia="Arial" w:hAnsi="Arial"/>
          <w:sz w:val="16"/>
          <w:szCs w:val="16"/>
          <w:i w:val="1"/>
          <w:iCs w:val="1"/>
          <w:color w:val="auto"/>
        </w:rPr>
        <w:t xml:space="preserve">Disclosure of Supplementary Pro Forma Information for Business Combinations” </w:t>
      </w:r>
      <w:r>
        <w:rPr>
          <w:rFonts w:ascii="Arial" w:cs="Arial" w:eastAsia="Arial" w:hAnsi="Arial"/>
          <w:sz w:val="16"/>
          <w:szCs w:val="16"/>
          <w:color w:val="auto"/>
        </w:rPr>
        <w:t xml:space="preserve">(“ASU 2010-29”). ASU 2010-29 provides amendments to ASC No.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 under ASC No.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with early adoption permitted. The Company is currently assessing the impact of the adoption of this update on the Company’s financial condition, results of operations and cash flows.</w:t>
      </w:r>
    </w:p>
    <w:p>
      <w:pPr>
        <w:spacing w:after="0" w:line="120" w:lineRule="exact"/>
        <w:rPr>
          <w:sz w:val="20"/>
          <w:szCs w:val="20"/>
          <w:color w:val="auto"/>
        </w:rPr>
      </w:pPr>
    </w:p>
    <w:p>
      <w:pPr>
        <w:ind w:right="240" w:firstLine="456"/>
        <w:spacing w:after="0" w:line="303" w:lineRule="auto"/>
        <w:rPr>
          <w:sz w:val="20"/>
          <w:szCs w:val="20"/>
          <w:color w:val="auto"/>
        </w:rPr>
      </w:pPr>
      <w:r>
        <w:rPr>
          <w:rFonts w:ascii="Arial" w:cs="Arial" w:eastAsia="Arial" w:hAnsi="Arial"/>
          <w:sz w:val="15"/>
          <w:szCs w:val="15"/>
          <w:i w:val="1"/>
          <w:iCs w:val="1"/>
          <w:color w:val="auto"/>
        </w:rPr>
        <w:t xml:space="preserve">ASU 2010-20 </w:t>
      </w:r>
      <w:r>
        <w:rPr>
          <w:rFonts w:ascii="Arial" w:cs="Arial" w:eastAsia="Arial" w:hAnsi="Arial"/>
          <w:sz w:val="15"/>
          <w:szCs w:val="15"/>
          <w:color w:val="auto"/>
        </w:rPr>
        <w:t>– In July 2010, the FASB issued ASU No. 2010-20, “</w:t>
      </w:r>
      <w:r>
        <w:rPr>
          <w:rFonts w:ascii="Arial" w:cs="Arial" w:eastAsia="Arial" w:hAnsi="Arial"/>
          <w:sz w:val="15"/>
          <w:szCs w:val="15"/>
          <w:i w:val="1"/>
          <w:iCs w:val="1"/>
          <w:color w:val="auto"/>
        </w:rPr>
        <w:t>Disclosure about the Credit Quality of Financing Receivables and the Allowance for Credit Losses</w:t>
      </w:r>
      <w:r>
        <w:rPr>
          <w:rFonts w:ascii="Arial" w:cs="Arial" w:eastAsia="Arial" w:hAnsi="Arial"/>
          <w:sz w:val="15"/>
          <w:szCs w:val="15"/>
          <w:color w:val="auto"/>
        </w:rPr>
        <w:t>” (“ASU 2010-20”). This ASU amends ASC 310 by requiring more robust and disaggregated disclosure about the credit quality of an entity’s</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receivables and its allowance for credit losses. The objective of enhancing these disclosures is to improve financial statement users’ understanding of</w:t>
      </w:r>
    </w:p>
    <w:p>
      <w:pPr>
        <w:spacing w:after="0" w:line="1" w:lineRule="exact"/>
        <w:rPr>
          <w:sz w:val="20"/>
          <w:szCs w:val="20"/>
          <w:color w:val="auto"/>
        </w:rPr>
      </w:pPr>
    </w:p>
    <w:p>
      <w:pPr>
        <w:ind w:right="280" w:firstLine="8"/>
        <w:spacing w:after="0" w:line="255"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nature of an entity’s credit risk associated with its financing receivables and (2) the entity’s assessment of that risk in estimating its allowance for credit losses as well as changes in the allowance and the reasons for those changes. The adoption of ASU 2010-20 did not have a material impact on the Company’s financial condition, results of operations and cash flows, or disclosures thereto.</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7 “ – Market Risk and Credit Risk”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440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Supplemental Data</w:t>
            </w:r>
          </w:p>
        </w:tc>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1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5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5180" w:type="dxa"/>
            <w:vAlign w:val="bottom"/>
            <w:gridSpan w:val="10"/>
            <w:vMerge w:val="continue"/>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 of Independent Registered Public Accounting Firm</w:t>
              </w:r>
            </w:hyperlink>
          </w:p>
        </w:tc>
        <w:tc>
          <w:tcPr>
            <w:tcW w:w="620" w:type="dxa"/>
            <w:vAlign w:val="bottom"/>
            <w:gridSpan w:val="2"/>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Financial Condition</w:t>
              </w:r>
            </w:hyperlink>
          </w:p>
        </w:tc>
        <w:tc>
          <w:tcPr>
            <w:tcW w:w="1360" w:type="dxa"/>
            <w:vAlign w:val="bottom"/>
            <w:gridSpan w:val="4"/>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4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Statements of Changes in Stockholders’ Equity</w:t>
              </w:r>
            </w:hyperlink>
          </w:p>
        </w:tc>
        <w:tc>
          <w:tcPr>
            <w:tcW w:w="440" w:type="dxa"/>
            <w:vAlign w:val="bottom"/>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Consolidated Statements of Cash Flows</w:t>
              </w:r>
            </w:hyperlink>
          </w:p>
        </w:tc>
        <w:tc>
          <w:tcPr>
            <w:tcW w:w="1940" w:type="dxa"/>
            <w:vAlign w:val="bottom"/>
            <w:gridSpan w:val="6"/>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Notes to Consolidated Financial Statements</w:t>
              </w:r>
            </w:hyperlink>
          </w:p>
        </w:tc>
        <w:tc>
          <w:tcPr>
            <w:tcW w:w="1660" w:type="dxa"/>
            <w:vAlign w:val="bottom"/>
            <w:gridSpan w:val="5"/>
          </w:tcPr>
          <w:p>
            <w:pPr>
              <w:spacing w:after="0"/>
              <w:rPr>
                <w:sz w:val="24"/>
                <w:szCs w:val="24"/>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1"/>
        </w:trPr>
        <w:tc>
          <w:tcPr>
            <w:tcW w:w="5180" w:type="dxa"/>
            <w:vAlign w:val="bottom"/>
            <w:gridSpan w:val="10"/>
          </w:tcPr>
          <w:p>
            <w:pPr>
              <w:spacing w:after="0"/>
              <w:rPr>
                <w:sz w:val="20"/>
                <w:szCs w:val="20"/>
                <w:color w:val="auto"/>
              </w:rPr>
            </w:pPr>
            <w:r>
              <w:rPr>
                <w:rFonts w:ascii="Arial" w:cs="Arial" w:eastAsia="Arial" w:hAnsi="Arial"/>
                <w:sz w:val="18"/>
                <w:szCs w:val="18"/>
                <w:b w:val="1"/>
                <w:bCs w:val="1"/>
                <w:color w:val="auto"/>
              </w:rPr>
              <w:t>Supplemental Financial Information</w:t>
            </w: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740" w:type="dxa"/>
            <w:vAlign w:val="bottom"/>
            <w:gridSpan w:val="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Consolidated Quarterly Results of Operations (unaudited)</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tcPr>
          <w:p>
            <w:pPr>
              <w:jc w:val="right"/>
              <w:ind w:right="5112"/>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audited the accompanying consolidated statements of financial condition of Evercore Partners Inc. and subsidiaries (the “Company”) as of December 31, 2010 and 2009, and the related consolidated statements of operations, changes in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our opinion, the Company’s consolidated financial statements referred to above present fairly, in all material respects, the financial position of the Company as of December 31, 2010 and 2009, and the results of its operations and its cash flows for each of the three years in the period ended December 31, 2010, in conformity with accounting principles generally accepted in the United States of America.</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2010, based on the criteria established in Internal Control—Integrated Framework issued by the Committee of Sponsoring Organizations of the Treadway Commission and our report dated March 9, 2011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141,337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206,682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92,830</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141,067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Financial Instruments Owned and Pledged as Collateral at Fair Value</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52,217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122,618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0"/>
              </w:rPr>
              <w:t>126,401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184,118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 (net of allowances of $768 and $764 at December 31, 2010 and 2009, respectively)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49,625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3,465</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Assets—Current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5,092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9,982</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480,949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696,733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60,617</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Assets—Non-Current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134,161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780" w:type="dxa"/>
            <w:vAlign w:val="bottom"/>
          </w:tcPr>
          <w:p>
            <w:pPr>
              <w:ind w:left="420"/>
              <w:spacing w:after="0" w:line="138" w:lineRule="exact"/>
              <w:rPr>
                <w:sz w:val="20"/>
                <w:szCs w:val="20"/>
                <w:color w:val="auto"/>
              </w:rPr>
            </w:pPr>
            <w:r>
              <w:rPr>
                <w:rFonts w:ascii="Arial" w:cs="Arial" w:eastAsia="Arial" w:hAnsi="Arial"/>
                <w:sz w:val="14"/>
                <w:szCs w:val="14"/>
                <w:color w:val="auto"/>
                <w:w w:val="94"/>
              </w:rPr>
              <w:t>Furniture, Equipment and Leasehold Improvements (net of accumulated depreciation and amortization of $11,302 and $8,747 at December 31, 2010 and 2009,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780" w:type="dxa"/>
            <w:vAlign w:val="bottom"/>
          </w:tcPr>
          <w:p>
            <w:pPr>
              <w:ind w:left="64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14,923</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139,031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Assets (net of accumulated amortization of $13,337 and $5,921 at December 31, 2010 and 2009, respectively)</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49,232</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Assets Segregated for Bank Regulatory Requirements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10,200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8,972</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898,085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891,160</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82,943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12,558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0"/>
              </w:rPr>
              <w:t>178,683</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306,894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Payable to Employees and Related Parties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4,181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404</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8,204</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780" w:type="dxa"/>
            <w:vAlign w:val="bottom"/>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0"/>
              </w:rPr>
              <w:t>286,973</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4"/>
              </w:rPr>
              <w:t>416,291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Payable</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98,082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Amounts Due Pursuant to Tax Receivable Agreements</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97,427</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22,956</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780" w:type="dxa"/>
            <w:vAlign w:val="bottom"/>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0"/>
              </w:rPr>
              <w:t>505,438</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4"/>
              </w:rPr>
              <w:t>595,404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Commitments and Contingencies (Note 18)</w:t>
            </w: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Redeemable Noncontrolling Interest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25,406</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420"/>
              <w:spacing w:after="0" w:line="149" w:lineRule="exact"/>
              <w:rPr>
                <w:sz w:val="20"/>
                <w:szCs w:val="20"/>
                <w:color w:val="auto"/>
              </w:rPr>
            </w:pPr>
            <w:r>
              <w:rPr>
                <w:rFonts w:ascii="Arial" w:cs="Arial" w:eastAsia="Arial" w:hAnsi="Arial"/>
                <w:sz w:val="14"/>
                <w:szCs w:val="14"/>
                <w:color w:val="auto"/>
              </w:rPr>
              <w:t>Evercore Partners Inc. Stockholders’ Equity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780" w:type="dxa"/>
            <w:vAlign w:val="bottom"/>
          </w:tcPr>
          <w:p>
            <w:pPr>
              <w:ind w:left="1280"/>
              <w:spacing w:after="0" w:line="138" w:lineRule="exact"/>
              <w:rPr>
                <w:sz w:val="20"/>
                <w:szCs w:val="20"/>
                <w:color w:val="auto"/>
              </w:rPr>
            </w:pPr>
            <w:r>
              <w:rPr>
                <w:rFonts w:ascii="Arial" w:cs="Arial" w:eastAsia="Arial" w:hAnsi="Arial"/>
                <w:sz w:val="14"/>
                <w:szCs w:val="14"/>
                <w:color w:val="auto"/>
                <w:w w:val="89"/>
              </w:rPr>
              <w:t>Class A, par value $0.01 per share (1,000,000,000 shares authorized, 21,497,691 and 17,155,883 issued at December 31, 2010 and 2009, respectively,</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780" w:type="dxa"/>
            <w:vAlign w:val="bottom"/>
          </w:tcPr>
          <w:p>
            <w:pPr>
              <w:ind w:left="1500"/>
              <w:spacing w:after="0" w:line="159" w:lineRule="exact"/>
              <w:rPr>
                <w:sz w:val="20"/>
                <w:szCs w:val="20"/>
                <w:color w:val="auto"/>
              </w:rPr>
            </w:pPr>
            <w:r>
              <w:rPr>
                <w:rFonts w:ascii="Arial" w:cs="Arial" w:eastAsia="Arial" w:hAnsi="Arial"/>
                <w:sz w:val="14"/>
                <w:szCs w:val="14"/>
                <w:color w:val="auto"/>
              </w:rPr>
              <w:t>and 19,983,646 and 16,346,584 outstanding at December 31, 2010 and 2009, respectively)</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93"/>
              </w:rPr>
              <w:t>Class B, par value $0.01 per share (1,000,000 shares authorized, 48 and 55 issued and outstanding at December 31, 2010 and 2009, respectively)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Additional Paid-In-Capital</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0"/>
              </w:rPr>
              <w:t>400,719</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339,495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(4,193)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ind w:left="860"/>
              <w:spacing w:after="0" w:line="149" w:lineRule="exact"/>
              <w:rPr>
                <w:sz w:val="20"/>
                <w:szCs w:val="20"/>
                <w:color w:val="auto"/>
              </w:rPr>
            </w:pPr>
            <w:r>
              <w:rPr>
                <w:rFonts w:ascii="Arial" w:cs="Arial" w:eastAsia="Arial" w:hAnsi="Arial"/>
                <w:sz w:val="14"/>
                <w:szCs w:val="14"/>
                <w:color w:val="auto"/>
              </w:rPr>
              <w:t>Retained Earnings (Deficit)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(61,504)</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(56,756)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Treasury Stock at Cost (1,514,045 and 809,299 shares at December 31, 2010 and 2009, respectively)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(34,538)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(12,756)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780" w:type="dxa"/>
            <w:vAlign w:val="bottom"/>
          </w:tcPr>
          <w:p>
            <w:pPr>
              <w:ind w:left="420"/>
              <w:spacing w:after="0" w:line="155" w:lineRule="exact"/>
              <w:rPr>
                <w:sz w:val="20"/>
                <w:szCs w:val="20"/>
                <w:color w:val="auto"/>
              </w:rPr>
            </w:pPr>
            <w:r>
              <w:rPr>
                <w:rFonts w:ascii="Arial" w:cs="Arial" w:eastAsia="Arial" w:hAnsi="Arial"/>
                <w:sz w:val="14"/>
                <w:szCs w:val="14"/>
                <w:color w:val="auto"/>
              </w:rPr>
              <w:t>Total Evercore Partners Inc. Stockholders’ Equity</w:t>
            </w: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300,699</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266,395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66,542</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780" w:type="dxa"/>
            <w:vAlign w:val="bottom"/>
          </w:tcPr>
          <w:p>
            <w:pPr>
              <w:ind w:left="420"/>
              <w:spacing w:after="0" w:line="155" w:lineRule="exact"/>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367,241</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295,756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Equity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898,085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891,160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 Banking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301,931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293,311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Revenue, Including Interest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401,738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338,814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225,304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378,897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314,545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195,026</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251,917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210,818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9,703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Acquisition and Transition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344,655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293,361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204,039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(Loss) from Equity Method Investments and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Evercore Partners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Evercore Partners Inc. Common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8,880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Class A Common Stock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 (Loss) Per Share Attributable to Evercore Partners Inc. Common Shareholders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Class A Common</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7"/>
                <w:szCs w:val="7"/>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Retained</w:t>
            </w: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900" w:type="dxa"/>
            <w:vAlign w:val="bottom"/>
            <w:gridSpan w:val="2"/>
            <w:vMerge w:val="restart"/>
          </w:tcPr>
          <w:p>
            <w:pPr>
              <w:ind w:left="500"/>
              <w:spacing w:after="0" w:line="141"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380" w:type="dxa"/>
            <w:vAlign w:val="bottom"/>
            <w:gridSpan w:val="4"/>
            <w:vMerge w:val="restart"/>
          </w:tcPr>
          <w:p>
            <w:pPr>
              <w:jc w:val="right"/>
              <w:ind w:right="192"/>
              <w:spacing w:after="0" w:line="141"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0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vMerge w:val="restart"/>
          </w:tcPr>
          <w:p>
            <w:pPr>
              <w:spacing w:after="0"/>
              <w:rPr>
                <w:sz w:val="8"/>
                <w:szCs w:val="8"/>
                <w:color w:val="auto"/>
              </w:rPr>
            </w:pPr>
          </w:p>
        </w:tc>
        <w:tc>
          <w:tcPr>
            <w:tcW w:w="9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Comprehensive</w:t>
            </w:r>
          </w:p>
        </w:tc>
        <w:tc>
          <w:tcPr>
            <w:tcW w:w="120" w:type="dxa"/>
            <w:vAlign w:val="bottom"/>
            <w:vMerge w:val="restart"/>
          </w:tcPr>
          <w:p>
            <w:pPr>
              <w:spacing w:after="0"/>
              <w:rPr>
                <w:sz w:val="8"/>
                <w:szCs w:val="8"/>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6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Dollars</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Dollars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Interest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2007</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11,261,100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208,846</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w w:val="76"/>
              </w:rPr>
              <w:t>237</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 (35,612)</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(31,903)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(968)</w:t>
            </w: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46,699</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5"/>
              </w:rPr>
              <w:t>$219,315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(4,713)</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(4,850)</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Marketable Securities, net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w w:val="76"/>
              </w:rPr>
              <w:t>287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545</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(10,735)</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(16,398)</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gridSpan w:val="2"/>
            <w:vMerge w:val="continue"/>
          </w:tcPr>
          <w:p>
            <w:pPr>
              <w:spacing w:after="0"/>
              <w:rPr>
                <w:sz w:val="13"/>
                <w:szCs w:val="13"/>
                <w:color w:val="auto"/>
              </w:rPr>
            </w:pPr>
          </w:p>
        </w:tc>
        <w:tc>
          <w:tcPr>
            <w:tcW w:w="660" w:type="dxa"/>
            <w:vAlign w:val="bottom"/>
          </w:tcPr>
          <w:p>
            <w:pPr>
              <w:ind w:left="4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ind w:left="3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(5,376)</w:t>
            </w:r>
          </w:p>
        </w:tc>
        <w:tc>
          <w:tcPr>
            <w:tcW w:w="9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(4,713)</w:t>
            </w:r>
          </w:p>
        </w:tc>
        <w:tc>
          <w:tcPr>
            <w:tcW w:w="8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(15,040)</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(466,843)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(7,082)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Evercore LP Units Converted into Class A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278,946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(671)</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580,375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33,957</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Share Grant Related to Acquisition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431,607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7,448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23,708</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(6,239)</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(15,010)</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(15,010)</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2008</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12,552,028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ind w:left="80"/>
              <w:spacing w:after="0" w:line="155" w:lineRule="exact"/>
              <w:rPr>
                <w:sz w:val="20"/>
                <w:szCs w:val="20"/>
                <w:color w:val="auto"/>
              </w:rPr>
            </w:pPr>
            <w:r>
              <w:rPr>
                <w:rFonts w:ascii="Arial" w:cs="Arial" w:eastAsia="Arial" w:hAnsi="Arial"/>
                <w:sz w:val="14"/>
                <w:szCs w:val="14"/>
                <w:color w:val="auto"/>
                <w:w w:val="85"/>
              </w:rPr>
              <w:t>126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275,234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(5,139)</w:t>
            </w:r>
          </w:p>
        </w:tc>
        <w:tc>
          <w:tcPr>
            <w:tcW w:w="9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(46,564)</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(498,746)</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(8,050)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15,978</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8"/>
              </w:rPr>
              <w:t>231,585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(1,570)</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1,816</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Marketable Securities, net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707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2,174</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w w:val="76"/>
              </w:rPr>
              <w:t>672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2,372</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 (Loss)</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(1,570)</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6,362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(310,553)</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(4,706)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Equity Offering, Net of Direct Expenses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3,721,788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70,084</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70,121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tcPr>
          <w:p>
            <w:pPr>
              <w:spacing w:after="0" w:line="138" w:lineRule="exact"/>
              <w:rPr>
                <w:sz w:val="20"/>
                <w:szCs w:val="20"/>
                <w:color w:val="auto"/>
              </w:rPr>
            </w:pPr>
            <w:r>
              <w:rPr>
                <w:rFonts w:ascii="Arial" w:cs="Arial" w:eastAsia="Arial" w:hAnsi="Arial"/>
                <w:sz w:val="14"/>
                <w:szCs w:val="14"/>
                <w:color w:val="auto"/>
              </w:rPr>
              <w:t>Evercore LP Units Purchased or Converted into Class A</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189,153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(57,187)</w:t>
            </w:r>
          </w:p>
        </w:tc>
        <w:tc>
          <w:tcPr>
            <w:tcW w:w="1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(5,623)</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692,914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50,959</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8,552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Dividends and Equivalents</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w w:val="76"/>
              </w:rPr>
              <w:t>405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(8,622)</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4,092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2009</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17,155,883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ind w:left="80"/>
              <w:spacing w:after="0" w:line="155" w:lineRule="exact"/>
              <w:rPr>
                <w:sz w:val="20"/>
                <w:szCs w:val="20"/>
                <w:color w:val="auto"/>
              </w:rPr>
            </w:pPr>
            <w:r>
              <w:rPr>
                <w:rFonts w:ascii="Arial" w:cs="Arial" w:eastAsia="Arial" w:hAnsi="Arial"/>
                <w:sz w:val="14"/>
                <w:szCs w:val="14"/>
                <w:color w:val="auto"/>
                <w:w w:val="85"/>
              </w:rPr>
              <w:t>172</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339,495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(3,760)</w:t>
            </w:r>
          </w:p>
        </w:tc>
        <w:tc>
          <w:tcPr>
            <w:tcW w:w="9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(56,756)</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(809,299)</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4"/>
              </w:rPr>
              <w:t>(12,756)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29,361</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8"/>
              </w:rPr>
              <w:t>295,756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8,954</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8,851</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Unrealized Gain (Loss) on Marketable Securities, net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w w:val="76"/>
              </w:rPr>
              <w:t>625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 (Loss)</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(433)</w:t>
            </w: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8,954</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8,097</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(1,286,277)</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4"/>
              </w:rPr>
              <w:t>(35,053)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Equity Offering, Net of Direct Expenses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2,954,437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77,573</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tcPr>
          <w:p>
            <w:pPr>
              <w:spacing w:after="0" w:line="138" w:lineRule="exact"/>
              <w:rPr>
                <w:sz w:val="20"/>
                <w:szCs w:val="20"/>
                <w:color w:val="auto"/>
              </w:rPr>
            </w:pPr>
            <w:r>
              <w:rPr>
                <w:rFonts w:ascii="Arial" w:cs="Arial" w:eastAsia="Arial" w:hAnsi="Arial"/>
                <w:sz w:val="14"/>
                <w:szCs w:val="14"/>
                <w:color w:val="auto"/>
              </w:rPr>
              <w:t>Evercore LP Units Purchased or Converted into Class A</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77,110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(59,062)</w:t>
            </w:r>
          </w:p>
        </w:tc>
        <w:tc>
          <w:tcPr>
            <w:tcW w:w="1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(9,834)</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1,310,261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35,695</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20,059</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55,767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tcPr>
          <w:p>
            <w:pPr>
              <w:spacing w:after="0" w:line="138" w:lineRule="exact"/>
              <w:rPr>
                <w:sz w:val="20"/>
                <w:szCs w:val="20"/>
                <w:color w:val="auto"/>
              </w:rPr>
            </w:pPr>
            <w:r>
              <w:rPr>
                <w:rFonts w:ascii="Arial" w:cs="Arial" w:eastAsia="Arial" w:hAnsi="Arial"/>
                <w:sz w:val="14"/>
                <w:szCs w:val="14"/>
                <w:color w:val="auto"/>
              </w:rPr>
              <w:t>Shares Issued as Consideration for Acquisitions and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ind w:left="200"/>
              <w:spacing w:after="0" w:line="159" w:lineRule="exact"/>
              <w:rPr>
                <w:sz w:val="20"/>
                <w:szCs w:val="20"/>
                <w:color w:val="auto"/>
              </w:rPr>
            </w:pPr>
            <w:r>
              <w:rPr>
                <w:rFonts w:ascii="Arial" w:cs="Arial" w:eastAsia="Arial" w:hAnsi="Arial"/>
                <w:sz w:val="14"/>
                <w:szCs w:val="14"/>
                <w:color w:val="auto"/>
              </w:rPr>
              <w:t>Investments</w:t>
            </w:r>
          </w:p>
        </w:tc>
        <w:tc>
          <w:tcPr>
            <w:tcW w:w="90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5,748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581,531</w:t>
            </w: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13,271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Equivalents</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(13,702)</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9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18,859</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21,497,691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5"/>
              </w:rPr>
              <w:t>215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400,719</w:t>
            </w: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(4,193)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(61,504)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2"/>
              </w:rPr>
              <w:t>(1,514,045)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4"/>
              </w:rPr>
              <w:t>(34,538)</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66,542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367,241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17,805</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Net Realized and Unrealized (Gains) Losses on Investments, Marketable Securities and Contingent Consideration</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(4,898)</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Equity-Based and Other Deferred Compensation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55,914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59,518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Share Grant Related to Acquisition</w:t>
            </w:r>
          </w:p>
        </w:tc>
        <w:tc>
          <w:tcPr>
            <w:tcW w:w="6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Amortization and Accretion</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11,541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Loss on Disposal of Equipment</w:t>
            </w:r>
          </w:p>
        </w:tc>
        <w:tc>
          <w:tcPr>
            <w:tcW w:w="6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2,899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Operating Assets: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Marketable Securities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Financial Instruments Owned and Pledged as Collateral at Fair Value</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75,435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76,887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(14,727)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66,225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(83,235)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(57,154)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(18,822)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Assets Segregated for Bank Regulatory Requirements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(1,138)</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Operating Liabilities: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(17,265)</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31,616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(40,220)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(141,759)</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Payables to Employees and Related Parties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(1,872)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6,715</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44,995</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7"/>
              </w:rPr>
              <w:t>88,101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Investments Purchased</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(16,645)</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(14,525)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Private Equity Investments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Marketable Securities: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188,701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51,677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Purchases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(138,683)</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(83,460)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(100,159)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Acquisitions, net of cash acquired</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(70,481)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(820)</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(8,567)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(43,866)</w:t>
            </w:r>
          </w:p>
        </w:tc>
        <w:tc>
          <w:tcPr>
            <w:tcW w:w="60" w:type="dxa"/>
            <w:vAlign w:val="bottom"/>
          </w:tcPr>
          <w:p>
            <w:pPr>
              <w:spacing w:after="0"/>
              <w:rPr>
                <w:sz w:val="14"/>
                <w:szCs w:val="14"/>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(42,680)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3"/>
              </w:rPr>
              <w:t>(112,235)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Payments for Capital Lease Obligations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Noncontrolling Interests</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17,395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Interests—Evercore LP Limited Partners</w:t>
            </w: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(19,513)</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(19,741)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(16,578)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Earn-out Consideration</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Proceeds from Equity Offering</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77,185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70,761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Notes Payable and Warrants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Debt Issuance Costs</w:t>
            </w:r>
          </w:p>
        </w:tc>
        <w:tc>
          <w:tcPr>
            <w:tcW w:w="6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Evercore LP Units and Treasury Stock</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(114,141)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(75,467)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Excess Tax Benefits Associated with Equity-Based Awards</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2,923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Dividends—Class A Stockholders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(12,358)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(66,823)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(14,880)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90,029</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349</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(13,637)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(65,345)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30,780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(17,573)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Year</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206,682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2"/>
              </w:rPr>
              <w:t>175,902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193,475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141,337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2"/>
              </w:rPr>
              <w:t>206,682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175,902</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23,080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27,718</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Payments for Income Taxes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8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9,649</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w w:val="97"/>
              </w:rPr>
              <w:t>11,286</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8,437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Furniture, Equipment and Leasehold Improvements Accrued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644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114</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Evercore Partners Inc. and subsidiaries (the “Company”) is an investment banking and investment management firm, incorporated in Delaware on July 21, 2005 and headquartered in New York, New York. The Company is a holding company which owns a controlling interest in Evercore LP, a Delaware limited partnership (“Evercore LP”). Subsequent to the Company’s initial public offering (“IPO”), the Company became the sole general partner of Evercore LP. The Company operates from its offices in New York, San Francisco, Boston, Washington D.C., Los Angeles, Houston, London, Mexico City and Monterrey, Mexico and, through its affiliate G5 Holdings S.A. (“G5”), in Rio de Janeiro and São Paulo, Brazil.</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 Banking business includes the advisory business through which the Company provides advice to clients on significant mergers, acquisitions, divestitures and other strategic corporate transactions, with a particular focus on advising prominent multinational corporations and substantial private equity firms on large, complex transactions. The Company also provides restructuring advice to companies in financial transition, as well as to creditors, shareholders and potential acquirers. In addition, the Company provides its clients with capital markets advice, underwrites securities offerings and raises funds for financial sponsors. The Investment Banking business also includes the Institutional Equities business through which the Company has recently begun to offer equity research and agency-only equity securities trading for institutional investors.</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Investment Management business includes the institutional asset management business through which the Company manages financial assets for sophisticated institutional investors and provides independent fiduciary services to corporate employee benefit plans, the wealth management business through which the Company provides wealth management services for high net-worth individuals and the private equity business through which the Company, directly and through affiliates, manages private equity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are prepared in conformity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(“U.S. GAAP”).</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consolidated financial statements of the Company are comprised of the consolidation of Evercore LP and Evercore LP’s wholly-owned and majority-owned direct and indirect subsidiaries, including Evercore Group L.L.C. (“EGL”), a registered broker-dealer in the U.S.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significant benefits. All intercompany balances and transactions with the Company’s subsidiaries have been eliminated upon consolidation. The Consolidated Statements of Operations include the consolidated results of Atalanta Sosnoff Capital LLC (“Atalanta Sosnoff”), Morse, Williams and Company, Inc. (“Morse Williams”), MJC Associates and the Private Funds Group of Neuberger Berman (“PFG”), following their acquisitions in 2010. See Note 4 for further disclosure.</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At the time of the formation transaction, the members of Evercore LP (the “Members”) received Evercore LP partnership units (“LP Units”) in consideration for their contribution of the various entities included in the historical combined financial statements of the Company. The LP Units are subject to vesting requirements and transfer restrictions and are exchangeable on a one-for-one basis for shares of Class A common stock. The Company accounts for exchanges of LP Units for shares of Class A common stock of the Company based on the carrying amounts of the Members’ LP Units immediately before the exchange.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Company’s interest in Evercore LP is within the scope of Accounting Standards Codification (“ASC”) 810-20, “</w:t>
      </w:r>
      <w:r>
        <w:rPr>
          <w:rFonts w:ascii="Arial" w:cs="Arial" w:eastAsia="Arial" w:hAnsi="Arial"/>
          <w:sz w:val="16"/>
          <w:szCs w:val="16"/>
          <w:i w:val="1"/>
          <w:iCs w:val="1"/>
          <w:color w:val="auto"/>
        </w:rPr>
        <w:t>Determining Whether a General</w:t>
      </w:r>
      <w:r>
        <w:rPr>
          <w:rFonts w:ascii="Arial" w:cs="Arial" w:eastAsia="Arial" w:hAnsi="Arial"/>
          <w:sz w:val="16"/>
          <w:szCs w:val="16"/>
          <w:color w:val="auto"/>
        </w:rPr>
        <w:t xml:space="preserve"> </w:t>
      </w:r>
      <w:r>
        <w:rPr>
          <w:rFonts w:ascii="Arial" w:cs="Arial" w:eastAsia="Arial" w:hAnsi="Arial"/>
          <w:sz w:val="16"/>
          <w:szCs w:val="16"/>
          <w:i w:val="1"/>
          <w:iCs w:val="1"/>
          <w:color w:val="auto"/>
        </w:rPr>
        <w:t>Partner, or the General Partners as a Group, Controls a Limited Partnership or Similar Entity When the Limited Partners Have Certain Rights</w:t>
      </w:r>
      <w:r>
        <w:rPr>
          <w:rFonts w:ascii="Arial" w:cs="Arial" w:eastAsia="Arial" w:hAnsi="Arial"/>
          <w:sz w:val="16"/>
          <w:szCs w:val="16"/>
          <w:color w:val="auto"/>
        </w:rPr>
        <w: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consolidates Evercore LP and records noncontrolling interest for the economic interest in Evercore LP held directly by others, which includes the Members.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all subsequent events through the date this Form 10-K was available to be issued, on March 9,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During 2010, certain balances for prior periods were reclassified to conform to their current presentation.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 Accounts Receivable consists primarily of investment banking fees and expense reimbursements charged to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The Company records Accounts Receivable net of any allowance for doubtful accounts. The Company maintains an allowance for bad debts to provide coverage for estimated losses from its client receivables. The Company determines the adequacy of the allowance by estimating the probability of loss based on the Company’s analysis of the client’s creditworthiness and specifically reserves against exposure where the Company determines the receivables are impaired, which may include situations where a fee is in dispute or litigation has commenced.</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Investment Banking Revenue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earns investment banking fees from our clients for providing advisory services on mergers, acquisitions,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divestitures, leveraged buyouts, restructurings and similar corporate finance matters. Starting in 2010, the Company’s Investment Banking services were expanded to include services related to securities underwriting, private fund placement services and commissions for agency-based equity trading services and equity research. It is the Company’s accounting policy to recognize revenue when (i) there is persuasive evidence of an arrangement with a client, (ii) fees are fixed or determinable, (iii) the agreed-upon services have been completed and delivered to the client or the transaction or events contemplated in the engagement letter are determined to be substantially completed and (iv) collection is reasonably assured. The Company records Investment Banking Revenue on the Consolidated Statement of Operations for the following:</w:t>
      </w:r>
    </w:p>
    <w:p>
      <w:pPr>
        <w:spacing w:after="0" w:line="38" w:lineRule="exact"/>
        <w:rPr>
          <w:sz w:val="20"/>
          <w:szCs w:val="20"/>
          <w:color w:val="auto"/>
        </w:rPr>
      </w:pPr>
    </w:p>
    <w:p>
      <w:pPr>
        <w:ind w:left="920" w:firstLine="420"/>
        <w:spacing w:after="0" w:line="308" w:lineRule="auto"/>
        <w:rPr>
          <w:sz w:val="20"/>
          <w:szCs w:val="20"/>
          <w:color w:val="auto"/>
        </w:rPr>
      </w:pPr>
      <w:r>
        <w:rPr>
          <w:rFonts w:ascii="Arial" w:cs="Arial" w:eastAsia="Arial" w:hAnsi="Arial"/>
          <w:sz w:val="15"/>
          <w:szCs w:val="15"/>
          <w:b w:val="1"/>
          <w:bCs w:val="1"/>
          <w:i w:val="1"/>
          <w:iCs w:val="1"/>
          <w:color w:val="auto"/>
        </w:rPr>
        <w:t xml:space="preserve">Advisory Fees – </w:t>
      </w:r>
      <w:r>
        <w:rPr>
          <w:rFonts w:ascii="Arial" w:cs="Arial" w:eastAsia="Arial" w:hAnsi="Arial"/>
          <w:sz w:val="15"/>
          <w:szCs w:val="15"/>
          <w:color w:val="auto"/>
        </w:rPr>
        <w:t>In general, advisory fees are paid at the time the Company signs an engagement letter, during the course of the engagement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an engagement is completed. In some circumstances, and as a function of the terms of an engagement letter, the Company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and subsequently recognized as revenue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merger and acquisition (“M&amp;A”)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left="920" w:right="200" w:firstLine="420"/>
        <w:spacing w:after="0" w:line="332" w:lineRule="auto"/>
        <w:rPr>
          <w:sz w:val="20"/>
          <w:szCs w:val="20"/>
          <w:color w:val="auto"/>
        </w:rPr>
      </w:pPr>
      <w:r>
        <w:rPr>
          <w:rFonts w:ascii="Arial" w:cs="Arial" w:eastAsia="Arial" w:hAnsi="Arial"/>
          <w:sz w:val="16"/>
          <w:szCs w:val="16"/>
          <w:b w:val="1"/>
          <w:bCs w:val="1"/>
          <w:i w:val="1"/>
          <w:iCs w:val="1"/>
          <w:color w:val="auto"/>
        </w:rPr>
        <w:t xml:space="preserve">Placement Fees </w:t>
      </w:r>
      <w:r>
        <w:rPr>
          <w:rFonts w:ascii="Arial" w:cs="Arial" w:eastAsia="Arial" w:hAnsi="Arial"/>
          <w:sz w:val="16"/>
          <w:szCs w:val="16"/>
          <w:color w:val="auto"/>
        </w:rPr>
        <w:t>– Placement fee revenues are attributable to capital raising. The Company recognizes placement advisory fees at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client’s acceptance of capital or capital commitments in accordance with the terms of the engagement letter.</w:t>
      </w:r>
    </w:p>
    <w:p>
      <w:pPr>
        <w:spacing w:after="0" w:line="4" w:lineRule="exact"/>
        <w:rPr>
          <w:sz w:val="20"/>
          <w:szCs w:val="20"/>
          <w:color w:val="auto"/>
        </w:rPr>
      </w:pPr>
    </w:p>
    <w:p>
      <w:pPr>
        <w:jc w:val="both"/>
        <w:ind w:left="920" w:right="200" w:firstLine="420"/>
        <w:spacing w:after="0" w:line="306" w:lineRule="auto"/>
        <w:rPr>
          <w:sz w:val="20"/>
          <w:szCs w:val="20"/>
          <w:color w:val="auto"/>
        </w:rPr>
      </w:pPr>
      <w:r>
        <w:rPr>
          <w:rFonts w:ascii="Arial" w:cs="Arial" w:eastAsia="Arial" w:hAnsi="Arial"/>
          <w:sz w:val="16"/>
          <w:szCs w:val="16"/>
          <w:b w:val="1"/>
          <w:bCs w:val="1"/>
          <w:i w:val="1"/>
          <w:iCs w:val="1"/>
          <w:color w:val="auto"/>
        </w:rPr>
        <w:t xml:space="preserve">Underwriting Fees </w:t>
      </w:r>
      <w:r>
        <w:rPr>
          <w:rFonts w:ascii="Arial" w:cs="Arial" w:eastAsia="Arial" w:hAnsi="Arial"/>
          <w:sz w:val="16"/>
          <w:szCs w:val="16"/>
          <w:color w:val="auto"/>
        </w:rPr>
        <w:t>– Underwriting revenues are attributable to public and private offerings of equity and debt securities and are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the offering has been deemed to be completed by the lead manager of the underwriting group. When the offering is completed, the Company recognizes the applicable management fee, selling concession and underwriting fee, the latter net of estimated offering expenses.</w:t>
      </w:r>
    </w:p>
    <w:p>
      <w:pPr>
        <w:spacing w:after="0" w:line="26" w:lineRule="exact"/>
        <w:rPr>
          <w:sz w:val="20"/>
          <w:szCs w:val="20"/>
          <w:color w:val="auto"/>
        </w:rPr>
      </w:pPr>
    </w:p>
    <w:p>
      <w:pPr>
        <w:ind w:left="920" w:right="40" w:firstLine="420"/>
        <w:spacing w:after="0" w:line="268" w:lineRule="auto"/>
        <w:rPr>
          <w:sz w:val="20"/>
          <w:szCs w:val="20"/>
          <w:color w:val="auto"/>
        </w:rPr>
      </w:pPr>
      <w:r>
        <w:rPr>
          <w:rFonts w:ascii="Arial" w:cs="Arial" w:eastAsia="Arial" w:hAnsi="Arial"/>
          <w:sz w:val="18"/>
          <w:szCs w:val="18"/>
          <w:b w:val="1"/>
          <w:bCs w:val="1"/>
          <w:i w:val="1"/>
          <w:iCs w:val="1"/>
          <w:color w:val="auto"/>
        </w:rPr>
        <w:t xml:space="preserve">Commissions – </w:t>
      </w:r>
      <w:r>
        <w:rPr>
          <w:rFonts w:ascii="Arial" w:cs="Arial" w:eastAsia="Arial" w:hAnsi="Arial"/>
          <w:sz w:val="18"/>
          <w:szCs w:val="18"/>
          <w:color w:val="auto"/>
        </w:rPr>
        <w:t>Commissions received from customers for the execution of agency-based brokerage transactions in listed and over-the-counter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equities are recorded on a trade-date basis.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Taxes collected from customers and remitted to governmental authorities are presented on a net basis on the Consolidated Statement of Operations.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The Company’s Investment Management business generates revenues from the management of client assets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equity funds.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management fees for third-party clients are generally based on the value of the assets under management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are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The management fees may provide for a management fee offset for certain portfolio company fees the Company earns. As a result of amendments in December 2009, the Company no longer receives management fees on Evercore Capital Partners L.P. and its affiliated entities. The Company also records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underlying agreements.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Fees generated for serving as an independent fiduciary and/or trustee are either based on a flat fee, are pre-negotiated with the client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 Any fees received before completion of the engagement are recorded as deferred revenue in Other Current Liabilities on the Consolidated Statements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Condition and are recognized in Investment Management Revenue on the Consolidated Statements of Operations upon the execution of the project deliverables.</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Revenue and Interest Expense </w:t>
      </w:r>
      <w:r>
        <w:rPr>
          <w:rFonts w:ascii="Arial" w:cs="Arial" w:eastAsia="Arial" w:hAnsi="Arial"/>
          <w:sz w:val="16"/>
          <w:szCs w:val="16"/>
          <w:color w:val="auto"/>
        </w:rPr>
        <w:t>– Other Revenue and Interest Expense is derived primarily from financing transactions. These transactions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repurchases and resales of Mexican government securities. Revenue and expenses associated with these transactions are recognized over the term of the repurchase or resale transaction. Other Revenue and Interest Expense also includes interest expense associated with the $120,000 principal amount of senior unsecured notes (“Senior Notes”), as well as income earned on marketable securities and cash deposited with financial institutions.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Client Expense Reimbursement </w:t>
      </w:r>
      <w:r>
        <w:rPr>
          <w:rFonts w:ascii="Arial" w:cs="Arial" w:eastAsia="Arial" w:hAnsi="Arial"/>
          <w:sz w:val="18"/>
          <w:szCs w:val="18"/>
          <w:color w:val="auto"/>
        </w:rPr>
        <w:t>– In the conduct of its financial advisory service engagements and in advising the private equity funds,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reimbursement for certain expenses incurred by the Company on behalf of its clients and the funds. Transaction-related expenses, which are billable to clients, are recognized as revenue and recorded in Accounts Receivable on the later of the date of an executed engagement letter or the date the expense is incurred.</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 Noncontrolling interest recorded on the consolidated financial statements of the Company relates to the portions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not owned by the Company. The Company allocates net income to noncontrolling interests held at Evercore LP and at the operating entity level, where required, by multiplying the vested equity ownership percentage of the noncontrolling interest holders for the period by the net income or loss for the entity which the noncontrolling interest relates. In circumstances where the governing documents of the entity to which the noncontrolling interest relates require special allocations of profits (losses) to the controlling and noncontrolling interest holders, then the net income or loss of these entities will be allocated based on these special allocations.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January 2009, the Company adopted ASC 810-10,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w:t>
      </w:r>
      <w:r>
        <w:rPr>
          <w:rFonts w:ascii="Arial" w:cs="Arial" w:eastAsia="Arial" w:hAnsi="Arial"/>
          <w:sz w:val="18"/>
          <w:szCs w:val="18"/>
          <w:i w:val="1"/>
          <w:iCs w:val="1"/>
          <w:color w:val="auto"/>
        </w:rPr>
        <w:t>an amendment of ARB No. 51</w:t>
      </w:r>
      <w:r>
        <w:rPr>
          <w:rFonts w:ascii="Arial" w:cs="Arial" w:eastAsia="Arial" w:hAnsi="Arial"/>
          <w:sz w:val="18"/>
          <w:szCs w:val="18"/>
          <w:color w:val="auto"/>
        </w:rPr>
        <w:t>” (“ASC 810-10”). ASC 810-10 requires reporting entities to present noncontrolling (minority) interests as equity (as opposed to as a liability or mezzanine equity) and provides guidance on the accounting for transactions between an entity and noncontrolling interests. The adoption of ASC 810-10 resulted in the presentation of Noncontrolling Interest as a component of Total Equity on the Consolidated Statements of Financial Condition and below Net Income on the Consolidated Statements of Operations. Prior periods have been reclassified to conform to the current presentation. In addition, the adoption of ASC 810-10 resulted in an allocation of the components of Total Comprehensive Income between controlling interests and noncontrolling interests for the years ended December 31, 2010, 2009 and 2008.</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highly-liquid investments with original maturities of three months or 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Cash and Cash Equivalents on the Consolidated Statements of Financial Condition approximate fair value.</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The majority of the Company’s assets and liabilities are recorded at fair value or at amounts that approximate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Such assets and liabilities include cash and cash equivalents, investments, marketable securities, financial instruments owned and pledged as collateral, repurchase and reverse repurchase agreements, receivables and payables and accruals. See Note 10 for further information.</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xml:space="preserve">– Marketable Securities include investments in corporate, municipal and other debt securities, as well as investments in readily-marketable equity securities, which are accounted for as available-for-sale under ASC 320-10, </w:t>
      </w:r>
      <w:r>
        <w:rPr>
          <w:rFonts w:ascii="Arial" w:cs="Arial" w:eastAsia="Arial" w:hAnsi="Arial"/>
          <w:sz w:val="18"/>
          <w:szCs w:val="18"/>
          <w:i w:val="1"/>
          <w:iCs w:val="1"/>
          <w:color w:val="auto"/>
        </w:rPr>
        <w:t>“Accounting for Certain Investments in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These securities are carried at fair value on the Consolidated Statements of Financial Condition. Unrealized gains and losses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or decreases to Accumulated Other Comprehensive Income (Loss), net of tax, while realized gains and losses on these securities are determined using the specific identification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and are included in Other Revenue on the Consolidated Statements of Operations. The readily-marketable debt and equity securities are valued using quoted market prices on applicable exchanges or markets. Marketable Securities also include investments in municipal bonds carried by EGL, which are carried at fair value, with changes in fair value recorded in Other Revenues on the Consolidated Statement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Financial Instruments Owned and Pledged as Collateral at Fair Value </w:t>
      </w:r>
      <w:r>
        <w:rPr>
          <w:rFonts w:ascii="Arial" w:cs="Arial" w:eastAsia="Arial" w:hAnsi="Arial"/>
          <w:sz w:val="16"/>
          <w:szCs w:val="16"/>
          <w:color w:val="auto"/>
        </w:rPr>
        <w:t>– The Company’s Financial Instruments Owned and Pledged as Collateral at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consist principally of foreign government obligations, which are recorded on a trade-date basis and are stated at quoted market values. Related gains and losses are reflected in Other Revenue on the Consolidated Statements of Operations. The Company pledges the Financial Instruments Owned and Pledged as Collateral at Fair Value to collateralize certain financing arrangements, which permits the counterparty to pledge the securities.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Securities Purchased Under Agreements to Resell and Securities Sold Under Agreements to Repurchase </w:t>
      </w:r>
      <w:r>
        <w:rPr>
          <w:rFonts w:ascii="Arial" w:cs="Arial" w:eastAsia="Arial" w:hAnsi="Arial"/>
          <w:sz w:val="16"/>
          <w:szCs w:val="16"/>
          <w:color w:val="auto"/>
        </w:rPr>
        <w:t>– Securities Purchased Under Agreements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Resell and Securities Sold Under Agreements to Repurchase are treated as collateralized financing transactions. The agreements provide that the transferor will receive substantially the same securities in return at the maturity of the agreement. These transactions are carried at the amounts at which the related securities will be subsequently resold or repurchased, plus accrued interest payable or receivable. As the maturities on these transactions are short-term in nature (i.e. generally mature on the next business day) and the underlying securities are debt instruments of the Mexican Governments or its agencies, their carrying amounts approximate fair value. The Company periodically assesses the collectability or credit quality related to securities purchased under agreements to resell; as of December 31, 2010, the Company believes it maintains a sufficient level of cash or collateral, as described in Note 8.</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 The Company’s investments include investments in private equity partnerships, the Company’s equity interests in Evercore Pan-Asset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(“Pan”) and G5, which are accounted for under the equity method of accounting.</w:t>
      </w:r>
    </w:p>
    <w:p>
      <w:pPr>
        <w:spacing w:after="0" w:line="51"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b w:val="1"/>
          <w:bCs w:val="1"/>
          <w:i w:val="1"/>
          <w:iCs w:val="1"/>
          <w:color w:val="auto"/>
        </w:rPr>
        <w:t xml:space="preserve">Private Equity </w:t>
      </w:r>
      <w:r>
        <w:rPr>
          <w:rFonts w:ascii="Arial" w:cs="Arial" w:eastAsia="Arial" w:hAnsi="Arial"/>
          <w:sz w:val="16"/>
          <w:szCs w:val="16"/>
          <w:color w:val="auto"/>
        </w:rPr>
        <w:t>– The investments of private equity funds consist primarily of investments in marketable and non-marketable securities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Companies. The underlying investments held by the private equity funds are valued based on quoted market prices or estimated fair value if there is no public market.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 The Company recognizes its allocable share of the changes in fair value of the private equity funds’ underlying investments as realized and unrealized gains (losses) within Investment Management Revenue in the Consolidated Statements of Operations.</w:t>
      </w:r>
    </w:p>
    <w:p>
      <w:pPr>
        <w:spacing w:after="0" w:line="37"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b w:val="1"/>
          <w:bCs w:val="1"/>
          <w:i w:val="1"/>
          <w:iCs w:val="1"/>
          <w:color w:val="auto"/>
        </w:rPr>
        <w:t xml:space="preserve">Pan and G5 </w:t>
      </w:r>
      <w:r>
        <w:rPr>
          <w:rFonts w:ascii="Arial" w:cs="Arial" w:eastAsia="Arial" w:hAnsi="Arial"/>
          <w:sz w:val="18"/>
          <w:szCs w:val="18"/>
          <w:color w:val="auto"/>
        </w:rPr>
        <w:t>– The Company’s equity interests in Pan and G5 include its share of the income (losses) within Income (Loss) from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as a component of Income Before Income Taxes, on the Consolidated Statements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assesses its Equity Method Investments annually for impairment.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 Goodwill and Intangible Assets are tested for impairment annually or more frequently if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may have occurred. The Company assesses whether any goodwill recorded by its applicable reporting unit is impaired by comparing the fair value of each business with its respective carrying amount. For businesses acquired, contingent consideration is recognized and measured at fair value as of the acquisition date and at subsequent reporting periods.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Intangible assets with finite lives are amortized over their estimated useful lives and are reviewed for impairment whenever events or changes in circumstances indicate that the carrying amount of such assets may not be recoverable as prescribed by ASC 360, “Accounting for the Impairment or Disposal of Long-Lived Assets”.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tests goodwill for impairment at the reporting unit level. In determining the fair value for each reporting unit, the Company utilizes either a market multiple approach or a discounted cash flow methodology based on the adjusted cash flows from operations. The market multiple approach includes applying the average earnings multiples of comparable public companies for their respective reporting segment multiplied by the forecasted earnings of the respective reporting unit to yield an estimate of fair value. The discounted cash flow methodology begins with the forecasted adjusted cash flows from each of the reporting units and uses a discount rate that reflects the weighted average costs of capital adjusted for the risks inherent in the future cash flows.</w:t>
      </w:r>
    </w:p>
    <w:p>
      <w:pPr>
        <w:spacing w:after="0" w:line="11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Compensation includes salaries, bonuses (discretionary awards and guaranteed amounts), severance, deferred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Cash bonuses are accrued over the respective service periods to which they relate and deferred cash and share-based bonuses are expensed prospectively over their requisite service period.</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Share-Based Payments </w:t>
      </w:r>
      <w:r>
        <w:rPr>
          <w:rFonts w:ascii="Arial" w:cs="Arial" w:eastAsia="Arial" w:hAnsi="Arial"/>
          <w:sz w:val="16"/>
          <w:szCs w:val="16"/>
          <w:color w:val="auto"/>
        </w:rPr>
        <w:t>–The Company accounts for share-based payments in accordance with ASC 718,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718”)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 on the Company’s Consolidated Statements of Financial Condition and Statements of Operations is discussed in Note 17.</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Compensation expense recognized pursuant to stock-based awards is based on the grant date fair value of the award. The fair value (as measured on the grant date) of awards that vest from one to five years (“Service-based Awards”) is amortized over the vesting periods or requisite service periods as required under ASC 718, however, the vesting of some Service-based Awards will accelerate upon the occurrence of certain events. The requisite service period for retirement eligible employees is the period from grant date or, where applicable, the retirement notification date, to the retirement eligible date, if shorter than the vesting period. For the purposes of calculating diluted net income per share attributable to Evercore Partners Inc. common shareholders, unvested Service-based Awards are included in the diluted weighted average shares of Class A common stock outstanding using the treasury stock method. Once vested, restricted stock units (“RSUs”) and restricted stock are included in the basic and diluted weighted average shares of Class A common stock outstanding. Expense relating to RSUs and restricted stock is charged to Employee Compensation and Benefits within the Consolidated Statements of Operations. For a discussion of Event-based Awards, see Note 17.</w:t>
      </w:r>
    </w:p>
    <w:p>
      <w:pPr>
        <w:spacing w:after="0" w:line="12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b w:val="1"/>
          <w:bCs w:val="1"/>
          <w:i w:val="1"/>
          <w:iCs w:val="1"/>
          <w:color w:val="auto"/>
        </w:rPr>
        <w:t xml:space="preserve">Foreign Currency Translation </w:t>
      </w:r>
      <w:r>
        <w:rPr>
          <w:rFonts w:ascii="Arial" w:cs="Arial" w:eastAsia="Arial" w:hAnsi="Arial"/>
          <w:sz w:val="15"/>
          <w:szCs w:val="15"/>
          <w:color w:val="auto"/>
        </w:rPr>
        <w:t>– Foreign currency assets and liabilities have been translated at rates of exchange prevailing at the end of the periods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presented. Income and expenses transacted in foreign currency have been translated at average monthly exchange rates during the period. Translation gains and losses are included in the foreign currency translation adjustment as a component of Accumulated Other Comprehensive Income (Loss) in the Consolidated Statement of Changes in Equity. Exchange gains and losses arising from translating intercompany balances of a long-term investment nature are recorded in the foreign currency translation account while transactional exchange gains and losses are included in Other Revenue on the Consolidated Statements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–The Company accounts for income taxes in accordance with ASC 740, “</w:t>
      </w:r>
      <w:r>
        <w:rPr>
          <w:rFonts w:ascii="Arial" w:cs="Arial" w:eastAsia="Arial" w:hAnsi="Arial"/>
          <w:sz w:val="15"/>
          <w:szCs w:val="15"/>
          <w:i w:val="1"/>
          <w:iCs w:val="1"/>
          <w:color w:val="auto"/>
        </w:rPr>
        <w:t>Accounting for Income Taxes”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(“ASC 740”), which requires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recognition of tax benefits or expenses on temporary differences between the financial reporting and tax bases of its assets and liabilities, as disclosed in Note 20.</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Deferred income taxes reflect the net tax effects of temporary differences between financial reporting and tax bases of assets and liabilities and are measured using the enacted tax rates and laws that will be in effect when such differences are expected to reverse. Such temporary differences are reflected on the Company’s Consolidated Statements of Financial Condition as deferred tax assets and liabilities. Deferred tax assets are reduced by a valuation allowance when it is more likely than not that some portion or all of the deferred tax assets will not be realized. Significant management judgment is required in determining our provision for income taxes, our deferred tax assets and liabilities and any valuation allowance recorded against our net deferred tax assets.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January 1, 2007, the Company adopted an interpretation of ASC 740, “</w:t>
      </w:r>
      <w:r>
        <w:rPr>
          <w:rFonts w:ascii="Arial" w:cs="Arial" w:eastAsia="Arial" w:hAnsi="Arial"/>
          <w:sz w:val="16"/>
          <w:szCs w:val="16"/>
          <w:i w:val="1"/>
          <w:iCs w:val="1"/>
          <w:color w:val="auto"/>
        </w:rPr>
        <w:t>Accounting for Uncertainty in Income Taxes-An Interpretation of ASC 740</w:t>
      </w:r>
      <w:r>
        <w:rPr>
          <w:rFonts w:ascii="Arial" w:cs="Arial" w:eastAsia="Arial" w:hAnsi="Arial"/>
          <w:sz w:val="16"/>
          <w:szCs w:val="16"/>
          <w:color w:val="auto"/>
        </w:rPr>
        <w:t>”. 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ASC 740 also requires the recognition of liabilities created by differences between tax positions taken in a tax return and amounts recognized in the financial statements. See Note 20 for disclosure in regard to the impact of the adoption of ASC 740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ASU 2010-28 </w:t>
      </w:r>
      <w:r>
        <w:rPr>
          <w:rFonts w:ascii="Arial" w:cs="Arial" w:eastAsia="Arial" w:hAnsi="Arial"/>
          <w:sz w:val="16"/>
          <w:szCs w:val="16"/>
          <w:color w:val="auto"/>
        </w:rPr>
        <w:t>– In December 2010, the Financial Accounting Standards Board (“FASB”) issued Accounting Standards Update (“ASU”) No. 2010-28,</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When to Perform Step 2 of the Goodwill Impairment Test for Reporting Units with Zero or Negative Carrying Amounts”</w:t>
      </w:r>
      <w:r>
        <w:rPr>
          <w:rFonts w:ascii="Arial" w:cs="Arial" w:eastAsia="Arial" w:hAnsi="Arial"/>
          <w:sz w:val="16"/>
          <w:szCs w:val="16"/>
          <w:color w:val="auto"/>
        </w:rPr>
        <w:t xml:space="preserve"> (“ASU 2010-28”). ASU 2010-28 provides amendments to ASC No. 350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modifying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the existing guidance and examples in paragraph 350-20-35-30, which requires that goodwill of a reporting unit be tested for impairment between annual tests if an event occurs or circumstances change that would more likely than not reduce the fair value of a reporting unit below its carrying amount. The amendments in this update are effective for fiscal years, and interim periods within those years, beginning after December 15, 2010 and early adoption is not permitted. The Company is currently assessing the impact of the adoption of this update on the Company’s financial condition, results of operations and cash flows.</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ASU 2010-29 </w:t>
      </w:r>
      <w:r>
        <w:rPr>
          <w:rFonts w:ascii="Arial" w:cs="Arial" w:eastAsia="Arial" w:hAnsi="Arial"/>
          <w:sz w:val="18"/>
          <w:szCs w:val="18"/>
          <w:color w:val="auto"/>
        </w:rPr>
        <w:t>– In December 2010, the FASB issued ASU No. 2010-29, “</w:t>
      </w:r>
      <w:r>
        <w:rPr>
          <w:rFonts w:ascii="Arial" w:cs="Arial" w:eastAsia="Arial" w:hAnsi="Arial"/>
          <w:sz w:val="18"/>
          <w:szCs w:val="18"/>
          <w:i w:val="1"/>
          <w:iCs w:val="1"/>
          <w:color w:val="auto"/>
        </w:rPr>
        <w:t xml:space="preserve">Disclosure of Supplementary Pro Forma Information for Business Combinations” </w:t>
      </w:r>
      <w:r>
        <w:rPr>
          <w:rFonts w:ascii="Arial" w:cs="Arial" w:eastAsia="Arial" w:hAnsi="Arial"/>
          <w:sz w:val="18"/>
          <w:szCs w:val="18"/>
          <w:color w:val="auto"/>
        </w:rPr>
        <w:t xml:space="preserve">(“ASU 2010-29”). ASU 2010-29 provides amendments to ASC No.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 under ASC No.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acquisition date is on or after the beginning of the first annual reporting period beginning on or after December 15, 2010, with early adoption permitted. The Company is currently assessing the impact of the adoption of this update on the Company’s financial condition, results of operations and cash flows.</w:t>
      </w:r>
    </w:p>
    <w:p>
      <w:pPr>
        <w:spacing w:after="0" w:line="85" w:lineRule="exact"/>
        <w:rPr>
          <w:sz w:val="20"/>
          <w:szCs w:val="20"/>
          <w:color w:val="auto"/>
        </w:rPr>
      </w:pPr>
    </w:p>
    <w:p>
      <w:pPr>
        <w:ind w:right="220" w:firstLine="456"/>
        <w:spacing w:after="0" w:line="303" w:lineRule="auto"/>
        <w:rPr>
          <w:sz w:val="20"/>
          <w:szCs w:val="20"/>
          <w:color w:val="auto"/>
        </w:rPr>
      </w:pPr>
      <w:r>
        <w:rPr>
          <w:rFonts w:ascii="Arial" w:cs="Arial" w:eastAsia="Arial" w:hAnsi="Arial"/>
          <w:sz w:val="15"/>
          <w:szCs w:val="15"/>
          <w:i w:val="1"/>
          <w:iCs w:val="1"/>
          <w:color w:val="auto"/>
        </w:rPr>
        <w:t xml:space="preserve">ASU 2010-20 </w:t>
      </w:r>
      <w:r>
        <w:rPr>
          <w:rFonts w:ascii="Arial" w:cs="Arial" w:eastAsia="Arial" w:hAnsi="Arial"/>
          <w:sz w:val="15"/>
          <w:szCs w:val="15"/>
          <w:color w:val="auto"/>
        </w:rPr>
        <w:t>– In July 2010, the FASB issued ASU No. 2010-20, “</w:t>
      </w:r>
      <w:r>
        <w:rPr>
          <w:rFonts w:ascii="Arial" w:cs="Arial" w:eastAsia="Arial" w:hAnsi="Arial"/>
          <w:sz w:val="15"/>
          <w:szCs w:val="15"/>
          <w:i w:val="1"/>
          <w:iCs w:val="1"/>
          <w:color w:val="auto"/>
        </w:rPr>
        <w:t>Disclosure about the Credit Quality of Financing Receivables and the Allowance for Credit Losses</w:t>
      </w:r>
      <w:r>
        <w:rPr>
          <w:rFonts w:ascii="Arial" w:cs="Arial" w:eastAsia="Arial" w:hAnsi="Arial"/>
          <w:sz w:val="15"/>
          <w:szCs w:val="15"/>
          <w:color w:val="auto"/>
        </w:rPr>
        <w:t>” (“ASU 2010-20”). This ASU amends ASC 310 by requiring more robust and disaggregated disclosure about the credit quality of an entity’s</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receivables and its allowance for credit losses. The objective of enhancing these disclosures is to improve financial statement users’ understanding of</w:t>
      </w:r>
    </w:p>
    <w:p>
      <w:pPr>
        <w:spacing w:after="0" w:line="1" w:lineRule="exact"/>
        <w:rPr>
          <w:sz w:val="20"/>
          <w:szCs w:val="20"/>
          <w:color w:val="auto"/>
        </w:rPr>
      </w:pPr>
    </w:p>
    <w:p>
      <w:pPr>
        <w:ind w:right="260" w:firstLine="8"/>
        <w:spacing w:after="0" w:line="255"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of an entity’s credit risk associated with its financing receivables and (2) the entity’s assessment of that risk in estimating its allowance for credit losses as well as changes in the allowance and the reasons for those changes. The adoption of ASU 2010-20 did not have a material impact on the Company’s financial condition, results of operations and cash flows, or disclosures thereto.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Changes and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Atalanta Sosnoff Capital, LLC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2010, the Company purchased an interest in Atalanta Sosnoff, representing a 49% economic interest, for a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of $68,992. Following the consummation of the transaction, the remainder of Atalanta Sosnoff’s economic interests, which includes management’s profits interest, is owned by the senior management of Atalanta Sosnoff. The senior management of Atalanta Sosnoff retains interests comprised of Series A-2 Capital Interests, Series B Capital Interests and Series C Profits Interests, which represents 5.5%, 19.6% and 25.9%, respectively, for a 51% economic interest. The Company owns Series A-1 Capital Interests, which represents a 49% economic interest. The Series C interest is a profits interest; accordingly, the Company is required to account for this interest as a compensation arrangement. Excluding the Series C interest, the Company’s equity interest in Atalanta Sosnoff is 66%. Atalanta Sosnoff was purchased to expand the Company’s asset management capabilities. Atalanta Sosnoff manages assets for institutional, high net-worth and broker-advised clients, and is focused on managing large-cap U.S. equity and balanced accounts. The Company consolidates the financial results of Atalanta Sosnoff based on provisions in the Operating Agreement which give the Company the majority vote in the Management Committee of Atalanta Sosnoff, which is the governing committee with decision making power over Atalanta Sosnoff’s operations. The Management Committee of Atalanta Sosnoff controls the operations of Atalanta Sosnoff, including actions such as the appointment and termination of key management members of Atalanta Sosnoff, the approval of Atalanta Sosnoff’s budget as well as any material expenditure outside of its budget, the launch of new products or material changes in the pricing of existing products, and entering or exiting lines of business. Responsibility for day-to-day operations is vested with the management of Atalanta Sosnoff, including managing client relationships and making discretionary investment decisions. The senior management of Atalanta Sosnoff, through a supermajority vote of the Management Committee, retains customary protective rights over specified matters that may arise outside of the ordinary course of business and/or where the probability of occurrence is remote.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purchase price of the acquisition has been allocated to the assets acquired and liabilities assumed using the fair values as determined by management as of the acquisition date. The computation of goodwill was based on its fair value at May 28, 2010, as presented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68,992</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Fair Value of Consideration Transferred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83,029</w:t>
            </w:r>
          </w:p>
        </w:tc>
        <w:tc>
          <w:tcPr>
            <w:tcW w:w="100" w:type="dxa"/>
            <w:vAlign w:val="bottom"/>
          </w:tcPr>
          <w:p>
            <w:pPr>
              <w:spacing w:after="0"/>
              <w:rPr>
                <w:sz w:val="19"/>
                <w:szCs w:val="19"/>
                <w:color w:val="auto"/>
              </w:rPr>
            </w:pPr>
          </w:p>
        </w:tc>
      </w:tr>
      <w:tr>
        <w:trPr>
          <w:trHeight w:val="217"/>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42,381</w:t>
            </w:r>
          </w:p>
        </w:tc>
        <w:tc>
          <w:tcPr>
            <w:tcW w:w="100" w:type="dxa"/>
            <w:vAlign w:val="bottom"/>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Total Fair Value of Purchase Price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125,410</w:t>
            </w:r>
          </w:p>
        </w:tc>
        <w:tc>
          <w:tcPr>
            <w:tcW w:w="100" w:type="dxa"/>
            <w:vAlign w:val="bottom"/>
          </w:tcPr>
          <w:p>
            <w:pPr>
              <w:spacing w:after="0"/>
              <w:rPr>
                <w:sz w:val="19"/>
                <w:szCs w:val="19"/>
                <w:color w:val="auto"/>
              </w:rPr>
            </w:pPr>
          </w:p>
        </w:tc>
      </w:tr>
      <w:tr>
        <w:trPr>
          <w:trHeight w:val="116"/>
        </w:trPr>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43,280</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Identifiable Net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45,201</w:t>
            </w:r>
          </w:p>
        </w:tc>
        <w:tc>
          <w:tcPr>
            <w:tcW w:w="100" w:type="dxa"/>
            <w:vAlign w:val="bottom"/>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Goodwill Resulting from Business Combination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w:t>
            </w:r>
          </w:p>
        </w:tc>
        <w:tc>
          <w:tcPr>
            <w:tcW w:w="10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conjunction with the acquisition, the Company recognized accounts receivable with a gross value of $7,034, which approximates fair value. The goodwill reflects the replacement cost of an assembled workforce associated with personal reputations, relationships and business specific knowledge, as well as the value of expected synergies and premiums paid by the Company and inherent in the value of the noncontrolling interest holders.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Purchase Agreement provided for earn-out consideration to the sellers of $14,700 if Atalanta Sosnoff’s earnings before interest, taxes, depreciation and amortization (“EBITDA”) exceed $19,500 for 2010. The sellers received a pro-rata portion of the $14,700 if Atalanta Sosnoff’s EBITDA exceeded $17,000, but did not exceed $19,500. The earn-out consideration was payable 50% in cash and 50% in restricted shares of Evercore Class A common stock. In December 2010, the majority of the earn-out consideration was paid, with 20% of the cash portion to be paid upon successful completion of an audit in 2011. The fair value of the remaining contingent payment was $1,470 as of December 31, 2010.</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the acquisition of Atalanta Sosnoff, the Company recorded intangible assets of $39,700, $1,800 and $1,780 relating to Client Relationships, Trademarks and Non-Compete/Non-Solicit Agreements, respectively. Management views client relationships as the primary intangible assets of Atalanta Sosnoff, as management believes the client relationships are stable and recurring. The intangible assets were valued at the date of acquisition at their fair value as determined by management. The intangible assets are generally amortized over estimated useful lives ranging from four to 15 years. The Company recognized $3,632 of amortization expense related to these intangible assets for the year ended December 31,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and intangible assets recognized as a result of this acquisition are included in the Investment Management Segment.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consolidated results include revenue and pre-tax income of $27,079 and $5,264, respectively, for the year ended December 31, 2010, from Atalanta Sosnoff.</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Morse, Williams and Company, Inc. </w:t>
      </w:r>
      <w:r>
        <w:rPr>
          <w:rFonts w:ascii="Arial" w:cs="Arial" w:eastAsia="Arial" w:hAnsi="Arial"/>
          <w:sz w:val="18"/>
          <w:szCs w:val="18"/>
          <w:color w:val="auto"/>
        </w:rPr>
        <w:t>– In May 2010, the Company, through Evercore Wealth Management (“EWM”), acquired Morse Williams,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investment advisor that provides separate management services for tax-exempt institutions and taxable clients. The terms of the acquisition include stock-based initial consideration of $1,350 and contingent consideration based on future investment fees earned. The fair value of the earn-out consideration was $627 as of December 31, 2010. The transaction resulted in goodwill of $848 and intangible assets relating to Client Relationships of $1,130, recognized in the Investment Management Segment. The Client Relationships are being amortized over 9 years. Amortization expense related to these intangibles was $84 for the year ended December 31, 2010.</w:t>
      </w:r>
    </w:p>
    <w:p>
      <w:pPr>
        <w:spacing w:after="0" w:line="14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 xml:space="preserve">MJC Associates </w:t>
      </w:r>
      <w:r>
        <w:rPr>
          <w:rFonts w:ascii="Arial" w:cs="Arial" w:eastAsia="Arial" w:hAnsi="Arial"/>
          <w:sz w:val="15"/>
          <w:szCs w:val="15"/>
          <w:color w:val="auto"/>
        </w:rPr>
        <w:t>– In April 2010, the Company entered into an agreement to acquire MJC Associates, a commercial real estate advisory boutique.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terms of the acquisition include $2,000 of cash payable at the closing, $1,000 of cash payable on each of the three anniversary dates of the closing and $3,000 of restricted stock, which is contingently issuable based on minimum future revenues. The transaction was consummated on July 8, 2010. The fair value of the earn-out consideration was $5,282 as of December 31, 2010. The transaction resulted in goodwill of $6,183 and intangible assets relating to Client Relationships of $940 and Non-compete agreements of $135, recognized in the Investment Banking Segment. The Client Relationships and Non-compete agreements are being amortized over five months and five years, respectively. Amortization expense related to these intangibles was $954 for the year ended December 31, 2010.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acquisitions of Atalanta Sosnoff, Morse Williams and MJC Associates were effective as of January 1, 2009, the operating results of the Company, on a pro forma basis, would have been:</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For the Years Ended December 31,</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399,668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351,578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Pre-tax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36,625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22,417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Evercore Partners Inc.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Diluted Net Income (Loss) Per Share Available to Evercore Partners Inc.</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Private Funds Group of Neuberger Berman </w:t>
      </w:r>
      <w:r>
        <w:rPr>
          <w:rFonts w:ascii="Arial" w:cs="Arial" w:eastAsia="Arial" w:hAnsi="Arial"/>
          <w:sz w:val="16"/>
          <w:szCs w:val="16"/>
          <w:color w:val="auto"/>
        </w:rPr>
        <w:t>– In February 2010, the Company acquired assets of PFG for initial consideration of $1,000 and contingent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based on future revenues earned. The Company’s commitment to pay earn-out consideration is based on varied percentages of future fees earned over the 18 month period following the acquisition. The fair value of the earn-out consideration was $1,653 as of December 31, 2010. The transaction resulted in goodwill of $990 and intangible assets relating to Acquired Mandates and Client Relationships of $1,810 and $2,300, respectively, recognized in the Investment Banking Segment. The Acquired Mandates and Client Relationships are being amortized over four years and seven years, respectively. Amortization expense related to these intangibles was $664 for the year ended December 31, 2010.</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seller did not maintain U.S. GAAP basis financial statements for PFG. The Company is unable to independently substantiate the significant assumptions that must be made in order to compile U.S. GAAP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financial statements for prior periods from what was provided by the seller. As a result, the Company believes it is impracticable to disclose pro forma financial information.</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Trilantic Capital Partners </w:t>
      </w:r>
      <w:r>
        <w:rPr>
          <w:rFonts w:ascii="Arial" w:cs="Arial" w:eastAsia="Arial" w:hAnsi="Arial"/>
          <w:sz w:val="18"/>
          <w:szCs w:val="18"/>
          <w:color w:val="auto"/>
        </w:rPr>
        <w:t>– In February 2010, the Company announced the formation of a strategic alliance to pursue private equity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Trilantic Capital Partners’ (“Trilantic”) current fund and to collaborate on the future growth of Trilantic’s business. See Note 15 for further discussion.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G5 Holdings S.A. – </w:t>
      </w:r>
      <w:r>
        <w:rPr>
          <w:rFonts w:ascii="Arial" w:cs="Arial" w:eastAsia="Arial" w:hAnsi="Arial"/>
          <w:sz w:val="16"/>
          <w:szCs w:val="16"/>
          <w:color w:val="auto"/>
        </w:rPr>
        <w:t>In October 2010, the Company acquired a 50% interest in G5. The terms of the investment includes initial consideration of $10,319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shares of Evercore Class A common stock and $10,867 in cash plus contingent consideration based on multiples of G5’s net income over the years 2010 through 2014. The contingent consideration will be paid 50% in cash and 50% in Evercore Class A restricted shares. The Company maintains half of the seats on G5’s board of directors. The Company does not maintain the unilateral ability to control significant operational or corporate governance matters of G5 and the founders of G5 have certain protective and participating rights which include the ability to block certain corporate actions relating to liquidation or sale of any material assets, approval of any material transaction outside of the ordinary course of business and approval of the annual budget and compensation arrangements. This transaction was therefore accounted for as an equity method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SFS </w:t>
      </w:r>
      <w:r>
        <w:rPr>
          <w:rFonts w:ascii="Arial" w:cs="Arial" w:eastAsia="Arial" w:hAnsi="Arial"/>
          <w:sz w:val="16"/>
          <w:szCs w:val="16"/>
          <w:color w:val="auto"/>
        </w:rPr>
        <w:t>– On May 1, 2009, the Company announced the formation of ETC in conjunction with the consummation of its acquisition of a controlling interest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86% in Bank of America’s Special Fiduciary Services Division (“SFS”) for $8,196. The remaining 14% is owned by the management and directors of ETC. SFS’s business is conducted through ETC, which focuses on providing specialized investment management, independent fiduciary and trustee services to employee benefit plans of large corporations, consistent with the services provided by the historical SFS business. In addition, ETC provides personal trustee, executor and custody services for EWM. SFS was acquired to expand the Company’s Wealth Management and Institutional businesses.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purchase price of the acquisition has been allocated to the assets acquired and liabilities assumed using the fair values as determined by management as of the acquisition date. The computation of goodwill was based on its fair value at May 1, 2009, as presented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Cash Paid</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4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Fair Value of Consideration Transferred</w:t>
            </w:r>
          </w:p>
        </w:tc>
        <w:tc>
          <w:tcPr>
            <w:tcW w:w="4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10,092</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w:t>
            </w:r>
          </w:p>
        </w:tc>
        <w:tc>
          <w:tcPr>
            <w:tcW w:w="4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Total Fair Value of Purchase Price</w:t>
            </w:r>
          </w:p>
        </w:tc>
        <w:tc>
          <w:tcPr>
            <w:tcW w:w="4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11,735</w:t>
            </w: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Fair Value of Assets Acquired and Liabilities Assumed:</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Accounts Receivable</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Accounts Payable</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(1,025)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Business Combination</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80" w:type="dxa"/>
            <w:vAlign w:val="bottom"/>
            <w:vMerge w:val="restart"/>
          </w:tcPr>
          <w:p>
            <w:pPr>
              <w:jc w:val="right"/>
              <w:ind w:right="3932"/>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conjunction with the acquisition, the Company recognized accounts receivable with a gross value of $2,450, which approximated fair value, all of which were expected to be collected. The goodwill reflects the replacement cost of an assembled workforce associated with personal reputations, relationships and business specific knowledge, as well as the value of expected synergies and premiums paid by the Company and the noncontrolling interest holders.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had a commitment to pay earn-out consideration equal to $1,000 for each twelve month period ending June 30, 2010, 2011 and 2012, contingent upon the annualized gross revenues of ETC exceeding $16,750, $17,100 and $18,200, respectively. At the end of the earn-out period, in the event that less than $3,000 is paid or payable and total annualized gross revenues for the twelve month periods ending June 30, 2010, 2011 and 2012 exceed $49,500, the Company would be required to pay an amount equal to $3,000, less amounts already payable and paid pursuant to the earn-out. The holders of the noncontrolling interest of ETC will make a payment to the Company for their pro-rata portion of any future earn-out. No payments were made as of December 31, 2010. The fair value of the earn-out consideration was $2,197 and $2,031 as of December 31, 2010 and 2009, respectively.</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connection with the SFS acquisition, the Company recorded an intangible asset of $2,300 relating to client relationships. Management views customer relationships as the primary intangible asset of SFS, as management believes the customer relationships are stable and recurring. The intangible asset was valued at the date of acquisition at its fair value, as determined by management and is being amortized over an estimated useful life of seven years. The Company recognized $328 and $219 of amortization expense related to this intangible asset for the years ended December 31, 2010 and 2009,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and intangible assets recognized as a result of the acquisition of SFS are included in the Investment Management Segment.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seller did not maintain U.S. GAAP basis financial statements for SFS. The Company is unable to independently substantiate the significant assumptions that must be made in order to compile U.S. GAAP basis financial statements for prior periods from what was provided by the seller. As a result, the Company believes it is impracticable to disclose pro forma financial information. The Company’s consolidated results include revenue from ETC of $18,947 and $9,594 for the years ended December 31, 2010 and 2009, respectively, and pre-tax income from ETC of $5,241 and $668 for the years ended December 31, 2010 and 2009, respectively.</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ETC, whose business is limited to fiduciary activities, is regulated by the Office of the Comptroller of the Currency (“OCC”) and is a member bank of the Federal Reserve System. The Company, Evercore LP and ETC are subject to written agreements with the OCC that, among other things, require the Company and Evercore LP to (1) maintain at least $5,000 in Tier 1 capital in ETC (or such other amount as the OCC may require), (2) maintain liquid assets in ETC in an amount at least equal to the greater of $3,500 or 90 days coverage of ETC’s operating expenses and (3) provide at least $10,000 of certain collateral held in a segregated account at a third-party depository institution. The $10,000 is included in Assets Segregated for Bank Regulatory Requirements on the Consolidated Statements of Financial Condition. The Company was in compliance with the aforementioned agreements as of December 31, 2010.</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EAM </w:t>
      </w:r>
      <w:r>
        <w:rPr>
          <w:rFonts w:ascii="Arial" w:cs="Arial" w:eastAsia="Arial" w:hAnsi="Arial"/>
          <w:sz w:val="16"/>
          <w:szCs w:val="16"/>
          <w:color w:val="auto"/>
        </w:rPr>
        <w:t>– On April 1, 2009, the Company invested an additional $2,000 in EAM, increasing its ownership to 51%. As a result, the Company consolidated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in EAM effective April 1, 2009. As part of this agreement, EAM has released the Company from all non-compete arrangements. The transaction resulted in goodwill and intangible assets of $6,266 and $1,300, respectively, recognized in the Investment Management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Segment. The intangible asset is being amortized over 10 years. The Company recognized $128 and $97 of amortization expense related to this intangible asset for the years ended December 31, 2010 and 2009,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associated with the Company’s acquisitions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3"/>
              </w:rPr>
              <w:t>Investment</w:t>
            </w:r>
          </w:p>
        </w:tc>
        <w:tc>
          <w:tcPr>
            <w:tcW w:w="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Investment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Banking</w:t>
            </w:r>
          </w:p>
        </w:tc>
        <w:tc>
          <w:tcPr>
            <w:tcW w:w="7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Management</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$ 34,989</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Acquisitions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7,173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81,057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88,230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$ 43,199</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95,832</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139,031</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associated with the Company’s acquisitions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8"/>
          </w:tcPr>
          <w:p>
            <w:pPr>
              <w:jc w:val="right"/>
              <w:ind w:right="392"/>
              <w:spacing w:after="0"/>
              <w:rPr>
                <w:sz w:val="20"/>
                <w:szCs w:val="20"/>
                <w:color w:val="auto"/>
              </w:rPr>
            </w:pPr>
            <w:r>
              <w:rPr>
                <w:rFonts w:ascii="Arial" w:cs="Arial" w:eastAsia="Arial" w:hAnsi="Arial"/>
                <w:sz w:val="14"/>
                <w:szCs w:val="14"/>
                <w:b w:val="1"/>
                <w:bCs w:val="1"/>
                <w:color w:val="auto"/>
                <w:w w:val="98"/>
              </w:rPr>
              <w:t>December 31, 2010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w w:val="98"/>
              </w:rPr>
              <w:t>Gross Carrying Amount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ind w:left="60"/>
              <w:spacing w:after="0" w:line="142" w:lineRule="exact"/>
              <w:rPr>
                <w:sz w:val="20"/>
                <w:szCs w:val="20"/>
                <w:color w:val="auto"/>
              </w:rPr>
            </w:pPr>
            <w:r>
              <w:rPr>
                <w:rFonts w:ascii="Arial" w:cs="Arial" w:eastAsia="Arial" w:hAnsi="Arial"/>
                <w:sz w:val="14"/>
                <w:szCs w:val="14"/>
                <w:b w:val="1"/>
                <w:bCs w:val="1"/>
                <w:color w:val="auto"/>
                <w:w w:val="92"/>
              </w:rPr>
              <w:t>Accumulated Amortization</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4"/>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Investment</w:t>
            </w:r>
          </w:p>
        </w:tc>
        <w:tc>
          <w:tcPr>
            <w:tcW w:w="360" w:type="dxa"/>
            <w:vAlign w:val="bottom"/>
          </w:tcPr>
          <w:p>
            <w:pPr>
              <w:spacing w:after="0"/>
              <w:rPr>
                <w:sz w:val="11"/>
                <w:szCs w:val="11"/>
                <w:color w:val="auto"/>
              </w:rPr>
            </w:pPr>
          </w:p>
        </w:tc>
        <w:tc>
          <w:tcPr>
            <w:tcW w:w="12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Investment</w:t>
            </w:r>
          </w:p>
        </w:tc>
        <w:tc>
          <w:tcPr>
            <w:tcW w:w="400" w:type="dxa"/>
            <w:vAlign w:val="bottom"/>
          </w:tcPr>
          <w:p>
            <w:pPr>
              <w:spacing w:after="0"/>
              <w:rPr>
                <w:sz w:val="11"/>
                <w:szCs w:val="11"/>
                <w:color w:val="auto"/>
              </w:rPr>
            </w:pPr>
          </w:p>
        </w:tc>
        <w:tc>
          <w:tcPr>
            <w:tcW w:w="122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Investment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Banking</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Management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7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Banking</w:t>
            </w:r>
          </w:p>
        </w:tc>
        <w:tc>
          <w:tcPr>
            <w:tcW w:w="40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Management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0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$ 11,242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44,430</w:t>
            </w:r>
          </w:p>
        </w:tc>
        <w:tc>
          <w:tcPr>
            <w:tcW w:w="3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$55,672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8"/>
              </w:rPr>
              <w:t>7,120</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Professional Licenses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Acquired Mandates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Non-compete/Non-solicit Agreements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1,780</w:t>
            </w:r>
          </w:p>
        </w:tc>
        <w:tc>
          <w:tcPr>
            <w:tcW w:w="32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3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$ 14,559</w:t>
            </w:r>
          </w:p>
        </w:tc>
        <w:tc>
          <w:tcPr>
            <w:tcW w:w="140" w:type="dxa"/>
            <w:vAlign w:val="bottom"/>
          </w:tcPr>
          <w:p>
            <w:pPr>
              <w:spacing w:after="0"/>
              <w:rPr>
                <w:sz w:val="19"/>
                <w:szCs w:val="19"/>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48,010</w:t>
            </w:r>
          </w:p>
        </w:tc>
        <w:tc>
          <w:tcPr>
            <w:tcW w:w="320" w:type="dxa"/>
            <w:vAlign w:val="bottom"/>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62,569</w:t>
            </w:r>
          </w:p>
        </w:tc>
        <w:tc>
          <w:tcPr>
            <w:tcW w:w="20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8,846</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79"/>
              </w:rPr>
              <w:t>4,491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jc w:val="right"/>
              <w:ind w:right="312"/>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ind w:left="140"/>
              <w:spacing w:after="0" w:line="142" w:lineRule="exact"/>
              <w:rPr>
                <w:sz w:val="20"/>
                <w:szCs w:val="20"/>
                <w:color w:val="auto"/>
              </w:rPr>
            </w:pPr>
            <w:r>
              <w:rPr>
                <w:rFonts w:ascii="Arial" w:cs="Arial" w:eastAsia="Arial" w:hAnsi="Arial"/>
                <w:sz w:val="14"/>
                <w:szCs w:val="14"/>
                <w:b w:val="1"/>
                <w:bCs w:val="1"/>
                <w:color w:val="auto"/>
                <w:w w:val="89"/>
              </w:rPr>
              <w:t>Gross Carrying Amount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Accumulated Amortization</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Investment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Investment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Banking</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Management</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7"/>
              </w:rPr>
              <w:t>Banking</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Management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3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3,600</w:t>
            </w:r>
          </w:p>
        </w:tc>
        <w:tc>
          <w:tcPr>
            <w:tcW w:w="3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$12,048</w:t>
            </w: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318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Professional Licenses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20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Non-compete/Non-solicit Agreements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3,600</w:t>
            </w:r>
          </w:p>
        </w:tc>
        <w:tc>
          <w:tcPr>
            <w:tcW w:w="3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13,498</w:t>
            </w: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318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Expense associated with the amortization of intangible assets was $7,669, $2,192 and $1,882 for the years ended December 31, 2010, 2009 and 2008,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intangible assets above, as of December 31, 2010, annual amortization of intangibles for each of the next five years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2011</w:t>
            </w:r>
          </w:p>
        </w:tc>
        <w:tc>
          <w:tcPr>
            <w:tcW w:w="4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$9,079</w:t>
            </w:r>
          </w:p>
        </w:tc>
      </w:tr>
      <w:tr>
        <w:trPr>
          <w:trHeight w:val="216"/>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2012</w:t>
            </w:r>
          </w:p>
        </w:tc>
        <w:tc>
          <w:tcPr>
            <w:tcW w:w="4900" w:type="dxa"/>
            <w:vAlign w:val="bottom"/>
          </w:tcPr>
          <w:p>
            <w:pPr>
              <w:jc w:val="right"/>
              <w:ind w:right="12"/>
              <w:spacing w:after="0"/>
              <w:rPr>
                <w:sz w:val="20"/>
                <w:szCs w:val="20"/>
                <w:color w:val="auto"/>
              </w:rPr>
            </w:pPr>
            <w:r>
              <w:rPr>
                <w:rFonts w:ascii="Arial" w:cs="Arial" w:eastAsia="Arial" w:hAnsi="Arial"/>
                <w:sz w:val="18"/>
                <w:szCs w:val="18"/>
                <w:color w:val="auto"/>
              </w:rPr>
              <w:t>$8,844</w:t>
            </w:r>
          </w:p>
        </w:tc>
      </w:t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2013</w:t>
            </w:r>
          </w:p>
        </w:tc>
        <w:tc>
          <w:tcPr>
            <w:tcW w:w="4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$7,618</w:t>
            </w:r>
          </w:p>
        </w:tc>
      </w:tr>
      <w:tr>
        <w:trPr>
          <w:trHeight w:val="216"/>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2014</w:t>
            </w:r>
          </w:p>
        </w:tc>
        <w:tc>
          <w:tcPr>
            <w:tcW w:w="4900" w:type="dxa"/>
            <w:vAlign w:val="bottom"/>
          </w:tcPr>
          <w:p>
            <w:pPr>
              <w:jc w:val="right"/>
              <w:ind w:right="12"/>
              <w:spacing w:after="0"/>
              <w:rPr>
                <w:sz w:val="20"/>
                <w:szCs w:val="20"/>
                <w:color w:val="auto"/>
              </w:rPr>
            </w:pPr>
            <w:r>
              <w:rPr>
                <w:rFonts w:ascii="Arial" w:cs="Arial" w:eastAsia="Arial" w:hAnsi="Arial"/>
                <w:sz w:val="18"/>
                <w:szCs w:val="18"/>
                <w:color w:val="auto"/>
              </w:rPr>
              <w:t>$5,324</w:t>
            </w:r>
          </w:p>
        </w:tc>
      </w:t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2015</w:t>
            </w:r>
          </w:p>
        </w:tc>
        <w:tc>
          <w:tcPr>
            <w:tcW w:w="4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$3,669</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2010, the Company concluded that there was no impairment of Goodwill or Intangible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 and Acquisition and Transition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Charges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recorded noncash Special Charges of $20,129 for the year ended December 31, 2009 related to the cancellation of 738 unvested employee RSUs and 250 unvested LP Units, as well as costs associated with the U.S. Private Equity restructuring and other cost management initiatives.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recorded Special Charges of $4,132 for the year ended December 31, 2008, which included charges in connection with the write-off of certain capitalized costs associated with Evercore Capital Partners capital raising, charges related to accelerated share-based vesting associated with the retirement of the Company’s former Co- Chief Executive Officer and employee severance and other costs related to the closing of the Los Angeles office. The write-off of capitalized costs were expensed in 2008 when the Company cancelled its activities to raise a new private equity fund; these costs would have been recoverable by the Company if a new private equity fund had been raised. The charges related to the accelerated share-based vesting were accounted for as a Type I (i.e., Probable to Probable) modification under ASC 718. The employee severance and other costs relating to the closing of the Los Angeles office were recognized during 2008 when the Company began and completed its reorganization of the U.S. Private Equity operations, which included termination of employees and a loss incurred on the subletting of the Los Angeles office space.</w:t>
      </w:r>
    </w:p>
    <w:p>
      <w:pPr>
        <w:spacing w:after="0" w:line="11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expensing of these specific charges in 2009 and 2008 had the effect of reducing operating expenses in future periods. Generally, the equity-based awards are expensed over four years. The operating lease for the Los Angeles office space had an aggregate annual remaining commitment of approximately $420 over the three years following the office closing.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Transition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recognized $3,399, $712 and $1,596 for the years ended December 31, 2010, 2009 and 2008, respectively, as Acquisition and Transition Costs incurred in connection with recent acquisitions and other ongoing business development initiatives. These costs are primarily comprised of professional fees for legal and other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For the years ended December 31, 2010, 2009 and 2008, the Company disbursed $1,301, $1,313 and $1,645, respectively, on behalf of these entities.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right="540" w:firstLine="456"/>
        <w:spacing w:after="0" w:line="335" w:lineRule="auto"/>
        <w:rPr>
          <w:sz w:val="20"/>
          <w:szCs w:val="20"/>
          <w:color w:val="auto"/>
        </w:rPr>
      </w:pPr>
      <w:r>
        <w:rPr>
          <w:rFonts w:ascii="Arial" w:cs="Arial" w:eastAsia="Arial" w:hAnsi="Arial"/>
          <w:sz w:val="15"/>
          <w:szCs w:val="15"/>
          <w:color w:val="auto"/>
        </w:rPr>
        <w:t>Investment Management Revenue includes income from related parties earned from the Company’s private equity funds for portfolio company fees, management fees, expense reimbursements and realized and unrealized gains and losses of private equity fund investments. Total Investment Management revenues from related parties amounted to $8,346, $5,031 and $11,202 for the years ended December 31, 2010, 2009 and 2008 respectively.</w:t>
      </w:r>
    </w:p>
    <w:p>
      <w:pPr>
        <w:spacing w:after="0" w:line="8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Receivable from Employees and Related Parties on the Consolidated Statements of Financial Condition consisted of the following at December 31,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Personal Expenses Paid on Behalf of Employees and Related Parties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 Due From Portfolio Companies of the Company’s Private Equity Funds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Reimbursable Expenses Relating to the Private Equity Funds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Employees and Related Parties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9"/>
          </w:tcPr>
          <w:p>
            <w:pPr>
              <w:ind w:left="440"/>
              <w:spacing w:after="0"/>
              <w:rPr>
                <w:sz w:val="20"/>
                <w:szCs w:val="20"/>
                <w:color w:val="auto"/>
              </w:rPr>
            </w:pPr>
            <w:r>
              <w:rPr>
                <w:rFonts w:ascii="Arial" w:cs="Arial" w:eastAsia="Arial" w:hAnsi="Arial"/>
                <w:sz w:val="18"/>
                <w:szCs w:val="18"/>
                <w:color w:val="auto"/>
                <w:w w:val="90"/>
              </w:rPr>
              <w:t>Payable to Employees and Related Parties on the Consolidated Statements of Financial Condition consisted of the following at December 31, 2010 and</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2009:</w:t>
            </w:r>
          </w:p>
        </w:tc>
        <w:tc>
          <w:tcPr>
            <w:tcW w:w="7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Director Fees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Amounts Due Pursuant to Tax Receivable Agreements (a)</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3,976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Employees and Related Parties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Relates to the current portion of the Member exchange of Evercore LP partnership units for common shares of the Company. The long-term portion of $97,427 and $67,687 is disclosed in Amounts Due Pursuant to Tax Receivable Agreements on the Consolidated Statements of Financial Condition at December 31, 2010 and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Marketable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amortized cost and estimated fair value of the Company’s Marketable Securities as of December 31, 2010 and 2009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5"/>
              </w:rPr>
              <w:t>December 31, 2010</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w w:val="95"/>
              </w:rPr>
              <w:t>December 31, 2009</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5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Debt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97,921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Municipal Bonds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16,910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Debt Securities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14,112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16,337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4,948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39,148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41,510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135,723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Debt Securities Carried by EGL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50,837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51,320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89,985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92,830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135,723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the Company’s available-for-sale debt securities as of December 31,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December 31, 2010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Amortized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7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81,049</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130,775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the Company has the ability and intent to hold available-for-sale securities until a recovery of fair value is equal to an amount approximating its amortized cost, which may be at maturity, and has not incurred credit losses on its securities, it does not consider such unrealized loss positions to be other-than-temporarily impaired at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Company invests in corporate and municipal bonds, which are classified as available-for-sale securities within Marketable Securities on the Consolidated Statements of Financial Condition. The Company had realized gains of $3,450 and $641 for the years ended December 31, 2010 and 2009,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Seed Capital Investments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Seed Capital Investments include equity securities and their equivalents, which include debt securities with a fair value of $214 at December 31, 2009, all with maturities of greater than 10 years. The Company incurred $1,653 of realized gains for the year ended December 31, 2010. During the first quarter of 2009, the Company assessed its treasury and investment activities including the Seed Capital Investments managed by EAM and, as a result, the Company transferred these securities from trading to available-for-sale. Accordingly, these securities are stated at quoted market value with unrealized gains and losses, which have occurred since the date of transfer, included in Accumulated Other Comprehensive Income and realized gains and losses included in earnings. Prior to the transfer, the Company incurred $758 of realized and unrealized losses on Seed Capital Investments during 2009. Subsequent to the transfer, the Company incurred $1,103 of realized gains for the year ended December 31, 2009. The Company incurred $4,317 of realized and unrealized losses for the year ended December 31,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Carried by EGL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During the first quarter of 2010, EGL began to invest in a fixed income portfolio consisting primarily of municipal bonds. These securities are carried at fair value, with changes in fair value recorded in Other Revenues on the Consolidated Statement of Operations, as required by the accounting for broker-dealers in securities. The Company had $481 of net unrealized gains for the year ended December 31, 2010.</w:t>
      </w:r>
    </w:p>
    <w:p>
      <w:pPr>
        <w:spacing w:after="0" w:line="18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Owned and Pledged as Collateral at Fair Value, Securities Purchased Under Agreements to Resell and Securities Sold Under Agreements to Repurchase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through PCB, enters into repurchase agreements with clients seeking overnight money market returns whereby PCB transfers to the clients Mexican government securities in exchange for cash and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concurrently agrees to 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which the Company reflects as Financial Instruments Owned and Pledged as Collateral at Fair Value on the Consolidated Statements of Financial Condition, or by entering into reverse repurchase agreements with unrelated third parties. The Company accounts for these repurchase and reverse repurchase agreements as collateralized financing transactions, which are carried at their contract amounts, which approximate fair value given that the contracts generally mature the following business day. The Company records a liability on its Consolidated Statements of Financial Condition in relation to repurchase transactions executed with clients as Securities Sold Under Agreements to Repurchase. The Company records as assets on its Consolidated Statements of Financial Condition, Financial Instruments Owned and Pledged as Collateral at Fair Value (where the Company has acquired the securities deliverable to clients under these repurchase arrangements by purchasing securities in the open market) and Securities Purchased Under Agreements to Resell (where the Company has acquired the securities deliverable to clients under these repurchase agreements by entering into reverse repurchase agreements with unrelated third parties). These Mexican government securities have an estimated average time to maturity of approximately 2.6 years, as of December 31, 2010,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PCB and permit the counterparty to pledge the securities.</w:t>
      </w:r>
    </w:p>
    <w:p>
      <w:pPr>
        <w:spacing w:after="0" w:line="12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2010 and 2009, a summary of the Company’s assets, liabilities and collateral received or pledged related to these transactions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Pr>
          <w:p>
            <w:pPr>
              <w:spacing w:after="0"/>
              <w:rPr>
                <w:sz w:val="14"/>
                <w:szCs w:val="14"/>
                <w:color w:val="auto"/>
              </w:rPr>
            </w:pPr>
          </w:p>
        </w:tc>
        <w:tc>
          <w:tcPr>
            <w:tcW w:w="19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7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r>
      <w:tr>
        <w:trPr>
          <w:trHeight w:val="149"/>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Value of</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8"/>
              </w:rPr>
              <w:t>Asset</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Collateral</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w:t>
            </w:r>
          </w:p>
        </w:tc>
        <w:tc>
          <w:tcPr>
            <w:tcW w:w="1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Collateral</w:t>
            </w:r>
          </w:p>
        </w:tc>
      </w:tr>
      <w:tr>
        <w:trPr>
          <w:trHeight w:val="149"/>
        </w:trPr>
        <w:tc>
          <w:tcPr>
            <w:tcW w:w="74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(Liability)</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Received or</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(Liability)</w:t>
            </w:r>
          </w:p>
        </w:tc>
        <w:tc>
          <w:tcPr>
            <w:tcW w:w="1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Received or</w:t>
            </w:r>
          </w:p>
        </w:tc>
      </w:t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(Pledged)</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(Pledged)</w:t>
            </w: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$ 122,618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126,401</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$ 126,386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184,118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$ 183,957</w:t>
            </w:r>
          </w:p>
        </w:tc>
      </w:tr>
      <w:tr>
        <w:trPr>
          <w:trHeight w:val="222"/>
        </w:trPr>
        <w:tc>
          <w:tcPr>
            <w:tcW w:w="7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178,618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$ 306,736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(178,683)</w:t>
            </w:r>
          </w:p>
        </w:tc>
        <w:tc>
          <w:tcPr>
            <w:tcW w:w="1060" w:type="dxa"/>
            <w:vAlign w:val="bottom"/>
            <w:gridSpan w:val="3"/>
          </w:tcPr>
          <w:p>
            <w:pPr>
              <w:ind w:left="140"/>
              <w:spacing w:after="0"/>
              <w:rPr>
                <w:sz w:val="20"/>
                <w:szCs w:val="20"/>
                <w:color w:val="auto"/>
              </w:rPr>
            </w:pPr>
            <w:r>
              <w:rPr>
                <w:rFonts w:ascii="Arial" w:cs="Arial" w:eastAsia="Arial" w:hAnsi="Arial"/>
                <w:sz w:val="18"/>
                <w:szCs w:val="18"/>
                <w:color w:val="auto"/>
              </w:rPr>
              <w:t>$(178,603)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(306,894)</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w w:val="94"/>
              </w:rPr>
              <w:t>$(306,576)</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investments reported on the Consolidated Statements of Financial Condition consist of investments in private equity partnerships and other investments in unconsolidated affiliated companies. The Company’s investments are relatively high-risk and illiquid assets. Realized and unrealized gains and losses on our private equity investments are included within Investment Management Revenue. The Company’s share of earnings (losses) on our investments in Pan and G5 are included within Income (Loss) from Equity Method Investments on the Consolidated Statements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Private Equity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investments in private equity partnerships include investments in Evercore Capital Partners II L.P. and its affiliated entities (“ECP II”), Discovery Americas I, L.P. (the “Discovery Fund”), Evercore Mexico Capital Partners II, CSI Capital, L.P. (“CSI Capital”) and Trilantic. Portfolio holdings of the private equity funds are carried at fair value. Accordingly, the Company reflects its pro rata share of the unrealized gains and losses occurring from changes in fair value. Additionally, the Company reflects its pro rata share of realized gains, losses and carried interest associated with any investment realizations.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concluded that EP II L.L.C., the general partner of ECP II, is a VIE pursuant to ASC 810 (formerly FIN 46(R)). The Company owns 8%-9% of the carried interest earned by the general partner of ECP II. The Company’s assessment of the design of EP II L.L.C. resulted in the determination that the Company is not acting as an agent for other members of the general partner and is a passive holder of interests in the fund, evidenced by the fact that the Company is a non-voting, non-managing member of the general partner and accordingly, has no authority in directing the management operations of the general partner. Furthermore, the Company will not absorb the majority of the expected losses or receive a majority of the expected residual returns, should they occur. Accordingly, the Company has concluded that it is not the primary beneficiary of EP II L.L.C.</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a result of its investment in CITIC Securities International Partners, LTD (“CSIP”), during 2010, the Company made an investment of $3,164 in CSI Capital, a China focused fund affiliated with CSIP, representing approximately 58% of the Company’s existing commitment to CSI Capital.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investment in the private equity funds as of December 31, 2010 and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2009</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ECP II</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Discovery Americas I, L.P.</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2,734</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EMCP II</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CSI Capital</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3,361</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Trilantic</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Total Private Equity Funds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19,090</w:t>
            </w:r>
          </w:p>
        </w:tc>
        <w:tc>
          <w:tcPr>
            <w:tcW w:w="1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Net realized and unrealized gains (losses) on private equity fund investments, including incentive fees, were $2,148, ($5,179) and $1,664 for years ended December 31, 2010, 2009 and 2008, respectively. In the event the fund performs poorly, the Company may be obligated to repay certain carried interest previously distributed. As of December 31, 2010, the Company had $2,701 of previously received carried interest that may be subject to repayment.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Trilantic</w:t>
      </w:r>
    </w:p>
    <w:p>
      <w:pPr>
        <w:spacing w:after="0" w:line="90"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During the first quarter of 2010, the Company made an equity method investment in Trilantic. This investment had a balance of $15,840 as of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other equity investments as of December 31, 2010 and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2010</w:t>
            </w:r>
          </w:p>
        </w:tc>
        <w:tc>
          <w:tcPr>
            <w:tcW w:w="1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2009</w:t>
            </w:r>
          </w:p>
        </w:tc>
      </w:tr>
      <w:tr>
        <w:trPr>
          <w:trHeight w:val="20"/>
        </w:trPr>
        <w:tc>
          <w:tcPr>
            <w:tcW w:w="4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Pan</w:t>
            </w:r>
          </w:p>
        </w:tc>
        <w:tc>
          <w:tcPr>
            <w:tcW w:w="22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2,939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G5</w:t>
            </w:r>
          </w:p>
        </w:tc>
        <w:tc>
          <w:tcPr>
            <w:tcW w:w="1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21,498</w:t>
            </w:r>
          </w:p>
        </w:tc>
        <w:tc>
          <w:tcPr>
            <w:tcW w:w="1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Other Equity Investments</w:t>
            </w:r>
          </w:p>
        </w:tc>
        <w:tc>
          <w:tcPr>
            <w:tcW w:w="22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24,437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2008, the Company made an equity method investment of $4,158 in Pan and maintains a 50% interest at December 31, 2010. This investment resulted in losses of $621, $1,406 and $371 for the years ended December 31, 2010,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G5</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fourth quarter of 2010, the Company made an equity method investment in G5. This investment resulted in a gain of $64 for the year ended December 31, 2010. See Note 4 for a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Basis Investments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2009, the Company invested $1,250 in CSIP in exchange for a 5% noncontrolling interest in the entity. CSIP and the Company focus on providing leading independent investment M&amp;A advisory and investment management service, effecting transactions between China and other international markets. This investment is accounted for on the cost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adopted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as of January 1, 2008, which among other matters, requires enhanced disclosures about investments that are measured and reported at fair value. The adoption did not have a material impact on the results of the Company. ASC 820 establishes a hierarchal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measured and reported at fair value are classified and disclosed in one of the following categories:</w:t>
      </w:r>
    </w:p>
    <w:p>
      <w:pPr>
        <w:spacing w:after="0" w:line="90"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Level I – Quoted prices are available in active markets for identical investments as of the reporting date. The type of investments included in Level I include listed equities and listed derivatives. As required by ASC 820, the Company does not adjust the quoted price for these investments, even in situations where Evercore holds a large position and a sale could reasonably impact the quoted price.</w:t>
      </w:r>
    </w:p>
    <w:p>
      <w:pPr>
        <w:spacing w:after="0" w:line="59"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Level II – Pricing inputs are other than quoted prices in active markets, which are either directly or indirectly observable as of the reporting date, and fair value is determined through the use of models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other valuation methodologies. The estimated fair values of these securities are based on quoted market prices provided by external pricing services.</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5"/>
              </w:rPr>
              <w:t>December 31, 2010</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Level I</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2"/>
              </w:rPr>
              <w:t>Level II</w:t>
            </w:r>
          </w:p>
        </w:tc>
        <w:tc>
          <w:tcPr>
            <w:tcW w:w="42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Level III</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 Municipal Bonds and Other Debt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89,931</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89,931</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Seed Capital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67,805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90,680</w:t>
            </w:r>
          </w:p>
        </w:tc>
        <w:tc>
          <w:tcPr>
            <w:tcW w:w="4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158,485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5"/>
              </w:rPr>
              <w:t>December 31, 2009</w:t>
            </w: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Level I</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2"/>
              </w:rPr>
              <w:t>Level II</w:t>
            </w:r>
          </w:p>
        </w:tc>
        <w:tc>
          <w:tcPr>
            <w:tcW w:w="42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Level III</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 Municipal Bonds and Other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134,158</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134,158</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Seed Capital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122,618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122,618</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129,313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134,372</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263,685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9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$13,438 of municipal bonds classified within Cash and Cash Equivalents on the Consolidated Statement of Financial Condition as of December 31, 2010.</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transfers between fair value levels during the twelve months ended December 31,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26,225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16,964</w:t>
            </w:r>
          </w:p>
        </w:tc>
        <w:tc>
          <w:tcPr>
            <w:tcW w:w="0" w:type="dxa"/>
            <w:vAlign w:val="bottom"/>
          </w:tcPr>
          <w:p>
            <w:pPr>
              <w:spacing w:after="0"/>
              <w:rPr>
                <w:sz w:val="1"/>
                <w:szCs w:val="1"/>
                <w:color w:val="auto"/>
              </w:rPr>
            </w:pPr>
          </w:p>
        </w:tc>
      </w:tr>
      <w:tr>
        <w:trPr>
          <w:trHeight w:val="218"/>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(8,747)</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Furniture, Equipment and Leasehold Improvements, Net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14,923</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Depreciation and amortization expense for Furniture, Equipment and Leasehold Improvements totaled $2,408, $2,325 and $2,307 for the years ended December 31, 2010, 2009 and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Issuance of Notes Payable and 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21, 2008, the Company entered into a Purchase Agreement with Mizuho Corporate Bank, Ltd. (“Mizuho”) pursuant to which Mizuho purchased from the Company $120,000 of Senior Notes and warrants to purchase 5,455 shares of Evercore Class A common stock at $22.00 per share (the “Warrants”) expiring in 2020. Based on their relative fair value at issuance, plus accretion, the Senior Notes and Warrants were reflected in Notes Payable and Additional Paid-In-Capital on the Consolidated Statement of Financial Condition. The Senior Notes have an effective yield of 7.94%. At December 31, 2010, the fair value of the Company’s Senior Notes exceeded their aggregate carrying value by approximately $20,000. The fair value of the Company’s Senior Notes was estimated based on a present value analysis utilizing aggregate market yields for similar financial instruments.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holder of the Senior Notes may require the Company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the option of the Company at any time within 90 days following the date on which Mizuho notifies the Company that it is terminating their strategic alliance agreement (“Strategic Alliance Agreement”). Senior Notes held by any other holder than Mizuho will be redeemable at the Accreted Amount (plus accrued and unpaid interest) at the option of the Company at any time beginning on the third anniversary of the closing of the Senior Notes and Warrants. In the event of a default under the indenture, the trustee or holders of 33 1/3% of the Senior Notes may declare that the Accreted Amount is immediately due and payable.</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Pursuant to the agreement, Mizuho may not transfer the Senior Notes or Warrants until August 16, 2012 or, if the Strategic Alliance Agreement is terminated, the later of one year following such termination and the third anniversary of the closing of the purchase of the Senior Notes and Warrants. The Company has a right of first offer on any proposed transfer by Mizuho of the Warrants, Common Stock purchased in the open market or acquired by exercise of the Warrants and associated Common Stock issued as dividends.</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580" w:type="dxa"/>
            <w:vAlign w:val="bottom"/>
          </w:tcPr>
          <w:p>
            <w:pPr>
              <w:jc w:val="center"/>
              <w:ind w:left="912"/>
              <w:spacing w:after="0"/>
              <w:rPr>
                <w:sz w:val="20"/>
                <w:szCs w:val="20"/>
                <w:color w:val="auto"/>
              </w:rPr>
            </w:pPr>
            <w:r>
              <w:rPr>
                <w:rFonts w:ascii="Arial" w:cs="Arial" w:eastAsia="Arial" w:hAnsi="Arial"/>
                <w:sz w:val="18"/>
                <w:szCs w:val="18"/>
                <w:b w:val="1"/>
                <w:bCs w:val="1"/>
                <w:color w:val="auto"/>
                <w:w w:val="96"/>
              </w:rPr>
              <w:t>EVERCORE PARTNERS INC.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8580" w:type="dxa"/>
            <w:vAlign w:val="bottom"/>
          </w:tcPr>
          <w:p>
            <w:pPr>
              <w:jc w:val="center"/>
              <w:ind w:left="93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80" w:type="dxa"/>
            <w:vAlign w:val="bottom"/>
          </w:tcPr>
          <w:p>
            <w:pPr>
              <w:jc w:val="center"/>
              <w:ind w:left="912"/>
              <w:spacing w:after="0"/>
              <w:rPr>
                <w:sz w:val="20"/>
                <w:szCs w:val="20"/>
                <w:color w:val="auto"/>
              </w:rPr>
            </w:pPr>
            <w:r>
              <w:rPr>
                <w:rFonts w:ascii="Arial" w:cs="Arial" w:eastAsia="Arial" w:hAnsi="Arial"/>
                <w:sz w:val="18"/>
                <w:szCs w:val="18"/>
                <w:color w:val="auto"/>
                <w:w w:val="86"/>
              </w:rPr>
              <w:t>(dollars and share amounts in thousands, except per share amounts, unless otherwise noted)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040" w:type="dxa"/>
            <w:vAlign w:val="bottom"/>
            <w:gridSpan w:val="2"/>
          </w:tcPr>
          <w:p>
            <w:pPr>
              <w:spacing w:after="0"/>
              <w:rPr>
                <w:sz w:val="20"/>
                <w:szCs w:val="20"/>
                <w:color w:val="auto"/>
              </w:rPr>
            </w:pPr>
            <w:r>
              <w:rPr>
                <w:rFonts w:ascii="Arial" w:cs="Arial" w:eastAsia="Arial" w:hAnsi="Arial"/>
                <w:sz w:val="18"/>
                <w:szCs w:val="18"/>
                <w:color w:val="auto"/>
                <w:w w:val="90"/>
              </w:rPr>
              <w:t>As of December 31, 2010, the future payments required on the Senior Notes, including principal and interest were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182,400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Defined Contribution Retirement Plan </w:t>
      </w:r>
      <w:r>
        <w:rPr>
          <w:rFonts w:ascii="Arial" w:cs="Arial" w:eastAsia="Arial" w:hAnsi="Arial"/>
          <w:sz w:val="18"/>
          <w:szCs w:val="18"/>
          <w:color w:val="auto"/>
        </w:rPr>
        <w:t>– The Company, through a subsidiary, provides certain retirement benefits to employees through a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 The Evercore Partners Services East L.L.C. Retirement Plan (the “Plan”) is a defined contribution plan with a salary deferral feature under Section 401(k) of the Internal Revenue Code. It also includes a discretionary profit sharing feature. The Plan was formed on February 1, 1996 and subsequently amended. The Plan year ends on December 31 of each year. The Company, at its sole discretion, determines the amount, if any, of profit to be contributed to the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no contributions for the years ended December 31, 2010, 2009 and 2008.</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Evercore Europe Defined Contribution Benefit Plan </w:t>
      </w:r>
      <w:r>
        <w:rPr>
          <w:rFonts w:ascii="Arial" w:cs="Arial" w:eastAsia="Arial" w:hAnsi="Arial"/>
          <w:sz w:val="16"/>
          <w:szCs w:val="16"/>
          <w:color w:val="auto"/>
        </w:rPr>
        <w:t>– Evercore Europe established the Evercore Partners Limited Group Personal Pension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Europe Plan”), a defined contribution benefit plan, in November 2006 for Evercore Europe employees. The Evercore Europe Plan has a salary deferral feature as permitted under existing tax guidelines for HM Customs and Revenue, the Inland Revenue Service in the United Kingdom. Evercore Europe employees must elect to participate in the plan, and Evercore Europe has a minimum annualized contribution of 15% to 50% of an employee’s salary for all employees who participate, depending on the respective employee’s level within the Company.</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Evercore Europe employees are also eligible to contribute up to 10% of their salary to the Evercore Europe Plan. Under the terms of the Evercore Europe Plan, if an employee contributes a minimum of 7.5% to 10% of their salary to the plan, Evercore Europe must make a matching contribution of 5% to 10% of the employee’s salary depending on the employee’s level within the company.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made contributions to the Evercore Europe Plan for the years ended December 31, 2010, 2009 and 2008 totaling $1,496, $1,317 and $1,494,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Evercore Partners Inc. Stockholders’ Equity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Offerings </w:t>
      </w:r>
      <w:r>
        <w:rPr>
          <w:rFonts w:ascii="Arial" w:cs="Arial" w:eastAsia="Arial" w:hAnsi="Arial"/>
          <w:sz w:val="16"/>
          <w:szCs w:val="16"/>
          <w:color w:val="auto"/>
        </w:rPr>
        <w:t>– During 2010, the Company had an offering of 2,954 shares of Class A common stock, resulting in an increase to Common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Paid-In-Capital of $29 and $77,573, respectively, on the Company’s Consolidated Statement of Financial Condition as of December 31, 2010. The Company also had an offering of 3,722 shares of Class A common stock during 2009, resulting in an increase to Common Stock and Additional Paid-In-Capital of $37 and $70,084, respectively, on the Company’s Consolidated Statement of Financial Condition as of December 31, 2009. The Company used all of the proceeds from these offerings to purchase from certain holders, including members of the Company’s senior management, a number of outstanding LP Units that was equal to the number of newly-issued shares of Class A common stock sold by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Company in the offering. These purchases resulted in a decrease to Additional Paid-In-Capital of $69,828 and $65,439 on the Company’s Consolidated Statements of Financial Condition as of December 31, 2010 and 2009, respectively. See Note 15 for the impact of these transactions on Noncontrolling Interest.</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Additionally, the above transactions resulted in an increase in the tax basis of the tangible and intangible assets of Evercore LP, which triggered an additional liability under the tax receivable agreement that was entered into in 2006 between the Company and the LP Unit holders. The agreement provides for a payment to the LP Unit holders of 85% of the cash tax savings (if any), resulting from the increased tax benefits from the exchange and for the Company to retain 15% of such benefits. Accordingly, Deferred Tax Assets – Non-Current, Amounts Due Pursuant to Tax Receivable Agreements and Additional Paid-In-Capital increased $36,959, $31,415 and $5,544, respectively, on the Company’s Consolidated Statement of Financial Condition as of December 31, 2010 and Deferred Tax Assets – Current, Deferred Tax Assets – Non-Current, Amounts Due Pursuant to Tax Receivable Agreements and Additional Paid-In-Capital increased $903, $36,851, $32,090 and $5,664, respectively, on the Company’s Consolidated Statement of Financial Condition as of December 31, 2009. See Note 18 for estimated future payments related to the tax receivable agreement.</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 The Company’s Board of Directors declared on January 31, 2011, a quarterly cash dividend of $0.18 per share, to the holders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as of February 25, 2011, which will be paid on March 11, 2011. During the year ended December 31, 2010, the Company declared and paid dividends of $0.63 per share, totaling $12,358. During the year ended December 31, 2009, the Company declared and paid dividends of $0.51 per share, totaling $8,217. See Note 17 for information related to the Company’s dividend equivalent units.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Treasury Stock </w:t>
      </w:r>
      <w:r>
        <w:rPr>
          <w:rFonts w:ascii="Arial" w:cs="Arial" w:eastAsia="Arial" w:hAnsi="Arial"/>
          <w:sz w:val="16"/>
          <w:szCs w:val="16"/>
          <w:color w:val="auto"/>
        </w:rPr>
        <w:t>– During 2010, the Company purchased 436 Class A common shares from employees at market values ranging from $23.31 to $36.97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for the net settlement of stock-based compensation awards and 850 Class A common shares at market values ranging from $23.72 to $30.00 per share pursuant to the Company’s share repurchase program. The result of these purchases was an increase in Treasury Stock of $35,053 on the Company’s Consolidated Statement of Financial Condition as of December 31, 2010. During 2010, the Company issued 582 Class A common shares from treasury stock in conjunction with the Company’s acquisitions and investments. The result of these issuances was a decrease in Treasury stock of $13,271 on the Company’s Consolidated Statement of Financial Condition as of December 31, 2010. During 2009, the Company purchased 255 Class A common shares from employees at market values ranging from $11.16 to $30.53 per share for the net settlement of stock-based compensation awards. The Company also purchased 56 shares pursuant to the Company’s share repurchase program at market values ranging from $10.32 to $12.38 per share. The result of these repurchases was an increase in Treasury Stock of $4,706 on the Company’s Consolidated Statement of Financial Condition as of December 31,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LP Units </w:t>
      </w:r>
      <w:r>
        <w:rPr>
          <w:rFonts w:ascii="Arial" w:cs="Arial" w:eastAsia="Arial" w:hAnsi="Arial"/>
          <w:sz w:val="16"/>
          <w:szCs w:val="16"/>
          <w:color w:val="auto"/>
        </w:rPr>
        <w:t>– During 2010, 77 LP Units were gifted by employees to various charities and exchanged for Class A common shares, resulting in an increase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Additional Paid-In-Capital of $1 and $554, respectively, on the Company’s Consolidated Statement of Financial Condition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During 2009, 189 LP Units were gifted by employees to various charities and exchanged for Class A common shares, resulting in an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Common Stock and Additional Paid-In-Capital of $2 and $299, respectively, on the Company’s Consolidated Statement of Financial Condition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See “Offerings” above for additional LP Unit transactions.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above transactions also resulted in a step-up in the tax basis of the assets of Evercore LP, which increased both Deferred Tax Assets – Non-Current and Additional Paid-In-Capital by $4,668 and $2,289 on the Company’s Consolidated Statement of Financial Condition as of December 31, 2010 and 2009,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2010, the Company purchased 71 LP Units from a noncontrolling interest holder for $2,325.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 As of December 31, 2010, Accumulated Other Comprehensive Income (Loss) 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 of Financial Condition includes accumulated Unrealized Gain (Loss) on Marketable Securities, net and Foreign Currency Translation Adjustment of ($64) and ($4,129),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Noncontrolling Interest recorded in the consolidated financial statements of the Company relates to a 33% interest in Evercore LP, a 28% interest in PCB, a 35% interest in EWM, a 49% interest in EAM, a 34% equity interest in Atalanta Sosnoff, a 29% interest in Institutional Equities and a 14% interest in ETC, not owned by the Company at December 31, 2010. The Atalanta Sosnoff interest excludes the Series C Profits Interest, which has been reflected in Employee Compensation and Benefits Expense on the Consolidated Statements of Operations. The Noncontrolling Interest for Evercore LP, EWM, Atalanta Sosnoff, Institutional Equities and ETC have rights, in certain circumstances, to convert into Class A common shares.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Noncontrolling Interest for the years ended December 31, 2010, 2009 and 2008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14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$ 29,361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$ 15,978</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4,546</w:t>
            </w:r>
          </w:p>
        </w:tc>
        <w:tc>
          <w:tcPr>
            <w:tcW w:w="3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Evercore LP Units Purchased or Converted into Class A Common Stock</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(5,623)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Issuance and sale of LP Units</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LP Units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to Noncontrolling Interests – Evercore LP Limited Partners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(19,513)</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(19,741)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 in EAM</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Fair value of noncontrolling interest in ETC</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 in AS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33,139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Issuance of noncontrolling interest in IE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4,381</w:t>
            </w: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Total other items</w:t>
            </w:r>
          </w:p>
        </w:tc>
        <w:tc>
          <w:tcPr>
            <w:tcW w:w="660" w:type="dxa"/>
            <w:vAlign w:val="bottom"/>
          </w:tcPr>
          <w:p>
            <w:pPr>
              <w:jc w:val="right"/>
              <w:spacing w:after="0"/>
              <w:rPr>
                <w:sz w:val="20"/>
                <w:szCs w:val="20"/>
                <w:color w:val="auto"/>
              </w:rPr>
            </w:pPr>
            <w:r>
              <w:rPr>
                <w:rFonts w:ascii="Arial" w:cs="Arial" w:eastAsia="Arial" w:hAnsi="Arial"/>
                <w:sz w:val="18"/>
                <w:szCs w:val="18"/>
                <w:color w:val="auto"/>
              </w:rPr>
              <w:t>29,084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$ 66,542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$ 29,361</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February 2010, the Company issued 500 LP Units in exchange for a minority economic interest in Trilantic. At December 31, 2014, at the option of the holder, these LP Units are exchangeable on a one-for-one basis for Class A common stock of the Company or may be redeemed for cash of $16,500. This transaction resulted in Redeemable Noncontrolling Interest on the Consolidated Statements of Financial Condition of $16,090, representing the fair value of the LP Units exchanged at the date of issuance. This value is being accreted to the minimum redemption value of $16,500 over the five-year period ended December 31, 2014. Accretion was $74 for the year ended December 31, 2010.</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conjunction with the Company’s purchase agreement with Atalanta Sosnoff, the Company issued a management member of Atalanta Sosnoff certain capital interests in Atalanta Sosnoff, which are redeemable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at their fair value, at the earlier of the first anniversary of the purchase transaction or upon death, permanent disability, termination of services without cause or resignation. Accordingly, these capital interests have been reflected at their fair value of $9,242 within Redeemable Noncontrolling Interest on the Consolidated Statements of Financial Condition at December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Income (Loss) Per Share Attributable to Evercore Partners Inc. Common Shareholders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calculations of basic and diluted net income (loss) per share attributable to Evercore Partners Inc. common shareholders for the years ended December 31, 2010, 2009 and 2008 are described and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For the Years Ended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 Attributable to Evercore Partners Inc. Common Shareholders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Evercore Partners Inc.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(4,713)</w:t>
            </w:r>
          </w:p>
        </w:tc>
        <w:tc>
          <w:tcPr>
            <w:tcW w:w="0" w:type="dxa"/>
            <w:vAlign w:val="bottom"/>
          </w:tcPr>
          <w:p>
            <w:pPr>
              <w:spacing w:after="0"/>
              <w:rPr>
                <w:sz w:val="1"/>
                <w:szCs w:val="1"/>
                <w:color w:val="auto"/>
              </w:rPr>
            </w:pPr>
          </w:p>
        </w:tc>
      </w:tr>
      <w:tr>
        <w:trPr>
          <w:trHeight w:val="216"/>
        </w:trPr>
        <w:tc>
          <w:tcPr>
            <w:tcW w:w="8800" w:type="dxa"/>
            <w:vAlign w:val="bottom"/>
          </w:tcPr>
          <w:p>
            <w:pPr>
              <w:ind w:left="880"/>
              <w:spacing w:after="0"/>
              <w:rPr>
                <w:sz w:val="20"/>
                <w:szCs w:val="20"/>
                <w:color w:val="auto"/>
              </w:rPr>
            </w:pPr>
            <w:r>
              <w:rPr>
                <w:rFonts w:ascii="Arial" w:cs="Arial" w:eastAsia="Arial" w:hAnsi="Arial"/>
                <w:sz w:val="18"/>
                <w:szCs w:val="18"/>
                <w:color w:val="auto"/>
              </w:rPr>
              <w:t>Associated accretion of redemption price of noncontrolling interest in Trilantic (See Note 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Evercore Partners Inc. common shareholders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(4,713)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Weighted average shares of Class A common stock outstanding, including vested restricted stock units (“RSUs”)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19,655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15,545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Basic Net Income (Loss) Per Share Attributable to Evercore Partners Inc. common shareholders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 Attributable to Evercore Partners Inc. Common Shareholders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Evercore Partners Inc. common shareholders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(4,713)</w:t>
            </w: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Add (deduct)—dilutive effect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Noncontrolling Interest related to the assumed exchange of Evercore LP partnership units for Class A common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8800" w:type="dxa"/>
            <w:vAlign w:val="bottom"/>
          </w:tcPr>
          <w:p>
            <w:pPr>
              <w:ind w:left="880"/>
              <w:spacing w:after="0"/>
              <w:rPr>
                <w:sz w:val="20"/>
                <w:szCs w:val="20"/>
                <w:color w:val="auto"/>
              </w:rPr>
            </w:pPr>
            <w:r>
              <w:rPr>
                <w:rFonts w:ascii="Arial" w:cs="Arial" w:eastAsia="Arial" w:hAnsi="Arial"/>
                <w:sz w:val="18"/>
                <w:szCs w:val="18"/>
                <w:color w:val="auto"/>
                <w:w w:val="94"/>
              </w:rPr>
              <w:t>Associated corporate taxes related to the assumed elimination of Noncontrolling Interest described above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Associated Interest Expense pursuant to conversion of Warrants Issued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Diluted Net Income (Loss) Available for Class A common shareholders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(4,713)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Weighted average shares of Class A common stock outstanding, including vested 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19,655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13,072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Add—dilutive effect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880"/>
              <w:spacing w:after="0"/>
              <w:rPr>
                <w:sz w:val="20"/>
                <w:szCs w:val="20"/>
                <w:color w:val="auto"/>
              </w:rPr>
            </w:pPr>
            <w:r>
              <w:rPr>
                <w:rFonts w:ascii="Arial" w:cs="Arial" w:eastAsia="Arial" w:hAnsi="Arial"/>
                <w:sz w:val="18"/>
                <w:szCs w:val="18"/>
                <w:color w:val="auto"/>
              </w:rPr>
              <w:t>Assumed exchange of LP Units for Class A common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8"/>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Additional shares of the Company’s common stock assumed to be issued pursuant to non-vested restricted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 and RSUs, as calculated using the Treasury Stock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23"/>
        </w:trPr>
        <w:tc>
          <w:tcPr>
            <w:tcW w:w="8800" w:type="dxa"/>
            <w:vAlign w:val="bottom"/>
          </w:tcPr>
          <w:p>
            <w:pPr>
              <w:ind w:left="880"/>
              <w:spacing w:after="0"/>
              <w:rPr>
                <w:sz w:val="20"/>
                <w:szCs w:val="20"/>
                <w:color w:val="auto"/>
              </w:rPr>
            </w:pPr>
            <w:r>
              <w:rPr>
                <w:rFonts w:ascii="Arial" w:cs="Arial" w:eastAsia="Arial" w:hAnsi="Arial"/>
                <w:sz w:val="18"/>
                <w:szCs w:val="18"/>
                <w:color w:val="auto"/>
              </w:rPr>
              <w:t>Assumed conversion of Warrants issued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weighted average shares of Class A common stock outstanding</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22,968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15,545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 Attributable to Evercore Partners Inc. common shareholders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line="29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years ended December 31, 2010, 2009 and 2008, the LP Units (which represent the right to receive shares of Class A common stock upon exchange) were antidilutive and consequently the effect of their exchange into shares of Class A common stock has been excluded from the calculation of diluted net income (loss) per share attributable to Evercore Partners Inc. common shareholders. The units that would have been included in the computation of diluted net income (loss) per share attributable to Evercore Partners Inc. common shareholders if the effect would have been dilutive were 13,724, 14,467 and 15,134 for the years ended December 31, 2010, 2009 and 2008, respectively.</w:t>
      </w:r>
    </w:p>
    <w:p>
      <w:pPr>
        <w:spacing w:after="0" w:line="34" w:lineRule="exact"/>
        <w:rPr>
          <w:rFonts w:ascii="Arial" w:cs="Arial" w:eastAsia="Arial" w:hAnsi="Arial"/>
          <w:sz w:val="16"/>
          <w:szCs w:val="16"/>
          <w:color w:val="auto"/>
        </w:rPr>
      </w:pPr>
    </w:p>
    <w:p>
      <w:pPr>
        <w:ind w:left="460" w:right="100" w:hanging="452"/>
        <w:spacing w:after="0" w:line="289"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years ended December 31, 2009 and 2008, the Warrants were antidilutive and consequently the additional shares have been excluded from the calculation of diluted net income per share attributable to Evercore Partners Inc. common shareholders. The additional shares that would have been included in the computation of diluted net income per share attributable to Evercore Partners Inc. common shareholders if the effect would have been dilutive were 5,455 for the years ended December 31, 2009 and 2008, reduced for the impact of the Treasury Stock Method, if applicable.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requires that the dilutive effect of warrants with multiple conversion alternatives be determined based on the alternative which is most advantageous to the holder of the exchangeable Senior Notes and Warrants. This will generally occur when the market value of the Company’s stock exceeds the exercise price of the Warrants, requiring dilution to be determined using the Treasury Stock Method. In certain limited circumstances the dilutive effect of conversion would be calculated using the If-Converted Method.</w:t>
      </w:r>
    </w:p>
    <w:p>
      <w:pPr>
        <w:spacing w:after="0" w:line="37"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years ended December 31, 2009 and 2008, the additional shares of the Company’s common stock assumed to be issued pursuant to non-vested restricted stock and RSUs as calculated using the Treasury Stock Method were antidilutive and consequently the additional shares have been excluded from the calculation of diluted net loss per share attributable to Evercore Partners Inc. common shareholders. The additional shares that would have been included in the computation of diluted net loss per share attributable to Evercore Partners Inc. common shareholders if the effect would have been dilutive were 1,877 and 216 for the years ended December 31, 2009 and 2008, respectively. Antidilution is the result of the Company having a loss for the years ended December 31, 2009 and 2008.</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basic and diluted net income (loss) per share of Class B common stock have not been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2006 the Company’s stockholders and board of directors adopted the Evercore Partners Inc. 2006 Stock Incentive Plan (the “2006 Plan”). The 2006 Plan permits the Company to grant to key employees, directors and consultants incentive stock options, non-qualified stock options, stock appreciation rights, restricted stock, RSUs and other awards based on the Company’s Class A common stock. The total number of shares of Class A common stock which may be issued under the 2006 Plan is 20,000 and the Company intends to use newly-issued shares of Class A common stock to satisfy any awards under the 2006 Plan. Shares of Class A common stock underlying any award granted under the 2006 Plan that expire, terminate or are cancelled or satisfied for any reason without being settled in stock again become available for awards under the 2006 Plan. The total shares available to be granted in the future under the 2006 Plan were 9,549 and 10,665 as of December 31, 2010 and 2009,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Company’s four outside directors at the date of the IPO received a one-time award of 2 RSUs upon their initial appointment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RSUs were issued pursuant to the 2006 Plan, vested in 2008 and were amortized into compensation expense, over two years.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2009, the Company began granting dividend equivalents, in the form of unvested RSU awards, concurrently with the payment of dividends to the holders of Class A common stock, on all unvested RSU grants awarded in conjunction with annual bonuses. The dividend equivalents have the same vesting and delivery terms as the underlying RSU award.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also recorded Special Charges of $20,129 in 2009 related to the cancellation of 988 unvested RSUs and LP Units and a $2,741 charge in Employee Compensation and Benefits on the Company’s Consolidated Statements of Operations for the accelerated vesting of 311 RSUs. See Note 5 for a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the time of the Company’s formation and IPO, collectively referred to as the reorganization (“Reorganization”), Members and certain trusts benefiting certain of their families received 13,548 vested and 9,589 unvested LP Units. The LP Units are exchangeable into Class A common stock of the Company on a one-for-one basis once vested.</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2009, in conjunction with the Second Amended and Restated Limited Partnership Agreement of Evercore LP, the event-based vesting terms for unvested partnership units, and certain other awards, that would have been triggered if two of the three Evercore founders did not continue to be employed by or serve as a director of Evercore Partners Inc. or its affiliates or if the founders and certain associated entities ceased to beneficially own a specified percentage of their Evercore equity were deleted and replaced with more traditional time-based vesting provisions. The unvested partnership units now vest ratably on December 31, 2011, 2012 and 2013 so long as the equity holder remains employed with Evercore Partners Inc., Evercore LP or their affiliates on such dates. The Company is expensing the fair value of the awards, prospectively, over the service period. Compensation expense related to the amortization of these partnership units was $20,060 and $8,552 for the years ended December 31, 2010 and 2009,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Event-based Awards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Pursuant to the 2006 Plan, the Company granted to the Company’s employees 2,286 RSUs (“Event-based Awards”), which are convertible into Class A common stock on a one-for-one basis once vested. 1,198 of these Event-based Awards have since fully vested and, as a result, the Company recorded compensation expense equal to the value of these fully-vested awards. The remaining unvested Event-based Awards vest upon the earliest to occur of the following events:</w:t>
      </w:r>
    </w:p>
    <w:p>
      <w:pPr>
        <w:spacing w:after="0" w:line="62" w:lineRule="exact"/>
        <w:rPr>
          <w:sz w:val="20"/>
          <w:szCs w:val="20"/>
          <w:color w:val="auto"/>
        </w:rPr>
      </w:pPr>
    </w:p>
    <w:p>
      <w:pPr>
        <w:ind w:left="900" w:right="6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when the founding members (“Founding Members”) and chairman of Protego, and trusts benefiting their families and permitted transferees, collectively, cease to beneficially own at least 50% of the aggregate LP Units owned by them at the time of the Reorganization;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of control of the Company; or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of the Founding Members and the chairman of Protego are not employed by, or do not serve as a director of, Evercore Partners Inc. or one of its affiliates within a 10-year period following the IPO.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100% of a Member’s unvested Event-based Awards will vest if such Member dies or becomes disabled while employed by the Company.</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Beutner, one of the Founding Members, retired from the Company in 2008. Management has assessed the impact of Mr. Beutner’s retirement on Event-based Awards vesting events discussed above and has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concluded that no such condition has become probable at this time. Management has concluded that, at December 31, 2010, the disassociation of Mr. Altman or Mr. Aspe with the Company within 10 years subsequent to the IPO date is not probable. Further, there are not any stated changes in the intentions of either Mr. Altman or Mr. Aspe to terminate their employment or current roles and functions with the Company. Accordingly, management has concluded, at December 31, 2010, it is not probable that the conditions relating to the vesting of unvested Event-based Awards will be achieved or satisfied.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grants new and existing employees RSUs and restricted stock. Certain of these awards vest upon the same terms as Event-based Awards and certain of these awards are Service-based Awards.</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2010 Equity Grants. </w:t>
      </w:r>
      <w:r>
        <w:rPr>
          <w:rFonts w:ascii="Arial" w:cs="Arial" w:eastAsia="Arial" w:hAnsi="Arial"/>
          <w:sz w:val="18"/>
          <w:szCs w:val="18"/>
          <w:color w:val="auto"/>
        </w:rPr>
        <w:t>During 2010, pursuant to the 2006 Plan, the Company granted employees 1,474 RSUs that are Service-based Awards. Service-based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during 2010 had grant date fair values of $23.31 to $35.79 per share. During 2010, 1,457 Service-based Awards and 2 Event-based Awards vested, and 32 Service-based Awards were forfeited, excluding the below agreement, and 50 Event-based Awards were forfeited. Compensation expense related to all grants of stock-based awards including compensation expense related to the amortization of the LP Units was $55,445 for the year ended December 31, 2010.</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2010, one of the Company’s executives substantially ceased providing active service with the Company. In conjunction with this change in role, the executive has agreed to release all right, title and interest to 275 unvested RSUs, with a grant date fair value of $3,226, since his service condition with the Company, as was contemplated at the time the RSUs were granted, will not be fulfilled. As a result of the executive’s significant change in role, this transaction was accounted for as a forfeiture and previously accrued compensation expense of $352 related to the unvested RSUs was reversed in the third quarter of 2010.</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2010, the Company amended the terms of a Service-based Award with respect to 97 RSUs. Due to this amendment, $2,686 was reclassified from Additional Paid-In-Capital to Other Current Liabilities on the Consolidated Statement of Financial Condition.</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2009 Equity Grants. </w:t>
      </w:r>
      <w:r>
        <w:rPr>
          <w:rFonts w:ascii="Arial" w:cs="Arial" w:eastAsia="Arial" w:hAnsi="Arial"/>
          <w:sz w:val="16"/>
          <w:szCs w:val="16"/>
          <w:color w:val="auto"/>
        </w:rPr>
        <w:t>During 2009, pursuant to the 2006 Plan, excluding RSUs granted in conjunction with the appointment of the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Company granted employees 2,663 RSUs that are Service-based Awards. Certain of these awards also contain performance criteria. Service-based awards granted in 2009 had grant date fair values of $11.73 to $33.52 per share. During 2009, no Event-based Awards vested. Compensation expense related to all grants of Service-based Awards, excluding RSUs granted in conjunction with the appointment of the President and Chief Executive Officer, compensation expense related to the amortization of the partnership units and the below forfeitures was $26,958 for the year ended December 31, 2009.</w:t>
      </w:r>
    </w:p>
    <w:p>
      <w:pPr>
        <w:spacing w:after="0" w:line="11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2009, in accordance with and pursuant to the terms of the 2006 Plan, 900 RSUs were granted in conjunction with the appointment of the President and Chief Executive Officer of the Company. The vesting of these RSUs is contingent on the achievement of certain market conditions subject to continuous employment of the President and Chief Executive Officer of the Company through the fifth anniversary of his appointment (or if prior to the fifth anniversary, employment is terminated by the Company without cause or by the President and Chief Executive Officer for good reason or due to his death or disability). The RSUs are segregated into five groups of 180 RSUs each with share price threshold vesting conditions which are required to exceed a certain level for 20 consecutive trading days. The Company utilized an outside service provider to assist it in determining the fair value of each award and is expensing each award ratably over the implied service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represented by the five year service requirement. The Company maintained full responsibility for the valuation. As the awards contain market-based conditions, the entire expense will be recognized if the award does not vest for any reason other than the service conditions. During 2009, 540 RSUs satisfied their market condition. Compensation expense related to this award was $1,120 for the year ended December 31, 2009.</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2009, the Company issued Performance-based equity awards having a grant date fair value of $538. The delivery of such awards is conditioned on the satisfaction of certain vesting and performance requirements outlined in the award agreements. Management has concluded that at the current time it is not probable that the conditions relating to the vesting of unvested Performance-based awards will be achieved or satisfied.</w:t>
      </w:r>
    </w:p>
    <w:p>
      <w:pPr>
        <w:spacing w:after="0" w:line="10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5"/>
          <w:szCs w:val="15"/>
          <w:b w:val="1"/>
          <w:bCs w:val="1"/>
          <w:color w:val="auto"/>
        </w:rPr>
        <w:t xml:space="preserve">2008 Equity Grants. </w:t>
      </w:r>
      <w:r>
        <w:rPr>
          <w:rFonts w:ascii="Arial" w:cs="Arial" w:eastAsia="Arial" w:hAnsi="Arial"/>
          <w:sz w:val="15"/>
          <w:szCs w:val="15"/>
          <w:color w:val="auto"/>
        </w:rPr>
        <w:t>During 2008, pursuant to the 2006 Plan, the Company granted employees 441 LP Units and 60 RSUs that are Event-based Awards</w:t>
      </w:r>
      <w:r>
        <w:rPr>
          <w:rFonts w:ascii="Arial" w:cs="Arial" w:eastAsia="Arial" w:hAnsi="Arial"/>
          <w:sz w:val="15"/>
          <w:szCs w:val="15"/>
          <w:b w:val="1"/>
          <w:bCs w:val="1"/>
          <w:color w:val="auto"/>
        </w:rPr>
        <w:t xml:space="preserve"> </w:t>
      </w:r>
      <w:r>
        <w:rPr>
          <w:rFonts w:ascii="Arial" w:cs="Arial" w:eastAsia="Arial" w:hAnsi="Arial"/>
          <w:sz w:val="15"/>
          <w:szCs w:val="15"/>
          <w:color w:val="auto"/>
        </w:rPr>
        <w:t>and 75 shares of restricted stock and 2,066 RSUs that are Service-based Awards. These awards had grant date fair values of $9.70 to $21.33 per share. During 2008, no Event-based Awards vested. Compensation expense related to all grants of Service-based Awards was $29,380 for the year ended December 31, 2008.</w:t>
      </w:r>
    </w:p>
    <w:p>
      <w:pPr>
        <w:spacing w:after="0" w:line="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During 2008, the Company issued Performance-based equity awards having a grant date fair value of $1,000. The delivery of such awards was conditioned on the grantee satisfying certain vesting and other performance requirements outlined in the award agreement. During 2009, this award was forfeited.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related to stock-based compensation awards during the year ended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Event-based Awards</w:t>
            </w:r>
          </w:p>
        </w:tc>
        <w:tc>
          <w:tcPr>
            <w:tcW w:w="21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Service-based Awards</w:t>
            </w: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177,510</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42,130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Modified</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(1,057)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2010</w:t>
            </w: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13,034</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9,437</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186,770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2010, the total compensation cost related to unvested Service-based Awards not yet recognized was $122,482. The ultimate amount of such expense is dependent upon the actual number of Service-based Awards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 The weighted-average period over which this compensation cost is expected to be recognized is 28 months.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related to stock-based compensation arrangements recognized in the Company’s Consolidated Statements of Operations for the years ended December 31, 2010, 2009 and 2008 was $9,392 and $5,290 and $4,695 respectively.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first quarter of 2011, as part of the 2010 bonus awards, the Company granted to certain employees approximately 1.4 million unvested RSUs pursuant to the 2006 Plan and $9.2 million of deferred cash awards. These awards vest over four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b w:val="1"/>
          <w:bCs w:val="1"/>
          <w:i w:val="1"/>
          <w:iCs w:val="1"/>
          <w:color w:val="auto"/>
        </w:rPr>
        <w:t xml:space="preserve">Operating Leases </w:t>
      </w:r>
      <w:r>
        <w:rPr>
          <w:rFonts w:ascii="Arial" w:cs="Arial" w:eastAsia="Arial" w:hAnsi="Arial"/>
          <w:sz w:val="15"/>
          <w:szCs w:val="15"/>
          <w:color w:val="auto"/>
        </w:rPr>
        <w:t>– The Company leases office space under non-cancelable lease agreements, which expire on various dates through 2023.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reflects lease expense over the lease terms on a straight-line basis. Occupancy lease agreements, in addition to base rentals, generally are subject to escalation provisions based on certain costs incurred by the landlord. Occupancy and Equipment Rental on the Consolidated Statements of Operations includes occupancy rental expense relating to operating leases of $13,225, $9,156 and $9,308 for the years ended December 31, 2010, 2009 and 2008, respectively.</w:t>
      </w:r>
    </w:p>
    <w:p>
      <w:pPr>
        <w:spacing w:after="0" w:line="98" w:lineRule="exact"/>
        <w:rPr>
          <w:sz w:val="20"/>
          <w:szCs w:val="20"/>
          <w:color w:val="auto"/>
        </w:rPr>
      </w:pPr>
    </w:p>
    <w:p>
      <w:pPr>
        <w:ind w:right="700" w:firstLine="456"/>
        <w:spacing w:after="0" w:line="370" w:lineRule="auto"/>
        <w:rPr>
          <w:sz w:val="20"/>
          <w:szCs w:val="20"/>
          <w:color w:val="auto"/>
        </w:rPr>
      </w:pPr>
      <w:r>
        <w:rPr>
          <w:rFonts w:ascii="Arial" w:cs="Arial" w:eastAsia="Arial" w:hAnsi="Arial"/>
          <w:sz w:val="15"/>
          <w:szCs w:val="15"/>
          <w:color w:val="auto"/>
        </w:rPr>
        <w:t>In conjunction with the lease of office space in New York and San Francisco, the Company has entered into letters of credit in the amounts of approximately $5,000, which are secured by cash which is included in Other Assets on the Company’s Consolidated Statements of Financial Condition.</w:t>
      </w:r>
    </w:p>
    <w:p>
      <w:pPr>
        <w:spacing w:after="0" w:line="6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2010, in conjunction with agreements to lease additional office space and the Company’s acquisition of Atalanta Sosnoff, the Company’s annual base rental payments increased approximately $3,800. In conjunction with these leases, the Company entered into irrevocable letters of credit of approximately $600.</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has entered into various operating leases for the use of certain office equipment. Rental expense for office equipment totaled $593, $511 and $303 for the years ended December 31, 2010, 2009 and 2008, respectively. Rental expense for office equipment is included in Occupancy and Equipment Rental on the Consolidated Statements of Operations.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w w:val="89"/>
              </w:rPr>
              <w:t>As of December 31, 2010, the approximate aggregate minimum future payments required on the operating leases are as follows: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175,646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Capital Leases </w:t>
      </w:r>
      <w:r>
        <w:rPr>
          <w:rFonts w:ascii="Arial" w:cs="Arial" w:eastAsia="Arial" w:hAnsi="Arial"/>
          <w:sz w:val="15"/>
          <w:szCs w:val="15"/>
          <w:color w:val="auto"/>
        </w:rPr>
        <w:t>– The Company has entered into various capital leases for office equipment. As of December 31, 2010, the leases had an aggregate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balance of $79. Interest expense on capital leases for the years ended December 31, 2010, 2009 and 2008 was $4, $7 and $2, respectively.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Net, as of December 31, 2010 and 2009, was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628</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$ 634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(550)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320" w:type="dxa"/>
            <w:vAlign w:val="bottom"/>
            <w:vMerge w:val="restart"/>
          </w:tcPr>
          <w:p>
            <w:pPr>
              <w:jc w:val="right"/>
              <w:ind w:right="3012"/>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EVERCORE PARTNERS INC.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9100" w:type="dxa"/>
            <w:vAlign w:val="bottom"/>
          </w:tcPr>
          <w:p>
            <w:pPr>
              <w:jc w:val="center"/>
              <w:ind w:left="41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color w:val="auto"/>
                <w:w w:val="86"/>
              </w:rPr>
              <w:t>(dollars and share amounts in thousands, except per share amounts, unless otherwise noted)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560" w:type="dxa"/>
            <w:vAlign w:val="bottom"/>
            <w:gridSpan w:val="2"/>
          </w:tcPr>
          <w:p>
            <w:pPr>
              <w:spacing w:after="0"/>
              <w:rPr>
                <w:sz w:val="20"/>
                <w:szCs w:val="20"/>
                <w:color w:val="auto"/>
              </w:rPr>
            </w:pPr>
            <w:r>
              <w:rPr>
                <w:rFonts w:ascii="Arial" w:cs="Arial" w:eastAsia="Arial" w:hAnsi="Arial"/>
                <w:sz w:val="18"/>
                <w:szCs w:val="18"/>
                <w:color w:val="auto"/>
                <w:w w:val="95"/>
              </w:rPr>
              <w:t>As of December 31, 2010, the approximate aggregate minimum future payments required on the capital leases are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Commitments </w:t>
      </w:r>
      <w:r>
        <w:rPr>
          <w:rFonts w:ascii="Arial" w:cs="Arial" w:eastAsia="Arial" w:hAnsi="Arial"/>
          <w:sz w:val="16"/>
          <w:szCs w:val="16"/>
          <w:color w:val="auto"/>
        </w:rPr>
        <w:t>– As of December 31, 2010, the Company has unfunded commitments for capital contributions of $8,069 to the private equity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0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addition, during 2010, the Company entered into contracts which have one to three year terms and aggregate minimum annual payments and cancellation fees of approximately $500 and $820, respectively.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$8,100 and secured with trading securities. No interest is charged on the intra-day facility. The overnight facility is charged the Inter-Bank Balance Interest Rate plus 10 basis points and is secured with trading securities. There have been no significant draw downs on PCB’s line of credit since August 10, 2006. The line of credit is renewable annually.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the Company committed an additional $1,250 to CSIP that is callable on demand by CSIP’s Board of Directors.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the offerings of common stock which occurred during 2010 and 2009, the Amounts Due Pursuant to Tax Receivable Agreements increased to $97,427. As of December 31, 2010, the Company estimates the contractual obligations related to the Tax Receivable Agreements to be $101,158. The Company expects to pay to the counterparties to the Tax Receivable Agreement $3,983 within one year or less, $15,219 in one to three years, $16,912 in three to five years and $65,044 after five years.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11, 2010, the Company announced the formation of a strategic alliance to pursue private equity investment opportunities with Trilantic and to collaborate on the future growth of Trilantic’s business. Under terms of the agreement, the Company issued 500 restricted share equivalents with a minimum redemption value of $16,500 on December 31, 2014 in exchange for a minority economic interest in Trilantic and an interest in Trilantic’s current fund, Trilantic Global Fund IV. The Company also will commit 2.5% of the total capital commitments of Trilantic’s next private equity fund when it is raised, up to $50,000.</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agreement related to the Institutional Equities business, the Company is committed to maintain at least $50,000 of Member’s equity in EGL as measured in accordance with U.S. GAAP.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During 2008, the Company committed to purchase preferred equity of Pan. The equity may be drawn down over the next three years, subject to the Company’s Board’s approval. As of December 31, 2010, the Company had $5,600 of remaining commitment to Pan.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related to its redeemable noncontrolling interests. See Note 15 for further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the Company’s commitments related to the earn-out consideration for acquisitions.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and, in the past, the Company and its affiliates have been named as a defendant in civil litigation matters involving present or former clients or competitors.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legal proceedings, individually or in the aggregate, the resolution of which would have a material adverse impact on the Company’s financial position, results of operations or cash flows. Legal reserves are established in accordance with ASC 450,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when warranted</w:t>
      </w:r>
      <w:r>
        <w:rPr>
          <w:rFonts w:ascii="Arial" w:cs="Arial" w:eastAsia="Arial" w:hAnsi="Arial"/>
          <w:sz w:val="16"/>
          <w:szCs w:val="16"/>
          <w:i w:val="1"/>
          <w:iCs w:val="1"/>
          <w:color w:val="auto"/>
        </w:rPr>
        <w:t>.</w:t>
      </w:r>
      <w:r>
        <w:rPr>
          <w:rFonts w:ascii="Arial" w:cs="Arial" w:eastAsia="Arial" w:hAnsi="Arial"/>
          <w:sz w:val="16"/>
          <w:szCs w:val="16"/>
          <w:color w:val="auto"/>
        </w:rPr>
        <w:t xml:space="preserve"> Once established, reserves are adjusted when there is more information available or when an event occurs requiring a change.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Regulatory Authorities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EGL is a U.S. registered broker-dealer and is subject to the net capital requirements of Rule 15c3-1 under the Securities Exchange Act of 1934 as amended (the “Exchange Act”). Rule 15c3-1 requires the maintenance of net capital, as defined, which shall be the greater of $100 or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aggregate indebtedness, as defined. EGL’s regulatory net capital as of December 31, 2010 and 2009 was $62,583 and $75,025, respectively, which exceeded the minimum net capital requirement by $60,738 and $74,028, respectively. Certain other non-U.S. subsidiaries are subject to various securities and banking regulations and capital adequacy requirements promulgated by the regulatory and exchange authorities of the countries in which they operate. These subsidiaries have consistently operated in excess of their local capital adequacy requirements.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ETC, which is limited to fiduciary activities, is regulated by the OCC and is a member bank of the Federal Reserve System. The Company, Evercore LP and ETC are subject to written agreements with the OCC that, among other things, require the Company and Evercore LP to (1) maintain at least $5,000 in Tier 1 capital in ETC (or such other amount as the OCC may require), (2) maintain liquid assets in ETC in an amount at least equal to the greater of $3,500 or 90 days coverage of ETC’s operating expenses and (3) provide at least $10,000 of certain collateral held in a segregated account at a third-party depository institution. The collateral is included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Assets Segregated for Bank Regulatory Requirements on the Consolidated Statements of Financial Condition. The Company was in compliance with the aforementioned agreements for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August 10, 2006, the Company had not been subject to U.S. federal income tax, but had been subject to the New York City UBT and New York City general corporate tax on its U.S. earnings, and certain non-income tax fees in other jurisdictions where the Company had registered offices and conducted business. As a result of the Reorganization, the operating business entities of the Company were restructured and a portion of the Company’s income is subject to U.S. federal, state, local and foreign income taxes and is taxed at the prevailing corporate tax rates. Taxes Payable as of December 31, 2010 and 2009, were $404 and $0,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U.S. and non-U.S. components of Income (Loss) before income tax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1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$29,277</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$ 34,871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$ 5,071</w:t>
            </w:r>
          </w:p>
        </w:tc>
      </w:tr>
      <w:tr>
        <w:trPr>
          <w:trHeight w:val="216"/>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Non-U.S.</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(4,443)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(16,909)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(9,605)</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24,834</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$ 17,962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(4,534)</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Net of Noncontrolling Interest.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Consolidated Statements of Operations for the years ended December 31, 2010, 2009 and 2008 consist of:</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Federal</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9,203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7,647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3,425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(2,297)</w:t>
            </w: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1,832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13,681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2,960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Deferred:</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(1,555)</w:t>
            </w: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Foreign</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2,999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3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5,851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(2,781)</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15,880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19,532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40" w:type="dxa"/>
            <w:vAlign w:val="bottom"/>
            <w:vMerge w:val="restart"/>
          </w:tcPr>
          <w:p>
            <w:pPr>
              <w:jc w:val="right"/>
              <w:ind w:right="1592"/>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reconciliation between the statutory federal income tax rate and the Company’s effective tax rate for the years ended December 31, 2010, 2009 and 2008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For the Years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Reconciliation of Federal Statutory Tax Rates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U.S. Statutory Tax Rate</w:t>
            </w:r>
          </w:p>
        </w:tc>
        <w:tc>
          <w:tcPr>
            <w:tcW w:w="1440" w:type="dxa"/>
            <w:vAlign w:val="bottom"/>
            <w:gridSpan w:val="2"/>
          </w:tcPr>
          <w:p>
            <w:pPr>
              <w:jc w:val="right"/>
              <w:ind w:right="692"/>
              <w:spacing w:after="0"/>
              <w:rPr>
                <w:sz w:val="20"/>
                <w:szCs w:val="20"/>
                <w:color w:val="auto"/>
              </w:rPr>
            </w:pPr>
            <w:r>
              <w:rPr>
                <w:rFonts w:ascii="Arial" w:cs="Arial" w:eastAsia="Arial" w:hAnsi="Arial"/>
                <w:sz w:val="18"/>
                <w:szCs w:val="18"/>
                <w:color w:val="auto"/>
              </w:rPr>
              <w:t>35.0%</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35.0%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Due to State and Local Taxes</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7.5%</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Rate Benefits as a Limited Liability Company/Flow Through</w:t>
            </w:r>
          </w:p>
        </w:tc>
        <w:tc>
          <w:tcPr>
            <w:tcW w:w="1440" w:type="dxa"/>
            <w:vAlign w:val="bottom"/>
            <w:gridSpan w:val="2"/>
          </w:tcPr>
          <w:p>
            <w:pPr>
              <w:jc w:val="right"/>
              <w:ind w:right="632"/>
              <w:spacing w:after="0"/>
              <w:rPr>
                <w:sz w:val="20"/>
                <w:szCs w:val="20"/>
                <w:color w:val="auto"/>
              </w:rPr>
            </w:pPr>
            <w:r>
              <w:rPr>
                <w:rFonts w:ascii="Arial" w:cs="Arial" w:eastAsia="Arial" w:hAnsi="Arial"/>
                <w:sz w:val="18"/>
                <w:szCs w:val="18"/>
                <w:color w:val="auto"/>
              </w:rPr>
              <w:t>(9.9)%</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(17.4)%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Taxes</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Non-Deductible Expenses(1)</w:t>
            </w:r>
          </w:p>
        </w:tc>
        <w:tc>
          <w:tcPr>
            <w:tcW w:w="1440" w:type="dxa"/>
            <w:vAlign w:val="bottom"/>
            <w:gridSpan w:val="2"/>
          </w:tcPr>
          <w:p>
            <w:pPr>
              <w:jc w:val="right"/>
              <w:ind w:right="692"/>
              <w:spacing w:after="0"/>
              <w:rPr>
                <w:sz w:val="20"/>
                <w:szCs w:val="20"/>
                <w:color w:val="auto"/>
              </w:rPr>
            </w:pPr>
            <w:r>
              <w:rPr>
                <w:rFonts w:ascii="Arial" w:cs="Arial" w:eastAsia="Arial" w:hAnsi="Arial"/>
                <w:sz w:val="18"/>
                <w:szCs w:val="18"/>
                <w:color w:val="auto"/>
              </w:rPr>
              <w:t>13.1%</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32.0%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Allowances</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0.8%</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Other Adjustments</w:t>
            </w:r>
          </w:p>
        </w:tc>
        <w:tc>
          <w:tcPr>
            <w:tcW w:w="1440" w:type="dxa"/>
            <w:vAlign w:val="bottom"/>
            <w:gridSpan w:val="2"/>
          </w:tcPr>
          <w:p>
            <w:pPr>
              <w:jc w:val="right"/>
              <w:ind w:right="632"/>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47.2%</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98.8%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related to non-deductible share-based compensation expense.</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as of December 31, 2010 and 2009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5,092</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110,228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152,708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108,652</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Deferred Tax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9,994</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 Before Valuation Allowance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142,714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(8,553)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134,161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increase in net deferred tax assets, before valuation allowance, from December 31, 2009 to December 31, 2010 was primarily attributable to an increase in the tax basis of the tangible and intangible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Evercore LP, which resulted from the 2010 offering of Class A common stock and Members gifting LP units to various charities. During 2010, the Company had an offering of 2,954 shares of Class A common stock. This transaction resulted in an increase in the tax basis of the tangible and intangible assets of Evercore LP, which triggered an additional liability under the tax receivable agreement that was entered into in 2006 between the Company and the LP Unit holders. The agreement provides for a payment to the LP Unit holders of 85% of the cash tax savings (if any), resulting from the increased tax benefits from the exchange and for the Company to retain 15% of such benefits. Accordingly, Deferred Tax Assets – Non-Current, Amounts Due Pursuant to Tax Receivable Agreements and Additional Paid-In-Capital increased $36,959, $31,415 and $5,544, respectively, on the Company’s Consolidated Statement of Financial Condition as of December 31, 2010. See Note 14 for further discussion.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Additionally, the increase in net deferred tax assets, before valuation allowance, from December 31, 2009 to December 31, 2010 was also attributable to a $7,735 increase in compensation deductions for financial reporting purposes associated with the amortization of RSU awards during the period and $1,485 related to the depreciation of fixed assets and amortization of intangible assets and start-up costs associated with the ETC, Braveheart and Protego acquisitions.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recorded an increase (decrease) in deferred tax assets of $419 and ($1,716) associated with changes in Accumulated Comprehensive Income (Loss) for the years ended December 31, 2010 and 2009, respectively.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2010 and 2009, the Company concluded that the recoverability of its deferred tax assets in certain of its foreign subsidiaries was not more-likely-than-not to be recoverable, as required by ASC 740. As a result of the assessment, the Company concluded that the net deferred tax assets of these foreign subsidiaries required a full valuation allowance. With respect to net operating loss carry-forwards associated with the foreign subsidiaries, a valuation allowance of $8,553 has been established to fully offset the associated deferred tax assets, consisting of $197 and $7,506 reported in the 2010 and 2009 periods, respectively. The Company intends to maintain a valuation allowance until sufficient positive evidence exists to support its reversal.</w:t>
      </w:r>
    </w:p>
    <w:p>
      <w:pPr>
        <w:spacing w:after="0" w:line="1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Company’s net operating loss and tax credit carryforwards primarily relate to carryforwards of $21,953 and $3,421 in the U.K. and Mexico at December 31, 2010 and 2009, respectively, which may be carried forward indefinitely in the U.K. and until 2017 in Mexico, subject to various limitations.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changes in tax positions for the years ended December 31, 2010, 2009 and 2008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Beginning unrecognized tax benefit</w:t>
            </w:r>
          </w:p>
        </w:tc>
        <w:tc>
          <w:tcPr>
            <w:tcW w:w="2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$2,728</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$1,717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Additions for tax positions of prior years</w:t>
            </w:r>
          </w:p>
        </w:tc>
        <w:tc>
          <w:tcPr>
            <w:tcW w:w="17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Reductions for tax positions of prior years</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Lapse of Statute of Limitations</w:t>
            </w:r>
          </w:p>
        </w:tc>
        <w:tc>
          <w:tcPr>
            <w:tcW w:w="17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Ending unrecognized tax benefit</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1,717</w:t>
            </w:r>
          </w:p>
        </w:tc>
      </w:tr>
      <w:tr>
        <w:trPr>
          <w:trHeight w:val="20"/>
        </w:trPr>
        <w:tc>
          <w:tcPr>
            <w:tcW w:w="5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Included in the balance of unrecognized tax benefits at December 31, 2010 and 2009, are $1,981 and $2,683, respectively, of tax benefits that, if recognized, would affect the effective tax rate. The Company recognizes interest accrued related to unrecognized tax benefits and penalties as income tax expense.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Company accrued interest and penalties of $199 and $0, respectively, during 2010 related to the unrecognized tax benefits noted above and, as of December 31, 2010, the Company has recognized a liability for penalties and interest of $561 and $717, respectively. The Company accrued interest and penalties of $298 and $228, respectively, during 2009 related to the unrecognized tax benefits noted above and, as of December 31, 2009, the Company has recognized a liability for penalties and interest of $739 and $939,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anticipates that it is reasonably possible that the total amount of unrecognized tax benefits recorded at December 31, 2010 will decrease within 12 months by an amount up to $1,154 as a result of the lapse of the statute of limitations in various taxing jurisdictions. The Company does not anticipate a significant change in unrecognized tax positions as a result of the settlement of income tax audits for examining the Company’s income tax returns during the next year.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subject to taxation in the U.S. and various state, local and foreign jurisdictions. The Company’s tax years for 2006 to present are subject to examination by the taxing authorities. With a few exceptions, the Company is no longer subject to U.S. federal, state, local or foreign examinations by taxing authorities for years before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Concentrations of Credit Risk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Financial instruments that are exposed to concentrations of credit risk consist primarily of cash and cash equivalents, marketable securities, foreign government obligations and receivables from clients. The Company has placed its Cash and Cash Equivalents in interest-bearing deposits in U.S. banks and U.S. investment banks that meet certain rating and capital requirements. The Company’s foreign subsidiaries maintain Cash and Cash Equivalents in interest bearing accounts at large commercial banking institutions domiciled in their respective countries of operation. Concentrations of credit risk are limited due to the quality of the Company’s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maintains its cash and cash equivalents with financial institutions with high credit ratings. At times, the Company may maintain deposits in federally insured financial institutions in excess of federally insured (“FDIC”) limits. However, the Company believes that it is not exposed to significant credit risk due to the financial position of the depository institution in which those deposits are held.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the Company has securities purchased under agreements to resell of $126,401 for which the Company has received collateral with a fair value of $126,386. Additionally, the Company has securities sold under agreements to repurchase of $178,683 at December 31, 2010, for which the Company has pledged collateral with a fair value of $178,603. To reduce the exposure to concentrations of credit from Securities Purchased Under Agreements to Resell, the Company has established risk management procedures to monitor the exposure. The collateral for the receivables is primarily secured by Mexican government bonds and the Company monitors the collateral pledged under these agreements against their contract value from inception to maturity date.</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Accounts Receivable consists primarily of advisory fees and expense reimbursements billed to clients. Receivables are reported net of any allowance for doubtful accounts. The Company maintains an allowance for bad debts to provide coverage for probable losses from customer receivables and derives the estimate through specific identification for the allowance for doubtful accounts and an assessment of the client’s creditworthiness. At December 31, 2010 and 2009 total receivables amounted to $49,625 and $24,560, net of an allowance.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Investment Banking and Investment Management receivables collection periods generally are within 90 days of invoice. The collection period for restructuring transactions and private equity fee receivables may exceed 90 days. The Company recorded bad debt expense of approximately $1,008, $444 and $196 in the years ended December 31, 2010, 2009 and 2008, respectively.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respect to the Company’s Marketable Securities portfolio, which is comprised of highly-rated corporate and municipal bonds and Seed Capital Investments, the Company manages its credit risk exposure by limiting concentration risk and maintaining minimum credit quality. As of December 31, 2010, the Company had Marketable Securities of $92,830, of which 82% were corporate and municipal bonds and other debt securities primarily with S&amp;P ratings ranging from AAA to BB+ and 18% were Seed Capital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Business Segments </w:t>
      </w:r>
      <w:r>
        <w:rPr>
          <w:rFonts w:ascii="Arial" w:cs="Arial" w:eastAsia="Arial" w:hAnsi="Arial"/>
          <w:sz w:val="16"/>
          <w:szCs w:val="16"/>
          <w:color w:val="auto"/>
        </w:rPr>
        <w:t>– The Company’s business results are categorized into the following two segments: Investment Banking and Investment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Banking includes providing advice on mergers, acquisitions, divestitures, leveraged buyouts, restructurings and similar corporate finance matters. During 2010, the Investment Banking segment (formerly called the Advisory segment) expanded to include services related to securities underwriting, private fund placement services and commissions for agency-based equity trading services and equity research. Investment Management includes advising third-party investors in the Institutional Asset Management, Wealth Management and Private Equity sectors. During the second quarter of 2010, the Investment Management segment expanded to include the acquisitions of Atalanta Sosnoff and Morse Williams.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2010, 2009 and 2008 is prepared using the following methodology:</w:t>
      </w:r>
    </w:p>
    <w:p>
      <w:pPr>
        <w:spacing w:after="0" w:line="113" w:lineRule="exact"/>
        <w:rPr>
          <w:sz w:val="20"/>
          <w:szCs w:val="20"/>
          <w:color w:val="auto"/>
        </w:rPr>
      </w:pPr>
    </w:p>
    <w:p>
      <w:pPr>
        <w:ind w:left="900" w:right="3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expenses and income (loss) from equity method investments directly associated with each segment are included in determining pre-tax income.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amortization costs associated with the modification of unvested LP Units and certain other awards, charges associated with the follow-on offering of the Company’s Class A common stock and vesting of certain Event-based Awards, a 2007 severance agreement, deferred consideration pursuant to the Braveheart Sale and Purchase Agreement in 2008, Special Charges in conjunction with the cancellation of employee share-based awards, the U.S. Private Equity restructuring and other ongoing strategic cost management initiatives, Acquisition and Transition Costs incurred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connection with the consummation of the Company’s acquisition of SFS and the formation of ETC and amortization of intangibles associated with acquisitions.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evaluates segment results based on net revenue and pre-tax income, both including and excluding the impact of the Other Expenses.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provides a reasonable representation of each segment’s contribution.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Banking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301,847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292,634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186,628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240,312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204,399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157,097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Income from Equity Method Investments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20,195</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370,329</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377,303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290,677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Management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77,050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21,911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(49,323)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(29,208)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(50,729)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(29,579)</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527,756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513,857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448,263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378,897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314,545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195,026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321,498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260,928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188,975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898,085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891,160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738,940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revenues include Other Revenue, net, allocated to the segments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280"/>
              <w:spacing w:after="0"/>
              <w:rPr>
                <w:sz w:val="20"/>
                <w:szCs w:val="20"/>
                <w:color w:val="auto"/>
              </w:rPr>
            </w:pPr>
            <w:r>
              <w:rPr>
                <w:rFonts w:ascii="Arial" w:cs="Arial" w:eastAsia="Arial" w:hAnsi="Arial"/>
                <w:sz w:val="14"/>
                <w:szCs w:val="14"/>
                <w:b w:val="1"/>
                <w:bCs w:val="1"/>
                <w:color w:val="auto"/>
                <w:w w:val="86"/>
              </w:rPr>
              <w:t>For the 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Investment Banking(A)</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Investment Management(B)</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(1,358)</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Other Revenue, net</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(2,035)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40" w:type="dxa"/>
            <w:vAlign w:val="bottom"/>
            <w:vMerge w:val="restart"/>
          </w:tcPr>
          <w:p>
            <w:pPr>
              <w:jc w:val="right"/>
              <w:ind w:right="1892"/>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90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Investment Banking Other Revenue, net, includes interest expense on the Senior Notes of $4,169 and $2,742 for the years ended December 31, 2010 and 2009, respectively.</w:t>
      </w:r>
    </w:p>
    <w:p>
      <w:pPr>
        <w:spacing w:after="0" w:line="37" w:lineRule="exact"/>
        <w:rPr>
          <w:rFonts w:ascii="Arial" w:cs="Arial" w:eastAsia="Arial" w:hAnsi="Arial"/>
          <w:sz w:val="18"/>
          <w:szCs w:val="18"/>
          <w:color w:val="auto"/>
        </w:rPr>
      </w:pPr>
    </w:p>
    <w:p>
      <w:pPr>
        <w:ind w:left="900" w:right="5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Investment Management Other Revenue, net, includes interest expense on the Senior Notes of $3,525, $4,853 and $2,554 for the years ended December 31, 2010, 2009 and 2008,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Expenses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8"/>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Banking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Consideration Pursuant to the Braveheart Sale and Purchase Agreement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LP Units and Certain Other Awards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17,532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Special Charges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7,942</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gridSpan w:val="2"/>
          </w:tcPr>
          <w:p>
            <w:pPr>
              <w:spacing w:after="0"/>
              <w:rPr>
                <w:sz w:val="20"/>
                <w:szCs w:val="20"/>
                <w:color w:val="auto"/>
              </w:rPr>
            </w:pPr>
            <w:r>
              <w:rPr>
                <w:rFonts w:ascii="Arial" w:cs="Arial" w:eastAsia="Arial" w:hAnsi="Arial"/>
                <w:sz w:val="18"/>
                <w:szCs w:val="18"/>
                <w:color w:val="auto"/>
              </w:rPr>
              <w:t>Total Investment Banking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19,408</w:t>
            </w:r>
          </w:p>
        </w:tc>
        <w:tc>
          <w:tcPr>
            <w:tcW w:w="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17,728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Management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Amortization of LP Units and Certain Other Awards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3,289</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12,187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Acquisition and Transition Costs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Total Investment Management</w:t>
            </w: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14,705</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23,157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32,433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revenues were derived from clients and private equity funds located in the following geographical areas: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4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Revenues:(1)</w:t>
            </w:r>
          </w:p>
        </w:tc>
        <w:tc>
          <w:tcPr>
            <w:tcW w:w="3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240" w:type="dxa"/>
            <w:vAlign w:val="bottom"/>
            <w:gridSpan w:val="3"/>
          </w:tcPr>
          <w:p>
            <w:pPr>
              <w:jc w:val="right"/>
              <w:ind w:right="520"/>
              <w:spacing w:after="0"/>
              <w:rPr>
                <w:sz w:val="20"/>
                <w:szCs w:val="20"/>
                <w:color w:val="auto"/>
              </w:rPr>
            </w:pPr>
            <w:r>
              <w:rPr>
                <w:rFonts w:ascii="Arial" w:cs="Arial" w:eastAsia="Arial" w:hAnsi="Arial"/>
                <w:sz w:val="18"/>
                <w:szCs w:val="18"/>
                <w:color w:val="auto"/>
              </w:rPr>
              <w:t>$293,662</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$258,209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$140,650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and Other</w:t>
            </w:r>
          </w:p>
        </w:tc>
        <w:tc>
          <w:tcPr>
            <w:tcW w:w="4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60,605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36,078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30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25,243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22,293</w:t>
            </w:r>
          </w:p>
        </w:tc>
        <w:tc>
          <w:tcPr>
            <w:tcW w:w="660" w:type="dxa"/>
            <w:vAlign w:val="bottom"/>
          </w:tcPr>
          <w:p>
            <w:pPr>
              <w:jc w:val="right"/>
              <w:spacing w:after="0"/>
              <w:rPr>
                <w:sz w:val="20"/>
                <w:szCs w:val="20"/>
                <w:color w:val="auto"/>
              </w:rPr>
            </w:pPr>
            <w:r>
              <w:rPr>
                <w:rFonts w:ascii="Arial" w:cs="Arial" w:eastAsia="Arial" w:hAnsi="Arial"/>
                <w:sz w:val="18"/>
                <w:szCs w:val="18"/>
                <w:color w:val="auto"/>
              </w:rPr>
              <w:t>27,359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379,510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316,580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Other Revenue and Interest Expense.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Substantially all of the Company’s long-lived assets reside in the United States.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Evercore Partners Inc. (Parent Company Only) Financial Statements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Equity Investment in Subsidiary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362,888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502,297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435,403</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Payable to 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3,983</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Amounts Due Pursuant to Tax Receivable Agreement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Long-term Debt—Notes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201,598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169,008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5"/>
              </w:rPr>
              <w:t>Class A, par value $0.01 per share (1,000,000,000 shares authorized, 21,497,691 and 17,155,883 issued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4"/>
              </w:rPr>
              <w:t>December 31, 2010 and 2009, respectively, and 19,983,646 and 16,346,584 outstanding at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2010 and 2009,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tcPr>
          <w:p>
            <w:pPr>
              <w:ind w:left="1280"/>
              <w:spacing w:after="0"/>
              <w:rPr>
                <w:sz w:val="20"/>
                <w:szCs w:val="20"/>
                <w:color w:val="auto"/>
              </w:rPr>
            </w:pPr>
            <w:r>
              <w:rPr>
                <w:rFonts w:ascii="Arial" w:cs="Arial" w:eastAsia="Arial" w:hAnsi="Arial"/>
                <w:sz w:val="18"/>
                <w:szCs w:val="18"/>
                <w:color w:val="auto"/>
              </w:rPr>
              <w:t>Class B, par value $0.01 per share (1,000,000 shares authorized, 48 and 55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1500"/>
              <w:spacing w:after="0"/>
              <w:rPr>
                <w:sz w:val="20"/>
                <w:szCs w:val="20"/>
                <w:color w:val="auto"/>
              </w:rPr>
            </w:pPr>
            <w:r>
              <w:rPr>
                <w:rFonts w:ascii="Arial" w:cs="Arial" w:eastAsia="Arial" w:hAnsi="Arial"/>
                <w:sz w:val="18"/>
                <w:szCs w:val="18"/>
                <w:color w:val="auto"/>
              </w:rPr>
              <w:t>December 31, 2010 and 2009, respectively)</w:t>
            </w: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(61,504)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(56,756)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Treasury Stock at Cost (1,514,045 and 809,299 shares at December 31, 2010 and 2009, respectively)</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(34,538)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300,699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502,297</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9"/>
          </w:tcPr>
          <w:p>
            <w:pPr>
              <w:ind w:left="3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7,693</w:t>
            </w:r>
          </w:p>
        </w:tc>
        <w:tc>
          <w:tcPr>
            <w:tcW w:w="2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7,594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$ 2,553</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of Subsidiary</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20,618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(3,403)</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11,664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10,782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(1,570)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(4,713)</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8,954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(1,570)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Income of Subsidiary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(20,618)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Accretion on Long-term Debt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2,138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Payable to Uncombined Affiliates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Notes Payable to Related Parties</w:t>
            </w: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(11,524)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Subsidiary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(94,160)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23,760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13,263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(94,160)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Proceeds from Follow-On Offerings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4,683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Notes Payable and Warrants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Proceeds from Equity Offering</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77,185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70,761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Evercore LP Units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(76,763)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(70,761)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(8,217)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ASC 740 Adjustment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(12,236)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(5,457)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EQUIVALENTS—Beginning of Year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Evercore Partners Inc. (the “Company”) was incorporated as a Delaware corporation on July 21, 2005. The Company did not begin meaningful operations until the reorganization discussed below.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Statements of Financial Condition, Operations and Cash Flows have been prepared in accordance with U.S. GAAP.</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Equity in Income of Subsidiary. </w:t>
      </w:r>
      <w:r>
        <w:rPr>
          <w:rFonts w:ascii="Arial" w:cs="Arial" w:eastAsia="Arial" w:hAnsi="Arial"/>
          <w:sz w:val="18"/>
          <w:szCs w:val="18"/>
          <w:color w:val="auto"/>
        </w:rPr>
        <w:t>The Equity in Income of Subsidiary represents the Company’s share of income from Evercore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Stockholders’ Equity</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Company is authorized to issue 1,000,000 shares of Class A common stock, par value $0.01 per share, and 1,000 shares of Class B common stock, par value $0.01 per share. All shares of Class A common stock and Class B common stock vote together as a single class. At December 31, 2010, the Company has issued 21,498 shares of Class A common stock. The Company cancelled seven shares of Class B common stock in exchange for $1.00, which were held by certain limited partners of Evercore LP during the twelve months ended December 31, 2010. During 2010, the Company purchased 436 Class A common shares from employees at market values ranging from $23.31 to $36.97 per share for the net settlement of stock-based compensation awards and 850 Class A common shares at market values ranging from $23.72 to $30.00 per share pursuant to the Company’s share repurchase program. The result of these purchases was an increase in Treasury Stock of $35,053 on the Company’s Consolidated Statement of Financial Condition as of December 31, 2010. During 2010, the Company issued 582 Class A common shares from treasury stock in conjunction with the Company’s acquisitions and investments. The result of these issuances was a decrease in Treasury Stock of $13,271 on the Company’s Consolidated Statement of Financial Condition as of December 31, 2010. During 2010, the Company had an offering of 2,954 shares of Class A common stock. See Note 14 to the consolidated financial statements for a further discussion.</w:t>
      </w:r>
    </w:p>
    <w:p>
      <w:pPr>
        <w:spacing w:after="0" w:line="10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discussed in Note 17 to the consolidated financial statements, both the LP Units and RSUs are exchangeable into Class A common stock of the Company on a one-for-one basis once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Issuance of Notes Payable and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21, 2008, the Company entered into a Purchase Agreement with Mizuho pursuant to which Mizuho purchased from the Company Senior Notes and Warrants expiring 2020. See Note 12 to the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2010, as discussed in Note 12 to the consolidated financial statements, the Company estimates the contractual obligations related to the Senior Notes to be $182,400. Pursuant to the Senior Notes, we expect to make payments to the notes’ holder of $6,240 within one year or less, $12,480 in one to three years, $12,480 in three to five years and $151,200 after five years.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2010, as discussed in Note 18 to the consolidated financial statements, the Company estimates the contractual obligations related to the Tax Receivable Agreements to be $101,158. The company expects to pay to the counterparties to the Tax Receivable Agreement $3,983 within one year or less, $15,219 in one to three years, $16,912 in three to five years and $65,044 after five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SUPPLEMENTAL FINANCIAL INFORMATION</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(dollars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96"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The following represents the Company’s unaudited quarterly results for the years ended December 31, 2010 and 2009. These quarterly results were prepared in accordance with U.S. GAAP and reflect all adjustments that are, in the opinion of management, necessary for a fair statement of the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102,188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64,970</w:t>
            </w:r>
          </w:p>
        </w:tc>
        <w:tc>
          <w:tcPr>
            <w:tcW w:w="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$ 88,021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93,329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106,022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68,091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77,213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(Loss) from Equity Method Investments and Income</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17,696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Evercore Partners Inc.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Evercore Partners Inc. Common</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30,</w:t>
            </w:r>
          </w:p>
        </w:tc>
        <w:tc>
          <w:tcPr>
            <w:tcW w:w="6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110,002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71,228</w:t>
            </w:r>
          </w:p>
        </w:tc>
        <w:tc>
          <w:tcPr>
            <w:tcW w:w="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$ 49,930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90,200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70,910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83,980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48,271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(Loss) from Equity Method Investments and Income</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(12,752)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(12,937)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12,499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(8,267)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Evercore Partners Inc.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Evercore Partners Inc. Common</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0.07</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63"/>
        </w:trPr>
        <w:tc>
          <w:tcPr>
            <w:tcW w:w="6220" w:type="dxa"/>
            <w:vAlign w:val="bottom"/>
            <w:gridSpan w:val="2"/>
          </w:tcPr>
          <w:p>
            <w:pPr>
              <w:jc w:val="right"/>
              <w:ind w:right="292"/>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identified in Exchange Act Rules 13a-15(f).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making the assessment, management used the framework in “Internal Control –Integrated Framework” promulgated by the Committee of Sponsoring Organizations of the Treadway Commission, commonly referred to as the “COSO” criteria. Based on that evaluation, our Chief Executive Officer and Chief Financial Officer have concluded that our internal controls over financial reporting were effective as of December 31, 2010.</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issued its written attestation report on the Company’s internal control over financial reporting, as included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Evercore Partners Inc. and subsidiaries (the “Company”)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2010 of the Company and our report dated March 9, 2011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made any changes during the three months ended December 31, 2010, that have materially affected, or are reasonably likely to materially affect, our internal control over financial reporting (as defined in Rule 13a-15(f)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240" w:top="459" w:right="6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regarding directors and executive officers set forth under the caption “Election of Directors” and “Executive Officers” in the Proxy Statement is incorporated herein by reference.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information contained in the sections captioned “Compensation of Our Named Executive Officers”, “Directors’ Compensation” and “Compensation Committee Report” of the Proxy Statement is incorporated herein by reference.</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Information regarding compensation committee interlocks under the caption “Corporate Governance – Committees of the Board – Compensation Committee” is incorporated herein by reference.</w:t>
      </w:r>
    </w:p>
    <w:p>
      <w:pPr>
        <w:spacing w:after="0" w:line="248" w:lineRule="exact"/>
        <w:rPr>
          <w:sz w:val="20"/>
          <w:szCs w:val="20"/>
          <w:color w:val="auto"/>
        </w:rPr>
      </w:pPr>
    </w:p>
    <w:p>
      <w:pPr>
        <w:ind w:right="2780"/>
        <w:spacing w:after="0" w:line="36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 at December 31, 2010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Options,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8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 First</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Rights</w:t>
            </w:r>
          </w:p>
        </w:tc>
        <w:tc>
          <w:tcPr>
            <w:tcW w:w="8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Rights(1)</w:t>
            </w:r>
          </w:p>
        </w:tc>
        <w:tc>
          <w:tcPr>
            <w:tcW w:w="8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Column)</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7,725,939</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9,541,033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7,725,939</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9,541,033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date, we have issued RSUs which by their nature have no exercise price.</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information contained in the section captioned “Security Ownership of Certain Beneficial Owners and Management” of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information contained in the sections captioned “Related Party Transactions and Other Information” and “Corporate Governance-Director Independence”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regarding our independent registered public accounting firm fees and services in the section captioned “Independent Registered Public Accounting Firm” of the Proxy Statement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Form 10-K are listed in Part II, Item 8 hereof.</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Data Schedules</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All schedules have been omitted because they are not applicable, not required, or the information required is included in the financial statements or notes thereto.</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8340" w:type="dxa"/>
            <w:vAlign w:val="bottom"/>
          </w:tcPr>
          <w:p>
            <w:pPr>
              <w:jc w:val="right"/>
              <w:ind w:right="3932"/>
              <w:spacing w:after="0"/>
              <w:rPr>
                <w:sz w:val="20"/>
                <w:szCs w:val="20"/>
                <w:color w:val="auto"/>
              </w:rPr>
            </w:pPr>
            <w:r>
              <w:rPr>
                <w:rFonts w:ascii="Arial" w:cs="Arial" w:eastAsia="Arial" w:hAnsi="Arial"/>
                <w:sz w:val="18"/>
                <w:szCs w:val="18"/>
                <w:color w:val="auto"/>
                <w:w w:val="89"/>
              </w:rPr>
              <w:t>and Restated Certificate of Incorporation of the Registrant(1)</w:t>
            </w:r>
          </w:p>
        </w:tc>
      </w:tr>
      <w:tr>
        <w:trPr>
          <w:trHeight w:val="316"/>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Registrant(13)</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88"/>
              </w:rPr>
              <w:t>Equity Holders Agreement by and between Evercore Partners Inc. and Mizuho Corporate Bank, dated as of August 21, 2008(10)</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Indenture between Evercore Partners Inc. and The Bank of New York Mellon, as trustee, dated as of August 28, 2008(11)</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Warrant, dated as of August 28, 2008(11)</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Second Amended and Restated Limited Partnership Agreement of Evercore LP, dated as of July 27, 2009(14)</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5"/>
              </w:rPr>
              <w:t>10.1.1</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Supplement to Amended and Restated Limited Partnership Agreement of Evercore LP, dated as of August 7, 2006(2)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5"/>
              </w:rPr>
              <w:t>10.1.2</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1"/>
              </w:rPr>
              <w:t>Amendment No. 1 to the Second Amended and Restated Limited Partnership Agreement dated as of February 11, 2010(18)</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10.2</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Tax Receivable Agreement, dated as of August 10, 2006(2)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10.3</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August 10, 2006(2)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10.6</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Roger C. Altman(2)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10.8</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Pedro Aspe(2)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10.9</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Robert B. Walsh(6)</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Plan(3)</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*Evercore Partners Inc. 2006 Annual Incentive Plan(1)</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00" w:type="dxa"/>
            <w:vAlign w:val="bottom"/>
            <w:gridSpan w:val="3"/>
          </w:tcPr>
          <w:p>
            <w:pPr>
              <w:jc w:val="right"/>
              <w:ind w:right="4272"/>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89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980" w:type="dxa"/>
            <w:vAlign w:val="bottom"/>
          </w:tcPr>
          <w:p>
            <w:pPr>
              <w:spacing w:after="0"/>
              <w:rPr>
                <w:sz w:val="14"/>
                <w:szCs w:val="14"/>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Adam B. Frankel(1)</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each of its director nominees(1)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Evercore Partners II L.L.C. Limited Liability Company Agreement(1)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Restricted Stock Award Agreement(6)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*Service Agreement between Bernard J. Taylor and Braveheart Financial Services Limited, dated as of July 31, 2006(9)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*2007 Form Restricted Stock Unit Award Agreement(9)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*2008 Form Restricted Stock Unit Award Agreement(15)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with Evercore Mexico Partners II, L.P.(15)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November 7, 2008 with Dr. Pedro Carlos Aspe Armella(12)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February 12, 2008 with Roger C. Altman(8)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February 12, 2008 with Austin M. Beutner(8)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 Amendment to Restricted Stock Unit Award Agreement with Adam B. Frankel(15)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8"/>
              </w:rPr>
              <w:t>Purchase Agreement by and between Evercore Partners Inc. and Mizuho Corporate Bank, dated as of August 21, 2008(10)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March 26, 2009 with Roger C. Altman and Pedro Aspe(16)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*Subscription Agreement between the Registrant and Ralph L. Schlosstein(17)</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10.33.1</w:t>
            </w:r>
          </w:p>
        </w:tc>
        <w:tc>
          <w:tcPr>
            <w:tcW w:w="96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Ralph L. Schlosstein(17)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Contribution and Exchange Agreement, dated February 11, 2010(18)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88"/>
              </w:rPr>
              <w:t>Purchase and Sale Agreement, dated as of March 4, 2010, by and among Evercore Partners Inc., Atalanta Sosnoff Capital LLC (“Atalanta</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Sosnoff”), Representative, LLC, in its capacity as the representative, the sellers and Martin T. Sosnoff(19)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Registration Rights Agreement, dated May 28, 2010(20)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6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*2011 Form Cash Unit Award Agreement (filed herewith)</w:t>
            </w:r>
          </w:p>
        </w:tc>
      </w:tr>
    </w:tbl>
    <w:p>
      <w:pPr>
        <w:spacing w:after="0" w:line="102" w:lineRule="exact"/>
        <w:rPr>
          <w:sz w:val="20"/>
          <w:szCs w:val="20"/>
          <w:color w:val="auto"/>
        </w:rPr>
      </w:pPr>
    </w:p>
    <w:p>
      <w:pPr>
        <w:ind w:left="1160" w:hanging="1152"/>
        <w:spacing w:after="0"/>
        <w:tabs>
          <w:tab w:leader="none" w:pos="11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Not included as a separate exhibit - earnings per share can be determined from Note 16 to the consolidated financial statements included in Item 8</w:t>
      </w:r>
    </w:p>
    <w:p>
      <w:pPr>
        <w:spacing w:after="0" w:line="49"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 Financial Statements and Supplemental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21.1</w:t>
            </w:r>
          </w:p>
        </w:tc>
        <w:tc>
          <w:tcPr>
            <w:tcW w:w="10660" w:type="dxa"/>
            <w:vAlign w:val="bottom"/>
          </w:tcPr>
          <w:p>
            <w:pPr>
              <w:ind w:left="420"/>
              <w:spacing w:after="0"/>
              <w:rPr>
                <w:sz w:val="20"/>
                <w:szCs w:val="20"/>
                <w:color w:val="auto"/>
              </w:rPr>
            </w:pPr>
            <w:r>
              <w:rPr>
                <w:rFonts w:ascii="Arial" w:cs="Arial" w:eastAsia="Arial" w:hAnsi="Arial"/>
                <w:sz w:val="18"/>
                <w:szCs w:val="18"/>
                <w:color w:val="auto"/>
              </w:rPr>
              <w:t>Subsidiaries of the Registrant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10660" w:type="dxa"/>
            <w:vAlign w:val="bottom"/>
          </w:tcPr>
          <w:p>
            <w:pPr>
              <w:ind w:left="420"/>
              <w:spacing w:after="0"/>
              <w:rPr>
                <w:sz w:val="20"/>
                <w:szCs w:val="20"/>
                <w:color w:val="auto"/>
              </w:rPr>
            </w:pPr>
            <w:r>
              <w:rPr>
                <w:rFonts w:ascii="Arial" w:cs="Arial" w:eastAsia="Arial" w:hAnsi="Arial"/>
                <w:sz w:val="18"/>
                <w:szCs w:val="18"/>
                <w:color w:val="auto"/>
              </w:rPr>
              <w:t>Consent of Deloitte &amp; Touche LLP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24.1</w:t>
            </w:r>
          </w:p>
        </w:tc>
        <w:tc>
          <w:tcPr>
            <w:tcW w:w="10660" w:type="dxa"/>
            <w:vAlign w:val="bottom"/>
          </w:tcPr>
          <w:p>
            <w:pPr>
              <w:ind w:left="420"/>
              <w:spacing w:after="0"/>
              <w:rPr>
                <w:sz w:val="20"/>
                <w:szCs w:val="20"/>
                <w:color w:val="auto"/>
              </w:rPr>
            </w:pPr>
            <w:r>
              <w:rPr>
                <w:rFonts w:ascii="Arial" w:cs="Arial" w:eastAsia="Arial" w:hAnsi="Arial"/>
                <w:sz w:val="18"/>
                <w:szCs w:val="18"/>
                <w:color w:val="auto"/>
              </w:rPr>
              <w:t>Power of Attorney (included on signature page hereto)</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31.1</w:t>
            </w:r>
          </w:p>
        </w:tc>
        <w:tc>
          <w:tcPr>
            <w:tcW w:w="10660" w:type="dxa"/>
            <w:vAlign w:val="bottom"/>
          </w:tcPr>
          <w:p>
            <w:pPr>
              <w:ind w:left="42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31.2</w:t>
            </w:r>
          </w:p>
        </w:tc>
        <w:tc>
          <w:tcPr>
            <w:tcW w:w="10660" w:type="dxa"/>
            <w:vAlign w:val="bottom"/>
          </w:tcPr>
          <w:p>
            <w:pPr>
              <w:ind w:left="42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10660" w:type="dxa"/>
            <w:vAlign w:val="bottom"/>
          </w:tcPr>
          <w:p>
            <w:pPr>
              <w:ind w:left="42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60" w:type="dxa"/>
            <w:vAlign w:val="bottom"/>
          </w:tcPr>
          <w:p>
            <w:pPr>
              <w:ind w:left="420"/>
              <w:spacing w:after="0"/>
              <w:rPr>
                <w:sz w:val="20"/>
                <w:szCs w:val="20"/>
                <w:color w:val="auto"/>
              </w:rPr>
            </w:pPr>
            <w:r>
              <w:rPr>
                <w:rFonts w:ascii="Arial" w:cs="Arial" w:eastAsia="Arial" w:hAnsi="Arial"/>
                <w:sz w:val="18"/>
                <w:szCs w:val="18"/>
                <w:color w:val="auto"/>
              </w:rPr>
              <w:t>2002 (furnished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32.2</w:t>
            </w:r>
          </w:p>
        </w:tc>
        <w:tc>
          <w:tcPr>
            <w:tcW w:w="10660" w:type="dxa"/>
            <w:vAlign w:val="bottom"/>
          </w:tcPr>
          <w:p>
            <w:pPr>
              <w:ind w:left="42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60" w:type="dxa"/>
            <w:vAlign w:val="bottom"/>
          </w:tcPr>
          <w:p>
            <w:pPr>
              <w:ind w:left="420"/>
              <w:spacing w:after="0"/>
              <w:rPr>
                <w:sz w:val="20"/>
                <w:szCs w:val="20"/>
                <w:color w:val="auto"/>
              </w:rPr>
            </w:pPr>
            <w:r>
              <w:rPr>
                <w:rFonts w:ascii="Arial" w:cs="Arial" w:eastAsia="Arial" w:hAnsi="Arial"/>
                <w:sz w:val="18"/>
                <w:szCs w:val="18"/>
                <w:color w:val="auto"/>
              </w:rPr>
              <w:t>2002 (furnished herewith)</w:t>
            </w:r>
          </w:p>
        </w:tc>
      </w:tr>
      <w:tr>
        <w:trPr>
          <w:trHeight w:val="365"/>
        </w:trPr>
        <w:tc>
          <w:tcPr>
            <w:tcW w:w="740" w:type="dxa"/>
            <w:vAlign w:val="bottom"/>
          </w:tcPr>
          <w:p>
            <w:pPr>
              <w:spacing w:after="0"/>
              <w:rPr>
                <w:sz w:val="24"/>
                <w:szCs w:val="24"/>
                <w:color w:val="auto"/>
              </w:rPr>
            </w:pPr>
          </w:p>
        </w:tc>
        <w:tc>
          <w:tcPr>
            <w:tcW w:w="10660" w:type="dxa"/>
            <w:vAlign w:val="bottom"/>
          </w:tcPr>
          <w:p>
            <w:pPr>
              <w:ind w:left="4840"/>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8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(Registration No. 333-134087), as amended, originally filed with the SEC on May 12, 2006.</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June 30, 2006.</w:t>
      </w:r>
    </w:p>
    <w:p>
      <w:pPr>
        <w:spacing w:after="0" w:line="99" w:lineRule="exact"/>
        <w:rPr>
          <w:rFonts w:ascii="Arial" w:cs="Arial" w:eastAsia="Arial" w:hAnsi="Arial"/>
          <w:sz w:val="16"/>
          <w:szCs w:val="16"/>
          <w:color w:val="auto"/>
        </w:rPr>
      </w:pPr>
    </w:p>
    <w:p>
      <w:pPr>
        <w:ind w:left="580" w:right="20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2006.</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December 21, 2006.</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March 31,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8,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6,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12,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14,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21,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28, 2008.</w:t>
      </w:r>
    </w:p>
    <w:p>
      <w:pPr>
        <w:spacing w:after="0" w:line="99" w:lineRule="exact"/>
        <w:rPr>
          <w:rFonts w:ascii="Arial" w:cs="Arial" w:eastAsia="Arial" w:hAnsi="Arial"/>
          <w:sz w:val="16"/>
          <w:szCs w:val="16"/>
          <w:color w:val="auto"/>
        </w:rPr>
      </w:pPr>
    </w:p>
    <w:p>
      <w:pPr>
        <w:ind w:left="580" w:right="20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2008.</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6,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27,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13,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27,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May 22,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16, 2010.</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5, 2010.</w:t>
      </w:r>
    </w:p>
    <w:p>
      <w:pPr>
        <w:spacing w:after="0" w:line="99" w:lineRule="exact"/>
        <w:rPr>
          <w:rFonts w:ascii="Arial" w:cs="Arial" w:eastAsia="Arial" w:hAnsi="Arial"/>
          <w:sz w:val="16"/>
          <w:szCs w:val="16"/>
          <w:color w:val="auto"/>
        </w:rPr>
      </w:pPr>
    </w:p>
    <w:p>
      <w:pPr>
        <w:ind w:left="580" w:right="8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S-3 (Registration No. 833-171487), as amended, originally filed with the SEC on December 30, 2010.</w:t>
      </w:r>
    </w:p>
    <w:p>
      <w:pPr>
        <w:spacing w:after="0" w:line="37"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00"/>
          </w:cols>
          <w:pgMar w:left="24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of the officers and directors of Evercore Partners Inc. whose signature appears below, in so signing, also makes, constitutes and appoints each of Ralph Schlosstein, Roger C. Altman, Robert B. Walsh, Adam B. Frankel and Paul Pensa,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9th day of March,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660" w:type="dxa"/>
            <w:vAlign w:val="bottom"/>
          </w:tcPr>
          <w:p>
            <w:pPr>
              <w:spacing w:after="0"/>
              <w:rPr>
                <w:sz w:val="14"/>
                <w:szCs w:val="14"/>
                <w:color w:val="auto"/>
              </w:rPr>
            </w:pPr>
          </w:p>
        </w:tc>
      </w:tr>
      <w:tr>
        <w:trPr>
          <w:trHeight w:val="425"/>
        </w:trPr>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ALPH</w:t>
            </w:r>
            <w:r>
              <w:rPr>
                <w:rFonts w:ascii="Arial" w:cs="Arial" w:eastAsia="Arial" w:hAnsi="Arial"/>
                <w:sz w:val="18"/>
                <w:szCs w:val="18"/>
                <w:color w:val="auto"/>
                <w:w w:val="98"/>
              </w:rPr>
              <w:t xml:space="preserve"> S</w:t>
            </w:r>
            <w:r>
              <w:rPr>
                <w:rFonts w:ascii="Arial" w:cs="Arial" w:eastAsia="Arial" w:hAnsi="Arial"/>
                <w:sz w:val="14"/>
                <w:szCs w:val="14"/>
                <w:color w:val="auto"/>
                <w:w w:val="98"/>
              </w:rPr>
              <w:t>CHLOSSTEIN</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w w:val="91"/>
              </w:rPr>
              <w:t>Chief Executive Officer (Principal Executive Officer) and Director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5"/>
              </w:rPr>
              <w:t>Ralph Schlosstein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83"/>
              </w:rPr>
              <w:t>/s/</w:t>
            </w:r>
          </w:p>
        </w:tc>
        <w:tc>
          <w:tcPr>
            <w:tcW w:w="336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OGER</w:t>
            </w:r>
            <w:r>
              <w:rPr>
                <w:rFonts w:ascii="Arial" w:cs="Arial" w:eastAsia="Arial" w:hAnsi="Arial"/>
                <w:sz w:val="18"/>
                <w:szCs w:val="18"/>
                <w:color w:val="auto"/>
                <w:w w:val="97"/>
              </w:rPr>
              <w:t xml:space="preserve"> C. A</w:t>
            </w:r>
            <w:r>
              <w:rPr>
                <w:rFonts w:ascii="Arial" w:cs="Arial" w:eastAsia="Arial" w:hAnsi="Arial"/>
                <w:sz w:val="14"/>
                <w:szCs w:val="14"/>
                <w:color w:val="auto"/>
                <w:w w:val="97"/>
              </w:rPr>
              <w:t>LTMAN</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Co-Chairman</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Roger C. Altman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EDRO</w:t>
            </w:r>
            <w:r>
              <w:rPr>
                <w:rFonts w:ascii="Arial" w:cs="Arial" w:eastAsia="Arial" w:hAnsi="Arial"/>
                <w:sz w:val="18"/>
                <w:szCs w:val="18"/>
                <w:color w:val="auto"/>
                <w:w w:val="94"/>
              </w:rPr>
              <w:t xml:space="preserve"> A</w:t>
            </w:r>
            <w:r>
              <w:rPr>
                <w:rFonts w:ascii="Arial" w:cs="Arial" w:eastAsia="Arial" w:hAnsi="Arial"/>
                <w:sz w:val="14"/>
                <w:szCs w:val="14"/>
                <w:color w:val="auto"/>
                <w:w w:val="94"/>
              </w:rPr>
              <w:t>SPE</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Co-Chairman</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7"/>
              </w:rPr>
              <w:t>Pedro Aspe</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I. B</w:t>
            </w:r>
            <w:r>
              <w:rPr>
                <w:rFonts w:ascii="Arial" w:cs="Arial" w:eastAsia="Arial" w:hAnsi="Arial"/>
                <w:sz w:val="14"/>
                <w:szCs w:val="14"/>
                <w:color w:val="auto"/>
              </w:rPr>
              <w:t>EATTIE</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7"/>
              </w:rPr>
              <w:t>Richarc I. Beattie</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RANCOIS DE</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 P</w:t>
            </w:r>
            <w:r>
              <w:rPr>
                <w:rFonts w:ascii="Arial" w:cs="Arial" w:eastAsia="Arial" w:hAnsi="Arial"/>
                <w:sz w:val="14"/>
                <w:szCs w:val="14"/>
                <w:color w:val="auto"/>
              </w:rPr>
              <w:t>HALLE</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680" w:type="dxa"/>
            <w:vAlign w:val="bottom"/>
          </w:tcPr>
          <w:p>
            <w:pPr>
              <w:spacing w:after="0"/>
              <w:rPr>
                <w:sz w:val="14"/>
                <w:szCs w:val="14"/>
                <w:color w:val="auto"/>
              </w:rPr>
            </w:pPr>
          </w:p>
        </w:tc>
        <w:tc>
          <w:tcPr>
            <w:tcW w:w="336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85"/>
              </w:rPr>
              <w:t>Francois de St. Phalle</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AIL</w:t>
            </w:r>
            <w:r>
              <w:rPr>
                <w:rFonts w:ascii="Arial" w:cs="Arial" w:eastAsia="Arial" w:hAnsi="Arial"/>
                <w:sz w:val="18"/>
                <w:szCs w:val="18"/>
                <w:color w:val="auto"/>
              </w:rPr>
              <w:t xml:space="preserve"> B</w:t>
            </w:r>
            <w:r>
              <w:rPr>
                <w:rFonts w:ascii="Arial" w:cs="Arial" w:eastAsia="Arial" w:hAnsi="Arial"/>
                <w:sz w:val="14"/>
                <w:szCs w:val="14"/>
                <w:color w:val="auto"/>
              </w:rPr>
              <w:t>LOCK</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2"/>
              </w:rPr>
              <w:t>Gail Block Harris</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9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URT</w:t>
            </w:r>
            <w:r>
              <w:rPr>
                <w:rFonts w:ascii="Arial" w:cs="Arial" w:eastAsia="Arial" w:hAnsi="Arial"/>
                <w:sz w:val="18"/>
                <w:szCs w:val="18"/>
                <w:color w:val="auto"/>
                <w:w w:val="95"/>
              </w:rPr>
              <w:t xml:space="preserve"> H</w:t>
            </w:r>
            <w:r>
              <w:rPr>
                <w:rFonts w:ascii="Arial" w:cs="Arial" w:eastAsia="Arial" w:hAnsi="Arial"/>
                <w:sz w:val="14"/>
                <w:szCs w:val="14"/>
                <w:color w:val="auto"/>
                <w:w w:val="95"/>
              </w:rPr>
              <w:t>ESSLER</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6"/>
              </w:rPr>
              <w:t>Curt Hessler</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N. P</w:t>
            </w:r>
            <w:r>
              <w:rPr>
                <w:rFonts w:ascii="Arial" w:cs="Arial" w:eastAsia="Arial" w:hAnsi="Arial"/>
                <w:sz w:val="14"/>
                <w:szCs w:val="14"/>
                <w:color w:val="auto"/>
              </w:rPr>
              <w:t>RITZKER</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2"/>
              </w:rPr>
              <w:t>Anthony N. Pritzker</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6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B. W</w:t>
            </w:r>
            <w:r>
              <w:rPr>
                <w:rFonts w:ascii="Arial" w:cs="Arial" w:eastAsia="Arial" w:hAnsi="Arial"/>
                <w:sz w:val="14"/>
                <w:szCs w:val="14"/>
                <w:color w:val="auto"/>
                <w:w w:val="97"/>
              </w:rPr>
              <w:t>ALSH</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Officer)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8"/>
              </w:rPr>
              <w:t>Robert B. Walsh</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20" w:type="dxa"/>
            <w:vAlign w:val="bottom"/>
            <w:tcBorders>
              <w:bottom w:val="single" w:sz="8" w:color="auto"/>
            </w:tcBorders>
            <w:gridSpan w:val="3"/>
          </w:tcPr>
          <w:p>
            <w:pPr>
              <w:jc w:val="center"/>
              <w:ind w:right="184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P</w:t>
            </w:r>
            <w:r>
              <w:rPr>
                <w:rFonts w:ascii="Arial" w:cs="Arial" w:eastAsia="Arial" w:hAnsi="Arial"/>
                <w:sz w:val="14"/>
                <w:szCs w:val="14"/>
                <w:color w:val="auto"/>
                <w:w w:val="97"/>
              </w:rPr>
              <w:t>ENSA</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5"/>
              </w:rPr>
              <w:t>Paul Pensa</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4" w:name="page115"/>
    <w:bookmarkEnd w:id="114"/>
    <w:p>
      <w:pPr>
        <w:ind w:left="10420"/>
        <w:spacing w:after="0"/>
        <w:rPr>
          <w:sz w:val="20"/>
          <w:szCs w:val="20"/>
          <w:color w:val="auto"/>
        </w:rPr>
      </w:pPr>
      <w:r>
        <w:rPr>
          <w:rFonts w:ascii="Arial" w:cs="Arial" w:eastAsia="Arial" w:hAnsi="Arial"/>
          <w:sz w:val="16"/>
          <w:szCs w:val="16"/>
          <w:b w:val="1"/>
          <w:bCs w:val="1"/>
          <w:color w:val="auto"/>
        </w:rPr>
        <w:t>Exhibit 10.37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CASH UNIT AWARD AGREEMENT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THIS CASH UNIT AWARD AGREEMENT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is made between EVERCORE PARTNERS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10" w:lineRule="exact"/>
        <w:rPr>
          <w:sz w:val="20"/>
          <w:szCs w:val="20"/>
          <w:color w:val="auto"/>
        </w:rPr>
      </w:pPr>
    </w:p>
    <w:p>
      <w:pPr>
        <w:sectPr>
          <w:pgSz w:w="11900" w:h="16838" w:orient="portrait"/>
          <w:cols w:equalWidth="0" w:num="2">
            <w:col w:w="10320" w:space="720"/>
            <w:col w:w="38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WHEREAS, the Company has determined that the Participant will receive an annual bonus (the “</w:t>
      </w:r>
      <w:r>
        <w:rPr>
          <w:rFonts w:ascii="Arial" w:cs="Arial" w:eastAsia="Arial" w:hAnsi="Arial"/>
          <w:sz w:val="18"/>
          <w:szCs w:val="18"/>
          <w:i w:val="1"/>
          <w:iCs w:val="1"/>
          <w:color w:val="auto"/>
        </w:rPr>
        <w:t>Bonus</w:t>
      </w:r>
      <w:r>
        <w:rPr>
          <w:rFonts w:ascii="Arial" w:cs="Arial" w:eastAsia="Arial" w:hAnsi="Arial"/>
          <w:sz w:val="18"/>
          <w:szCs w:val="18"/>
          <w:color w:val="auto"/>
        </w:rPr>
        <w:t>”);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payment of a portion of the Bonus is subject to the Participant’s continued employment with the Company; and</w:t>
      </w:r>
    </w:p>
    <w:p>
      <w:pPr>
        <w:sectPr>
          <w:pgSz w:w="11900" w:h="16838" w:orient="portrait"/>
          <w:cols w:equalWidth="0" w:num="1">
            <w:col w:w="11420"/>
          </w:cols>
          <w:pgMar w:left="240" w:top="125" w:right="239" w:bottom="1440" w:gutter="0" w:footer="0" w:header="0"/>
          <w:type w:val="continuous"/>
        </w:sectPr>
      </w:pPr>
    </w:p>
    <w:p>
      <w:pPr>
        <w:spacing w:after="0" w:line="19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the Participant has elected to have this portion of the bonus notionally invested in one or more investment alternatives designated by the Participant; and</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this portion of the Bonus will be credited to a bookkeeping account in the Participant’s name, notionally invested and, as adjusted to reflect the results of such investment, distributed to the Participant upon the completion of the requisite service period.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receipt of which is hereby acknowledged, the parties hereto do hereby agree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Creation of Bookkeeping Account</w:t>
      </w:r>
      <w:r>
        <w:rPr>
          <w:rFonts w:ascii="Arial" w:cs="Arial" w:eastAsia="Arial" w:hAnsi="Arial"/>
          <w:sz w:val="16"/>
          <w:szCs w:val="16"/>
          <w:color w:val="auto"/>
        </w:rPr>
        <w:t>. Effective February 18, 2011 (the “</w:t>
      </w:r>
      <w:r>
        <w:rPr>
          <w:rFonts w:ascii="Arial" w:cs="Arial" w:eastAsia="Arial" w:hAnsi="Arial"/>
          <w:sz w:val="16"/>
          <w:szCs w:val="16"/>
          <w:i w:val="1"/>
          <w:iCs w:val="1"/>
          <w:color w:val="auto"/>
        </w:rPr>
        <w:t>Effective Date</w:t>
      </w:r>
      <w:r>
        <w:rPr>
          <w:rFonts w:ascii="Arial" w:cs="Arial" w:eastAsia="Arial" w:hAnsi="Arial"/>
          <w:sz w:val="16"/>
          <w:szCs w:val="16"/>
          <w:color w:val="auto"/>
        </w:rPr>
        <w:t>”), the Company will establish a bookkeeping account in the</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Participant’s name (the “</w:t>
      </w:r>
      <w:r>
        <w:rPr>
          <w:rFonts w:ascii="Arial" w:cs="Arial" w:eastAsia="Arial" w:hAnsi="Arial"/>
          <w:sz w:val="18"/>
          <w:szCs w:val="18"/>
          <w:i w:val="1"/>
          <w:iCs w:val="1"/>
          <w:color w:val="auto"/>
        </w:rPr>
        <w:t>Account</w:t>
      </w:r>
      <w:r>
        <w:rPr>
          <w:rFonts w:ascii="Arial" w:cs="Arial" w:eastAsia="Arial" w:hAnsi="Arial"/>
          <w:sz w:val="18"/>
          <w:szCs w:val="18"/>
          <w:color w:val="auto"/>
        </w:rPr>
        <w:t>”). The Company will credit to the Account an amount equal to [$ ], which amount will thereafter be subject to adjustment in accordance with Section 2, below.</w:t>
      </w:r>
    </w:p>
    <w:p>
      <w:pPr>
        <w:spacing w:after="0" w:line="138"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Investment of Account Balance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921"/>
        <w:spacing w:after="0" w:line="254"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balance of the Account, as adjusted in accordance with the remainder of this Section 2 (the “</w:t>
      </w:r>
      <w:r>
        <w:rPr>
          <w:rFonts w:ascii="Arial" w:cs="Arial" w:eastAsia="Arial" w:hAnsi="Arial"/>
          <w:sz w:val="18"/>
          <w:szCs w:val="18"/>
          <w:i w:val="1"/>
          <w:iCs w:val="1"/>
          <w:color w:val="auto"/>
        </w:rPr>
        <w:t>Account Balance</w:t>
      </w:r>
      <w:r>
        <w:rPr>
          <w:rFonts w:ascii="Arial" w:cs="Arial" w:eastAsia="Arial" w:hAnsi="Arial"/>
          <w:sz w:val="18"/>
          <w:szCs w:val="18"/>
          <w:color w:val="auto"/>
        </w:rPr>
        <w:t xml:space="preserve">”), will be adjusted to track a hypothetical investment of equal amount, invested as of the Effective Date, in the investment funds the Participant specified on the Investment Selection Form 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Therefore, following the Effective Date and until the date on which all amounts in the Account have been paid to the Participant or forfeited, the Account Balance will be adjusted to reflect income, gains, losses and dividends and distributions (which will be deemed reinvested in the distributing fund) attributable to the deemed investments and to reflect payments in respect of portions of the Account Balance that have become vested in accordance with Section 3, below.</w:t>
      </w:r>
    </w:p>
    <w:p>
      <w:pPr>
        <w:spacing w:after="0" w:line="144" w:lineRule="exact"/>
        <w:rPr>
          <w:rFonts w:ascii="Arial" w:cs="Arial" w:eastAsia="Arial" w:hAnsi="Arial"/>
          <w:sz w:val="18"/>
          <w:szCs w:val="18"/>
          <w:color w:val="auto"/>
        </w:rPr>
      </w:pPr>
    </w:p>
    <w:p>
      <w:pPr>
        <w:ind w:right="40" w:firstLine="921"/>
        <w:spacing w:after="0" w:line="259" w:lineRule="auto"/>
        <w:tabs>
          <w:tab w:leader="none" w:pos="11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Investment Selection Form 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sets forth the Participant’s initial allocation of his or her Account Balance among the investment funds made available for this purpose. The Participant acknowledges that, prior to the Effective Date, the Participant has received and reviewed current prospectuses for those funds.</w:t>
      </w:r>
    </w:p>
    <w:p>
      <w:pPr>
        <w:spacing w:after="0" w:line="140" w:lineRule="exact"/>
        <w:rPr>
          <w:rFonts w:ascii="Arial" w:cs="Arial" w:eastAsia="Arial" w:hAnsi="Arial"/>
          <w:sz w:val="18"/>
          <w:szCs w:val="18"/>
          <w:color w:val="auto"/>
        </w:rPr>
      </w:pPr>
    </w:p>
    <w:p>
      <w:pPr>
        <w:ind w:right="120" w:firstLine="921"/>
        <w:spacing w:after="0" w:line="268"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Prior to complete vesting or forfeiture of the Account Balance, the Participant will have two opportunities each year, in such manner and at such intervals as the Company will establish, to re-designate the investment fund(s) in which the Account Balance is</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ind w:left="44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invested. For this purpose, the Participant may choose from any of the investment alternatives that the Company makes available as of the date of redesignation.</w:t>
      </w:r>
    </w:p>
    <w:p>
      <w:pPr>
        <w:spacing w:after="0" w:line="132" w:lineRule="exact"/>
        <w:rPr>
          <w:sz w:val="20"/>
          <w:szCs w:val="20"/>
          <w:color w:val="auto"/>
        </w:rPr>
      </w:pPr>
    </w:p>
    <w:p>
      <w:pPr>
        <w:ind w:left="620" w:hanging="176"/>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 and Distribution of Account Balance</w:t>
      </w:r>
      <w:r>
        <w:rPr>
          <w:rFonts w:ascii="Arial" w:cs="Arial" w:eastAsia="Arial" w:hAnsi="Arial"/>
          <w:sz w:val="18"/>
          <w:szCs w:val="18"/>
          <w:color w:val="auto"/>
        </w:rPr>
        <w:t>.</w:t>
      </w:r>
    </w:p>
    <w:p>
      <w:pPr>
        <w:spacing w:after="0" w:line="90" w:lineRule="exact"/>
        <w:rPr>
          <w:sz w:val="20"/>
          <w:szCs w:val="20"/>
          <w:color w:val="auto"/>
        </w:rPr>
      </w:pPr>
    </w:p>
    <w:p>
      <w:pPr>
        <w:ind w:left="-20" w:right="480" w:firstLine="464"/>
        <w:spacing w:after="0" w:line="259" w:lineRule="auto"/>
        <w:tabs>
          <w:tab w:leader="none" w:pos="6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Unless otherwise provided herein, and subject to the continued employment of the Participant by the Company or any of its Affiliates through the relevant Vesting Event (as hereinafter defined), the Participant will become vested in the Account Balance as follows (the occurrence of each such event described herein, a </w:t>
      </w:r>
      <w:r>
        <w:rPr>
          <w:rFonts w:ascii="Arial" w:cs="Arial" w:eastAsia="Arial" w:hAnsi="Arial"/>
          <w:sz w:val="18"/>
          <w:szCs w:val="18"/>
          <w:i w:val="1"/>
          <w:iCs w:val="1"/>
          <w:color w:val="auto"/>
        </w:rPr>
        <w:t>“Vesting Event”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100" w:hanging="217"/>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25% of the then-current Account Balance will become vested on the first anniversary of the Effective Date; and</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33% of the then-current Account Balance will become vested on the second anniversary of the Effective Date; and</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50% of the then-current Account Balance will become vested on the third anniversary of the Effective Date; and</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100% of the then-current Account Balance will become vested on the fourth anniversary of the Effective Date; and</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otherwise unvested portion of the then-current Account Balance will become 100% vested upon: (A) the occurrence of a Change in Control,</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 the Participant’s death, or (C) the Participant’s Disability.</w:t>
      </w:r>
    </w:p>
    <w:p>
      <w:pPr>
        <w:spacing w:after="0" w:line="164" w:lineRule="exact"/>
        <w:rPr>
          <w:rFonts w:ascii="Arial" w:cs="Arial" w:eastAsia="Arial" w:hAnsi="Arial"/>
          <w:sz w:val="16"/>
          <w:szCs w:val="16"/>
          <w:color w:val="auto"/>
        </w:rPr>
      </w:pPr>
    </w:p>
    <w:p>
      <w:pPr>
        <w:ind w:left="-20" w:firstLine="464"/>
        <w:spacing w:after="0" w:line="256"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portion of the Account Balance that becomes vested will be paid to the Participant in cash within two and one-half months following the applicable Vesting Event. To the extent permitted by the Company, the Participant may elect the investment funds from which the vested portion of the Account Balance is distributed by providing the Company with appropriate notice, in the manner specified by the Company. All amounts distributable to the Participant will be subject to withholding for applicable taxes.</w:t>
      </w:r>
    </w:p>
    <w:p>
      <w:pPr>
        <w:spacing w:after="0" w:line="143" w:lineRule="exact"/>
        <w:rPr>
          <w:rFonts w:ascii="Arial" w:cs="Arial" w:eastAsia="Arial" w:hAnsi="Arial"/>
          <w:sz w:val="18"/>
          <w:szCs w:val="18"/>
          <w:color w:val="auto"/>
        </w:rPr>
      </w:pPr>
    </w:p>
    <w:p>
      <w:pPr>
        <w:jc w:val="both"/>
        <w:ind w:left="-20" w:right="260" w:firstLine="464"/>
        <w:spacing w:after="0" w:line="306" w:lineRule="auto"/>
        <w:tabs>
          <w:tab w:leader="none" w:pos="6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any other provision set forth in this Agreement, upon any cessation of the Participant’s employment with the Company or any of its Affiliates, any unvested portion of the then-current Account Balance (determined after application of Section 3(a)(v)(B) or (C), if applicable) will immediately and automatically be forfeited, and the Participant will have no further rights in respect thereof.</w:t>
      </w:r>
    </w:p>
    <w:p>
      <w:pPr>
        <w:spacing w:after="0" w:line="106" w:lineRule="exact"/>
        <w:rPr>
          <w:rFonts w:ascii="Arial" w:cs="Arial" w:eastAsia="Arial" w:hAnsi="Arial"/>
          <w:sz w:val="16"/>
          <w:szCs w:val="16"/>
          <w:color w:val="auto"/>
        </w:rPr>
      </w:pPr>
    </w:p>
    <w:p>
      <w:pPr>
        <w:ind w:left="-20" w:right="340" w:firstLine="464"/>
        <w:spacing w:after="0" w:line="306"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 the event of the death of the Participant, the distribution of the Account Balance under this Section 3 will be made in accordance with the written beneficiary designation on file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absence of any such written beneficiary designation, the distribution of the Account Balance will be made to the Participant’s estate. A form of beneficiary designation is attached hereto as </w:t>
      </w:r>
      <w:r>
        <w:rPr>
          <w:rFonts w:ascii="Arial" w:cs="Arial" w:eastAsia="Arial" w:hAnsi="Arial"/>
          <w:sz w:val="16"/>
          <w:szCs w:val="16"/>
          <w:i w:val="1"/>
          <w:iCs w:val="1"/>
          <w:color w:val="auto"/>
        </w:rPr>
        <w:t>Exhibit B</w:t>
      </w:r>
      <w:r>
        <w:rPr>
          <w:rFonts w:ascii="Arial" w:cs="Arial" w:eastAsia="Arial" w:hAnsi="Arial"/>
          <w:sz w:val="16"/>
          <w:szCs w:val="16"/>
          <w:color w:val="auto"/>
        </w:rPr>
        <w:t>.</w:t>
      </w:r>
    </w:p>
    <w:p>
      <w:pPr>
        <w:spacing w:after="0" w:line="26" w:lineRule="exact"/>
        <w:rPr>
          <w:sz w:val="20"/>
          <w:szCs w:val="20"/>
          <w:color w:val="auto"/>
        </w:rPr>
      </w:pPr>
    </w:p>
    <w:p>
      <w:pPr>
        <w:ind w:left="-20" w:right="40" w:firstLine="464"/>
        <w:spacing w:after="0" w:line="268" w:lineRule="auto"/>
        <w:tabs>
          <w:tab w:leader="none" w:pos="61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Participant acknowledges that the Company has not advised the Participant regarding the Participant’s tax liability in connection with the creation of the Account or the deemed investment or distribution of the Account Balance. The Participant has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16" w:name="page117"/>
    <w:bookmarkEnd w:id="116"/>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reviewed with the Participant’s own tax advisors the federal, state, local and non-U.S. tax consequences of the transactions contemplated by this Agreement. The Participant is relying solely on such advisors and not on any statements or representations of the Company or any of its agents.</w:t>
      </w:r>
    </w:p>
    <w:p>
      <w:pPr>
        <w:spacing w:after="0" w:line="85"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Nature of Company’s Obligation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80" w:firstLine="921"/>
        <w:spacing w:after="0" w:line="332" w:lineRule="auto"/>
        <w:tabs>
          <w:tab w:leader="none" w:pos="11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Company’s sole obligation hereunder is to pay to the Participant an amount in cash equal to the vested portion of the Account Balance in accordance with Section 3. This obligation is purely contractual and should not be construed as creating a trust or any fiduciary relationship.</w:t>
      </w:r>
    </w:p>
    <w:p>
      <w:pPr>
        <w:spacing w:after="0" w:line="85" w:lineRule="exact"/>
        <w:rPr>
          <w:rFonts w:ascii="Arial" w:cs="Arial" w:eastAsia="Arial" w:hAnsi="Arial"/>
          <w:sz w:val="16"/>
          <w:szCs w:val="16"/>
          <w:color w:val="auto"/>
        </w:rPr>
      </w:pPr>
    </w:p>
    <w:p>
      <w:pPr>
        <w:ind w:right="140" w:firstLine="921"/>
        <w:spacing w:after="0" w:line="268" w:lineRule="auto"/>
        <w:tabs>
          <w:tab w:leader="none" w:pos="11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It is the Company’s intention that this arrangement be unfunded for U.S. federal income tax purposes. Accordingly, the rights of the Participant under this Agreement will be no greater than those of an unsecured general creditor of the Company.</w:t>
      </w:r>
    </w:p>
    <w:p>
      <w:pPr>
        <w:spacing w:after="0" w:line="131" w:lineRule="exact"/>
        <w:rPr>
          <w:rFonts w:ascii="Arial" w:cs="Arial" w:eastAsia="Arial" w:hAnsi="Arial"/>
          <w:sz w:val="18"/>
          <w:szCs w:val="18"/>
          <w:color w:val="auto"/>
        </w:rPr>
      </w:pPr>
    </w:p>
    <w:p>
      <w:pPr>
        <w:ind w:right="280" w:firstLine="921"/>
        <w:spacing w:after="0" w:line="268"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does not require the Company to segregate or maintain any asset or otherwise fund the obligation created hereunder, nor will anything herein be construed to give the Participant a right to any specific asset of the Company.</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right to receive payment under this Agreement will be transferable or assignable by the Participant, or subject to anticipation, alienation, sale, pledge, encumbrance, attachment or garnishment by creditors of the Participant.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By executing this Agreement, the Participant hereby represents, warrants, covenants, acknowledges and/or agrees that:</w:t>
      </w:r>
    </w:p>
    <w:p>
      <w:pPr>
        <w:spacing w:after="0" w:line="124" w:lineRule="exact"/>
        <w:rPr>
          <w:rFonts w:ascii="Arial" w:cs="Arial" w:eastAsia="Arial" w:hAnsi="Arial"/>
          <w:sz w:val="15"/>
          <w:szCs w:val="15"/>
          <w:color w:val="auto"/>
        </w:rPr>
      </w:pPr>
    </w:p>
    <w:p>
      <w:pPr>
        <w:ind w:right="220" w:firstLine="921"/>
        <w:spacing w:after="0" w:line="268"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investment funds are not sponsored, promoted, endorsed, sold or issued by the Company, and the financial performance of the investment funds should not be expected to track the performance of the Company’s common stock;</w:t>
      </w:r>
    </w:p>
    <w:p>
      <w:pPr>
        <w:spacing w:after="0" w:line="131" w:lineRule="exact"/>
        <w:rPr>
          <w:rFonts w:ascii="Arial" w:cs="Arial" w:eastAsia="Arial" w:hAnsi="Arial"/>
          <w:sz w:val="18"/>
          <w:szCs w:val="18"/>
          <w:color w:val="auto"/>
        </w:rPr>
      </w:pPr>
    </w:p>
    <w:p>
      <w:pPr>
        <w:ind w:right="40" w:firstLine="921"/>
        <w:spacing w:after="0" w:line="259" w:lineRule="auto"/>
        <w:tabs>
          <w:tab w:leader="none" w:pos="11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makes no representation or warranty, express or implied, with respect to the performance of the investment funds at any time, and the Participant should review the prospectuses and other offering memoranda provided by the relevant fund managers before deciding how to direct the deemed investment of his or her Account Balance;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no obligation or liability in connection with the administration, marketing or trading of the investment funds.</w:t>
      </w:r>
    </w:p>
    <w:p>
      <w:pPr>
        <w:spacing w:after="0" w:line="171"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Participant hereby authorizes the Company to deliver electronically any prospectuses or other documentation related to this Agreement.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17" w:name="page118"/>
    <w:bookmarkEnd w:id="117"/>
    <w:p>
      <w:pPr>
        <w:ind w:left="-40" w:right="60" w:firstLine="464"/>
        <w:spacing w:after="0" w:line="306" w:lineRule="auto"/>
        <w:tabs>
          <w:tab w:leader="none" w:pos="59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Right to Continued Employment</w:t>
      </w:r>
      <w:r>
        <w:rPr>
          <w:rFonts w:ascii="Arial" w:cs="Arial" w:eastAsia="Arial" w:hAnsi="Arial"/>
          <w:sz w:val="16"/>
          <w:szCs w:val="16"/>
          <w:color w:val="auto"/>
        </w:rPr>
        <w:t>. This Agreement will not be construed as giving the Participant the right to be retained in the employ of, or in any consulting relationship with, the Company or any of its Affiliates. Further, the Company (or, as applicable, its Affiliates) may at any time dismiss the Participant, free from any liability or any claim under this Agreement, except as otherwise expressly provided herein.</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Capitalized terms used but not defined herein will have the meanings defined in the Company’s 2006 Stock Incentive Plan.</w:t>
      </w:r>
    </w:p>
    <w:p>
      <w:pPr>
        <w:spacing w:after="0" w:line="171" w:lineRule="exact"/>
        <w:rPr>
          <w:rFonts w:ascii="Arial" w:cs="Arial" w:eastAsia="Arial" w:hAnsi="Arial"/>
          <w:sz w:val="18"/>
          <w:szCs w:val="18"/>
          <w:color w:val="auto"/>
        </w:rPr>
      </w:pPr>
    </w:p>
    <w:p>
      <w:pPr>
        <w:ind w:left="-40" w:firstLine="921"/>
        <w:spacing w:after="0" w:line="259" w:lineRule="auto"/>
        <w:tabs>
          <w:tab w:leader="none" w:pos="112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an amount becomes payable to the Participant hereunder and, at that time, an amount is currently payable by the Participant to the Company or any of its Affiliates, the Company will offset the amount owed to the Participant hereunder by the amount of the Participant’s then current obligation to the Company and/or its Affiliates.</w:t>
      </w:r>
    </w:p>
    <w:p>
      <w:pPr>
        <w:spacing w:after="0" w:line="140" w:lineRule="exact"/>
        <w:rPr>
          <w:rFonts w:ascii="Arial" w:cs="Arial" w:eastAsia="Arial" w:hAnsi="Arial"/>
          <w:sz w:val="18"/>
          <w:szCs w:val="18"/>
          <w:color w:val="auto"/>
        </w:rPr>
      </w:pPr>
    </w:p>
    <w:p>
      <w:pPr>
        <w:ind w:left="-40" w:firstLine="921"/>
        <w:spacing w:after="0" w:line="259" w:lineRule="auto"/>
        <w:tabs>
          <w:tab w:leader="none" w:pos="11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represents the entire agreement between the parties regarding the matters herein discussed and merges and supersedes all prior and contemporaneous discussions, agreements and understandings of every nature relating to those matters. This Agreement may only be modified or amended in a writing signed by both parties.</w:t>
      </w:r>
    </w:p>
    <w:p>
      <w:pPr>
        <w:spacing w:after="0" w:line="140" w:lineRule="exact"/>
        <w:rPr>
          <w:rFonts w:ascii="Arial" w:cs="Arial" w:eastAsia="Arial" w:hAnsi="Arial"/>
          <w:sz w:val="18"/>
          <w:szCs w:val="18"/>
          <w:color w:val="auto"/>
        </w:rPr>
      </w:pPr>
    </w:p>
    <w:p>
      <w:pPr>
        <w:ind w:left="-40" w:right="60" w:firstLine="921"/>
        <w:spacing w:after="0" w:line="268" w:lineRule="auto"/>
        <w:tabs>
          <w:tab w:leader="none" w:pos="1122"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Neither this Agreement nor any rights or interest hereunder will be assignable by the Participant, his or her beneficiaries or legal representatives, and any purported assignment will be null and void.</w:t>
      </w:r>
    </w:p>
    <w:p>
      <w:pPr>
        <w:spacing w:after="0" w:line="131" w:lineRule="exact"/>
        <w:rPr>
          <w:rFonts w:ascii="Arial" w:cs="Arial" w:eastAsia="Arial" w:hAnsi="Arial"/>
          <w:sz w:val="18"/>
          <w:szCs w:val="18"/>
          <w:color w:val="auto"/>
        </w:rPr>
      </w:pPr>
    </w:p>
    <w:p>
      <w:pPr>
        <w:ind w:left="-40" w:firstLine="921"/>
        <w:spacing w:after="0" w:line="268" w:lineRule="auto"/>
        <w:tabs>
          <w:tab w:leader="none" w:pos="11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Either party’s failure to enforce any provision or provisions of this Agreement will not in any way be construed as a waiver of any such provision or provisions, nor prevent that party thereafter from enforcing each and every other provision of this Agreement.</w:t>
      </w:r>
    </w:p>
    <w:p>
      <w:pPr>
        <w:spacing w:after="0" w:line="131" w:lineRule="exact"/>
        <w:rPr>
          <w:rFonts w:ascii="Arial" w:cs="Arial" w:eastAsia="Arial" w:hAnsi="Arial"/>
          <w:sz w:val="18"/>
          <w:szCs w:val="18"/>
          <w:color w:val="auto"/>
        </w:rPr>
      </w:pPr>
    </w:p>
    <w:p>
      <w:pPr>
        <w:ind w:left="-40" w:right="20" w:firstLine="921"/>
        <w:spacing w:after="0" w:line="268" w:lineRule="auto"/>
        <w:tabs>
          <w:tab w:leader="none" w:pos="10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will be governed by, and enforced in accordance with, the laws of the State of New York, without regard to the application of the principles of conflicts or choice of laws.</w:t>
      </w:r>
    </w:p>
    <w:p>
      <w:pPr>
        <w:spacing w:after="0" w:line="131" w:lineRule="exact"/>
        <w:rPr>
          <w:rFonts w:ascii="Arial" w:cs="Arial" w:eastAsia="Arial" w:hAnsi="Arial"/>
          <w:sz w:val="18"/>
          <w:szCs w:val="18"/>
          <w:color w:val="auto"/>
        </w:rPr>
      </w:pPr>
    </w:p>
    <w:p>
      <w:pPr>
        <w:ind w:left="-40" w:right="360" w:firstLine="921"/>
        <w:spacing w:after="0" w:line="268" w:lineRule="auto"/>
        <w:tabs>
          <w:tab w:leader="none" w:pos="112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may be executed, including execution by facsimile signature, in one or more counterparts, each of which will be deemed an original, and all of which together will be deemed to be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334" w:right="27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executed by its duly authorized representative on the date below indicated.</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PARTNERS INC.</w:t>
      </w:r>
    </w:p>
    <w:p>
      <w:pPr>
        <w:spacing w:after="0" w:line="27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-5715</wp:posOffset>
            </wp:positionV>
            <wp:extent cx="25730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8"/>
          <w:szCs w:val="18"/>
          <w:color w:val="auto"/>
        </w:rPr>
        <w:t>Nicol Grosso</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Director-Human Resources</w:t>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-5715</wp:posOffset>
            </wp:positionV>
            <wp:extent cx="25730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 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UNIT AWARD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700" w:top="334" w:right="69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Participant has executed this Agreement on the date below indicated.</w:t>
      </w:r>
    </w:p>
    <w:p>
      <w:pPr>
        <w:spacing w:after="0" w:line="235"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PARTICIPANT</w:t>
      </w:r>
    </w:p>
    <w:p>
      <w:pPr>
        <w:spacing w:after="0" w:line="27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-5715</wp:posOffset>
            </wp:positionV>
            <wp:extent cx="25730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-5715</wp:posOffset>
            </wp:positionV>
            <wp:extent cx="2573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[PARTICIPANT SIGNATURE PAGE TO</w:t>
      </w:r>
    </w:p>
    <w:p>
      <w:pPr>
        <w:spacing w:after="0" w:line="21"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CASH UNIT AWARD AGREEMENT]</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80" w:type="dxa"/>
            <w:vAlign w:val="bottom"/>
            <w:gridSpan w:val="2"/>
          </w:tcPr>
          <w:p>
            <w:pPr>
              <w:ind w:left="106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3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Jurisdiction of Incorporation</w:t>
            </w:r>
          </w:p>
        </w:tc>
      </w:tr>
      <w:tr>
        <w:trPr>
          <w:trHeight w:val="16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spacing w:after="0"/>
              <w:rPr>
                <w:sz w:val="14"/>
                <w:szCs w:val="14"/>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or Organization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BD</w:t>
            </w: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Protego S. de R.L.</w:t>
            </w:r>
          </w:p>
        </w:tc>
        <w:tc>
          <w:tcPr>
            <w:tcW w:w="3280" w:type="dxa"/>
            <w:vAlign w:val="bottom"/>
          </w:tcPr>
          <w:p>
            <w:pPr>
              <w:spacing w:after="0"/>
              <w:rPr>
                <w:sz w:val="17"/>
                <w:szCs w:val="17"/>
                <w:color w:val="auto"/>
              </w:rPr>
            </w:pPr>
          </w:p>
        </w:tc>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Mexico</w:t>
            </w:r>
          </w:p>
        </w:tc>
        <w:tc>
          <w:tcPr>
            <w:tcW w:w="20" w:type="dxa"/>
            <w:vAlign w:val="bottom"/>
          </w:tcPr>
          <w:p>
            <w:pPr>
              <w:spacing w:after="0"/>
              <w:rPr>
                <w:sz w:val="17"/>
                <w:szCs w:val="17"/>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Advisors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Advisors I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Financial Advisors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GP Holdings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Group Holdings L.P.</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Group Holdings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LP</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Partners Limited</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England and Wales</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Partners Services East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Properties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Restructuring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Venture Advisors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Administradores, S. de R.L.</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Asesores, S. de R.L.</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Casa de Bolsa, S.A. de C.V.</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CB Servicios S. de R.L.</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PE, S. de R.L.</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Servicios, S.C.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Protego SI, S.C.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Sedna S. de R.L.</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Mexico Capital Partners II, L.P.</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Ontario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Mexico Partners II, L.P.</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Ontario</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Mexico Management II,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Mexico GP Holdings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Wealth Management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Pan-Asset Capital Management</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England and Wales</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Holdings Limited</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England and Wales</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Trust Company, N.A.</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Evercore Asset Management,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Atalanta Sosnoff Capital, L.L.C.</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New York</w:t>
            </w: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Evercore Asia Limited</w:t>
            </w:r>
          </w:p>
        </w:tc>
        <w:tc>
          <w:tcPr>
            <w:tcW w:w="5260" w:type="dxa"/>
            <w:vAlign w:val="bottom"/>
            <w:gridSpan w:val="3"/>
          </w:tcPr>
          <w:p>
            <w:pPr>
              <w:ind w:left="328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333-136506 on Form S-8 and the Registration Statements No. 333-145696, No. 333-159037, No. 333-167393 and No. 333-171487 on Form S-3 of our reports relating to the consolidated financial statements of Evercore Partners Inc. and subsidiaries (the “Company”) and the effectiveness of the Company’s internal control over financial reporting dated March 9, 2011, appearing in this Annual Report on Form 10-K of the Company for the year ended December 31,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Ralph Schlosstein, certify that:</w:t>
      </w:r>
    </w:p>
    <w:p>
      <w:pPr>
        <w:spacing w:after="0" w:line="90"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Evercore Partners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2011</w:t>
      </w:r>
    </w:p>
    <w:p>
      <w:pPr>
        <w:spacing w:after="0" w:line="212"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ALPH</w:t>
      </w:r>
      <w:r>
        <w:rPr>
          <w:rFonts w:ascii="Arial" w:cs="Arial" w:eastAsia="Arial" w:hAnsi="Arial"/>
          <w:sz w:val="16"/>
          <w:szCs w:val="16"/>
          <w:color w:val="auto"/>
        </w:rPr>
        <w:t xml:space="preserve"> S</w:t>
      </w:r>
      <w:r>
        <w:rPr>
          <w:rFonts w:ascii="Arial" w:cs="Arial" w:eastAsia="Arial" w:hAnsi="Arial"/>
          <w:sz w:val="13"/>
          <w:szCs w:val="13"/>
          <w:color w:val="auto"/>
        </w:rPr>
        <w:t>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Ralph Schlosstein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 and Director</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B. Walsh, certify that:</w:t>
      </w:r>
    </w:p>
    <w:p>
      <w:pPr>
        <w:spacing w:after="0" w:line="90"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Evercore Partners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2011</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Ralph Schlosstein, Chief Executive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2011</w:t>
      </w:r>
    </w:p>
    <w:p>
      <w:pPr>
        <w:spacing w:after="0" w:line="212"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ALPH</w:t>
      </w:r>
      <w:r>
        <w:rPr>
          <w:rFonts w:ascii="Arial" w:cs="Arial" w:eastAsia="Arial" w:hAnsi="Arial"/>
          <w:sz w:val="16"/>
          <w:szCs w:val="16"/>
          <w:color w:val="auto"/>
        </w:rPr>
        <w:t xml:space="preserve"> S</w:t>
      </w:r>
      <w:r>
        <w:rPr>
          <w:rFonts w:ascii="Arial" w:cs="Arial" w:eastAsia="Arial" w:hAnsi="Arial"/>
          <w:sz w:val="13"/>
          <w:szCs w:val="13"/>
          <w:color w:val="auto"/>
        </w:rPr>
        <w:t>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Ralph Schlosstein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6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Robert B. Walsh, Chief Financial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2011</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ind w:left="460" w:right="6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lvl w:ilvl="1">
      <w:lvlJc w:val="left"/>
      <w:lvlText w:val="(%2)"/>
      <w:numFmt w:val="upperLetter"/>
      <w:start w:val="1"/>
    </w:lvl>
  </w:abstractNum>
  <w:abstractNum w:abstractNumId="28">
    <w:nsid w:val="5C482A97"/>
    <w:multiLevelType w:val="hybridMultilevel"/>
    <w:lvl w:ilvl="0">
      <w:lvlJc w:val="left"/>
      <w:lvlText w:val="(%1)"/>
      <w:numFmt w:val="decimal"/>
      <w:start w:val="2"/>
    </w:lvl>
    <w:lvl w:ilvl="1">
      <w:lvlJc w:val="left"/>
      <w:lvlText w:val="%2"/>
      <w:numFmt w:val="upperLetter"/>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2"/>
    </w:lvl>
    <w:lvl w:ilvl="1">
      <w:lvlJc w:val="left"/>
      <w:lvlText w:val="(%2)"/>
      <w:numFmt w:val="lowerLetter"/>
      <w:start w:val="1"/>
    </w:lvl>
  </w:abstractNum>
  <w:abstractNum w:abstractNumId="36">
    <w:nsid w:val="70A64E2A"/>
    <w:multiLevelType w:val="hybridMultilevel"/>
    <w:lvl w:ilvl="0">
      <w:lvlJc w:val="left"/>
      <w:lvlText w:val="%1."/>
      <w:numFmt w:val="decimal"/>
      <w:start w:val="3"/>
    </w:lvl>
  </w:abstractNum>
  <w:abstractNum w:abstractNumId="37">
    <w:nsid w:val="6A2342EC"/>
    <w:multiLevelType w:val="hybridMultilevel"/>
    <w:lvl w:ilvl="0">
      <w:lvlJc w:val="left"/>
      <w:lvlText w:val="(%1)"/>
      <w:numFmt w:val="lowerLetter"/>
      <w:start w:val="1"/>
    </w:lvl>
    <w:lvl w:ilvl="1">
      <w:lvlJc w:val="left"/>
      <w:lvlText w:val="(%2)"/>
      <w:numFmt w:val="lowerRoman"/>
      <w:start w:val="1"/>
    </w:lvl>
  </w:abstractNum>
  <w:abstractNum w:abstractNumId="38">
    <w:nsid w:val="2A487CB0"/>
    <w:multiLevelType w:val="hybridMultilevel"/>
    <w:lvl w:ilvl="0">
      <w:lvlJc w:val="left"/>
      <w:lvlText w:val="%1."/>
      <w:numFmt w:val="decimal"/>
      <w:start w:val="4"/>
    </w:lvl>
  </w:abstractNum>
  <w:abstractNum w:abstractNumId="39">
    <w:nsid w:val="1D4ED43B"/>
    <w:multiLevelType w:val="hybridMultilevel"/>
    <w:lvl w:ilvl="0">
      <w:lvlJc w:val="left"/>
      <w:lvlText w:val="%1."/>
      <w:numFmt w:val="decimal"/>
      <w:start w:val="5"/>
    </w:lvl>
    <w:lvl w:ilvl="1">
      <w:lvlJc w:val="left"/>
      <w:lvlText w:val="(%2)"/>
      <w:numFmt w:val="lowerLetter"/>
      <w:start w:val="1"/>
    </w:lvl>
  </w:abstractNum>
  <w:abstractNum w:abstractNumId="40">
    <w:nsid w:val="725A06FB"/>
    <w:multiLevelType w:val="hybridMultilevel"/>
    <w:lvl w:ilvl="0">
      <w:lvlJc w:val="left"/>
      <w:lvlText w:val="%1."/>
      <w:numFmt w:val="decimal"/>
      <w:start w:val="8"/>
    </w:lvl>
    <w:lvl w:ilvl="1">
      <w:lvlJc w:val="left"/>
      <w:lvlText w:val="(%2)"/>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2019-12-11T03:21:27Z</dcterms:created>
  <dcterms:modified xsi:type="dcterms:W3CDTF">2019-12-11T03:21:27Z</dcterms:modified>
</cp:coreProperties>
</file>