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120" w:type="dxa"/>
        <w:tblCellMar>
          <w:top w:w="0" w:type="dxa"/>
          <w:left w:w="0" w:type="dxa"/>
          <w:bottom w:w="0" w:type="dxa"/>
          <w:right w:w="0" w:type="dxa"/>
        </w:tblCellMar>
      </w:tblPr>
      <w:tr>
        <w:trPr>
          <w:trHeight w:val="338"/>
        </w:trPr>
        <w:tc>
          <w:tcPr>
            <w:tcW w:w="2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80" w:type="dxa"/>
            <w:vAlign w:val="bottom"/>
            <w:gridSpan w:val="2"/>
          </w:tcPr>
          <w:p>
            <w:pPr>
              <w:jc w:val="center"/>
              <w:ind w:right="1700"/>
              <w:spacing w:after="0"/>
              <w:rPr>
                <w:sz w:val="20"/>
                <w:szCs w:val="20"/>
                <w:color w:val="auto"/>
              </w:rPr>
            </w:pPr>
            <w:r>
              <w:rPr>
                <w:rFonts w:ascii="Arial" w:cs="Arial" w:eastAsia="Arial" w:hAnsi="Arial"/>
                <w:sz w:val="29"/>
                <w:szCs w:val="29"/>
                <w:b w:val="1"/>
                <w:bCs w:val="1"/>
                <w:color w:val="auto"/>
                <w:w w:val="98"/>
              </w:rPr>
              <w:t>UNITED STATES</w:t>
            </w:r>
          </w:p>
        </w:tc>
      </w:tr>
      <w:tr>
        <w:trPr>
          <w:trHeight w:val="351"/>
        </w:trPr>
        <w:tc>
          <w:tcPr>
            <w:tcW w:w="2180" w:type="dxa"/>
            <w:vAlign w:val="bottom"/>
          </w:tcPr>
          <w:p>
            <w:pPr>
              <w:spacing w:after="0"/>
              <w:rPr>
                <w:sz w:val="24"/>
                <w:szCs w:val="24"/>
                <w:color w:val="auto"/>
              </w:rPr>
            </w:pPr>
          </w:p>
        </w:tc>
        <w:tc>
          <w:tcPr>
            <w:tcW w:w="6420" w:type="dxa"/>
            <w:vAlign w:val="bottom"/>
            <w:gridSpan w:val="3"/>
          </w:tcPr>
          <w:p>
            <w:pPr>
              <w:jc w:val="center"/>
              <w:ind w:left="117"/>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34"/>
        </w:trPr>
        <w:tc>
          <w:tcPr>
            <w:tcW w:w="2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8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1"/>
              </w:rPr>
              <w:t>Washington, D.C. 20549</w:t>
            </w:r>
          </w:p>
        </w:tc>
      </w:tr>
      <w:tr>
        <w:trPr>
          <w:trHeight w:val="229"/>
        </w:trPr>
        <w:tc>
          <w:tcPr>
            <w:tcW w:w="2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720" w:type="dxa"/>
            <w:vAlign w:val="bottom"/>
          </w:tcPr>
          <w:p>
            <w:pPr>
              <w:spacing w:after="0"/>
              <w:rPr>
                <w:sz w:val="19"/>
                <w:szCs w:val="19"/>
                <w:color w:val="auto"/>
              </w:rPr>
            </w:pPr>
          </w:p>
        </w:tc>
      </w:tr>
      <w:tr>
        <w:trPr>
          <w:trHeight w:val="421"/>
        </w:trPr>
        <w:tc>
          <w:tcPr>
            <w:tcW w:w="2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80" w:type="dxa"/>
            <w:vAlign w:val="bottom"/>
            <w:gridSpan w:val="2"/>
          </w:tcPr>
          <w:p>
            <w:pPr>
              <w:jc w:val="center"/>
              <w:ind w:right="1720"/>
              <w:spacing w:after="0"/>
              <w:rPr>
                <w:sz w:val="20"/>
                <w:szCs w:val="20"/>
                <w:color w:val="auto"/>
              </w:rPr>
            </w:pPr>
            <w:r>
              <w:rPr>
                <w:rFonts w:ascii="Arial" w:cs="Arial" w:eastAsia="Arial" w:hAnsi="Arial"/>
                <w:sz w:val="29"/>
                <w:szCs w:val="29"/>
                <w:b w:val="1"/>
                <w:bCs w:val="1"/>
                <w:color w:val="auto"/>
                <w:w w:val="97"/>
              </w:rPr>
              <w:t>SCHEDULE 14A</w:t>
            </w:r>
          </w:p>
        </w:tc>
      </w:tr>
      <w:tr>
        <w:trPr>
          <w:trHeight w:val="216"/>
        </w:trPr>
        <w:tc>
          <w:tcPr>
            <w:tcW w:w="2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1"/>
              </w:rPr>
              <w:t>(Rule 14a-101)</w:t>
            </w:r>
          </w:p>
        </w:tc>
      </w:tr>
      <w:tr>
        <w:trPr>
          <w:trHeight w:val="216"/>
        </w:trPr>
        <w:tc>
          <w:tcPr>
            <w:tcW w:w="2180" w:type="dxa"/>
            <w:vAlign w:val="bottom"/>
          </w:tcPr>
          <w:p>
            <w:pPr>
              <w:spacing w:after="0"/>
              <w:rPr>
                <w:sz w:val="18"/>
                <w:szCs w:val="18"/>
                <w:color w:val="auto"/>
              </w:rPr>
            </w:pPr>
          </w:p>
        </w:tc>
        <w:tc>
          <w:tcPr>
            <w:tcW w:w="6420" w:type="dxa"/>
            <w:vAlign w:val="bottom"/>
            <w:gridSpan w:val="3"/>
          </w:tcPr>
          <w:p>
            <w:pPr>
              <w:jc w:val="center"/>
              <w:ind w:left="137"/>
              <w:spacing w:after="0"/>
              <w:rPr>
                <w:sz w:val="20"/>
                <w:szCs w:val="20"/>
                <w:color w:val="auto"/>
              </w:rPr>
            </w:pPr>
            <w:r>
              <w:rPr>
                <w:rFonts w:ascii="Arial" w:cs="Arial" w:eastAsia="Arial" w:hAnsi="Arial"/>
                <w:sz w:val="18"/>
                <w:szCs w:val="18"/>
                <w:b w:val="1"/>
                <w:bCs w:val="1"/>
                <w:color w:val="auto"/>
              </w:rPr>
              <w:t>INFORMATION REQUIRED IN PROXY STATEMENT</w:t>
            </w:r>
          </w:p>
        </w:tc>
      </w:tr>
      <w:tr>
        <w:trPr>
          <w:trHeight w:val="234"/>
        </w:trPr>
        <w:tc>
          <w:tcPr>
            <w:tcW w:w="2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8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rPr>
              <w:t>SCHEDULE 14A INFORMATION</w:t>
            </w:r>
          </w:p>
        </w:tc>
      </w:tr>
      <w:tr>
        <w:trPr>
          <w:trHeight w:val="306"/>
        </w:trPr>
        <w:tc>
          <w:tcPr>
            <w:tcW w:w="2180" w:type="dxa"/>
            <w:vAlign w:val="bottom"/>
          </w:tcPr>
          <w:p>
            <w:pPr>
              <w:spacing w:after="0"/>
              <w:rPr>
                <w:sz w:val="24"/>
                <w:szCs w:val="24"/>
                <w:color w:val="auto"/>
              </w:rPr>
            </w:pPr>
          </w:p>
        </w:tc>
        <w:tc>
          <w:tcPr>
            <w:tcW w:w="6420" w:type="dxa"/>
            <w:vAlign w:val="bottom"/>
            <w:gridSpan w:val="3"/>
          </w:tcPr>
          <w:p>
            <w:pPr>
              <w:jc w:val="center"/>
              <w:ind w:left="117"/>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34"/>
        </w:trPr>
        <w:tc>
          <w:tcPr>
            <w:tcW w:w="2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8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43"/>
        </w:trPr>
        <w:tc>
          <w:tcPr>
            <w:tcW w:w="2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720" w:type="dxa"/>
            <w:vAlign w:val="bottom"/>
          </w:tcPr>
          <w:p>
            <w:pPr>
              <w:spacing w:after="0"/>
              <w:rPr>
                <w:sz w:val="21"/>
                <w:szCs w:val="21"/>
                <w:color w:val="auto"/>
              </w:rPr>
            </w:pPr>
          </w:p>
        </w:tc>
      </w:tr>
      <w:tr>
        <w:trPr>
          <w:trHeight w:val="338"/>
        </w:trPr>
        <w:tc>
          <w:tcPr>
            <w:tcW w:w="21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6420" w:type="dxa"/>
            <w:vAlign w:val="bottom"/>
            <w:gridSpan w:val="3"/>
          </w:tcPr>
          <w:p>
            <w:pPr>
              <w:ind w:left="6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180" w:type="dxa"/>
            <w:vAlign w:val="bottom"/>
          </w:tcPr>
          <w:p>
            <w:pPr>
              <w:spacing w:after="0"/>
              <w:rPr>
                <w:sz w:val="20"/>
                <w:szCs w:val="20"/>
                <w:color w:val="auto"/>
              </w:rPr>
            </w:pPr>
            <w:r>
              <w:rPr>
                <w:rFonts w:ascii="Arial" w:cs="Arial" w:eastAsia="Arial" w:hAnsi="Arial"/>
                <w:sz w:val="18"/>
                <w:szCs w:val="18"/>
                <w:color w:val="auto"/>
                <w:w w:val="99"/>
              </w:rPr>
              <w:t>Check the appropriate box:</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07" w:lineRule="exact"/>
        <w:rPr>
          <w:sz w:val="24"/>
          <w:szCs w:val="24"/>
          <w:color w:val="auto"/>
        </w:rPr>
      </w:pPr>
    </w:p>
    <w:p>
      <w:pPr>
        <w:ind w:left="880" w:hanging="76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880" w:hanging="76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880" w:hanging="764"/>
        <w:spacing w:after="0"/>
        <w:tabs>
          <w:tab w:leader="none" w:pos="8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880" w:hanging="764"/>
        <w:spacing w:after="0"/>
        <w:tabs>
          <w:tab w:leader="none" w:pos="8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880" w:hanging="764"/>
        <w:spacing w:after="0"/>
        <w:tabs>
          <w:tab w:leader="none" w:pos="8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EVERCORE INC.</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9"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880" w:hanging="764"/>
        <w:spacing w:after="0"/>
        <w:tabs>
          <w:tab w:leader="none" w:pos="8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880" w:hanging="764"/>
        <w:spacing w:after="0"/>
        <w:tabs>
          <w:tab w:leader="none" w:pos="8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1880" w:right="120" w:hanging="995"/>
        <w:spacing w:after="0" w:line="277" w:lineRule="auto"/>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880" w:hanging="764"/>
        <w:spacing w:after="0"/>
        <w:tabs>
          <w:tab w:leader="none" w:pos="8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880" w:hanging="764"/>
        <w:spacing w:after="0" w:line="308" w:lineRule="auto"/>
        <w:tabs>
          <w:tab w:leader="none" w:pos="8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1880" w:hanging="995"/>
        <w:spacing w:after="0"/>
        <w:tabs>
          <w:tab w:leader="none" w:pos="1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40"/>
          </w:cols>
          <w:pgMar w:left="320" w:top="230" w:right="5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205740</wp:posOffset>
            </wp:positionV>
            <wp:extent cx="163703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16, 2020</w:t>
      </w:r>
    </w:p>
    <w:p>
      <w:pPr>
        <w:spacing w:after="0" w:line="189" w:lineRule="exact"/>
        <w:rPr>
          <w:sz w:val="20"/>
          <w:szCs w:val="20"/>
          <w:color w:val="auto"/>
        </w:rPr>
      </w:pPr>
    </w:p>
    <w:p>
      <w:pPr>
        <w:ind w:left="220" w:right="320" w:firstLine="981"/>
        <w:spacing w:after="0" w:line="263" w:lineRule="auto"/>
        <w:rPr>
          <w:sz w:val="20"/>
          <w:szCs w:val="20"/>
          <w:color w:val="auto"/>
        </w:rPr>
      </w:pPr>
      <w:r>
        <w:rPr>
          <w:rFonts w:ascii="Arial" w:cs="Arial" w:eastAsia="Arial" w:hAnsi="Arial"/>
          <w:sz w:val="18"/>
          <w:szCs w:val="18"/>
          <w:color w:val="auto"/>
        </w:rPr>
        <w:t>The Annual Meeting of Stockholders of Evercore Inc. will be conducted online only, via live webcast, on June 16, 2020, at 9:00 a.m., Eastern Time. There will be no physical location for shareholders to attend. Shareholders may only participate online by logging in at www.virtualshareholdermeeting.com/EVR2020.</w:t>
      </w:r>
    </w:p>
    <w:p>
      <w:pPr>
        <w:spacing w:after="0" w:line="178" w:lineRule="exact"/>
        <w:rPr>
          <w:sz w:val="20"/>
          <w:szCs w:val="20"/>
          <w:color w:val="auto"/>
        </w:rPr>
      </w:pPr>
    </w:p>
    <w:tbl>
      <w:tblPr>
        <w:tblLayout w:type="fixed"/>
        <w:tblInd w:w="110" w:type="dxa"/>
        <w:tblCellMar>
          <w:top w:w="0" w:type="dxa"/>
          <w:left w:w="0" w:type="dxa"/>
          <w:bottom w:w="0" w:type="dxa"/>
          <w:right w:w="0" w:type="dxa"/>
        </w:tblCellMar>
      </w:tblPr>
      <w:tr>
        <w:trPr>
          <w:trHeight w:val="486"/>
        </w:trPr>
        <w:tc>
          <w:tcPr>
            <w:tcW w:w="440" w:type="dxa"/>
            <w:vAlign w:val="bottom"/>
            <w:tcBorders>
              <w:top w:val="single" w:sz="8" w:color="0016FF"/>
              <w:left w:val="single" w:sz="8" w:color="0016FF"/>
            </w:tcBorders>
            <w:shd w:val="clear" w:color="auto" w:fill="5496FF"/>
          </w:tcPr>
          <w:p>
            <w:pPr>
              <w:spacing w:after="0"/>
              <w:rPr>
                <w:sz w:val="24"/>
                <w:szCs w:val="24"/>
                <w:color w:val="auto"/>
              </w:rPr>
            </w:pPr>
          </w:p>
        </w:tc>
        <w:tc>
          <w:tcPr>
            <w:tcW w:w="8200" w:type="dxa"/>
            <w:vAlign w:val="bottom"/>
            <w:tcBorders>
              <w:top w:val="single" w:sz="8" w:color="0016FF"/>
            </w:tcBorders>
            <w:shd w:val="clear" w:color="auto" w:fill="5496FF"/>
          </w:tcPr>
          <w:p>
            <w:pPr>
              <w:ind w:left="3680"/>
              <w:spacing w:after="0"/>
              <w:rPr>
                <w:sz w:val="20"/>
                <w:szCs w:val="20"/>
                <w:color w:val="auto"/>
              </w:rPr>
            </w:pPr>
            <w:r>
              <w:rPr>
                <w:rFonts w:ascii="Arial" w:cs="Arial" w:eastAsia="Arial" w:hAnsi="Arial"/>
                <w:sz w:val="18"/>
                <w:szCs w:val="18"/>
                <w:b w:val="1"/>
                <w:bCs w:val="1"/>
                <w:color w:val="FFFFFF"/>
              </w:rPr>
              <w:t>Agenda and Board Recommendations</w:t>
            </w:r>
          </w:p>
        </w:tc>
        <w:tc>
          <w:tcPr>
            <w:tcW w:w="120" w:type="dxa"/>
            <w:vAlign w:val="bottom"/>
            <w:tcBorders>
              <w:top w:val="single" w:sz="8" w:color="0016FF"/>
            </w:tcBorders>
            <w:shd w:val="clear" w:color="auto" w:fill="5496FF"/>
          </w:tcPr>
          <w:p>
            <w:pPr>
              <w:spacing w:after="0"/>
              <w:rPr>
                <w:sz w:val="24"/>
                <w:szCs w:val="24"/>
                <w:color w:val="auto"/>
              </w:rPr>
            </w:pPr>
          </w:p>
        </w:tc>
        <w:tc>
          <w:tcPr>
            <w:tcW w:w="2280" w:type="dxa"/>
            <w:vAlign w:val="bottom"/>
            <w:tcBorders>
              <w:top w:val="single" w:sz="8" w:color="0016FF"/>
              <w:right w:val="single" w:sz="8" w:color="0016FF"/>
            </w:tcBorders>
            <w:shd w:val="clear" w:color="auto" w:fill="5496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0016FF"/>
              <w:bottom w:val="single" w:sz="8" w:color="auto"/>
            </w:tcBorders>
            <w:shd w:val="clear" w:color="auto" w:fill="5496FF"/>
          </w:tcPr>
          <w:p>
            <w:pPr>
              <w:spacing w:after="0"/>
              <w:rPr>
                <w:sz w:val="7"/>
                <w:szCs w:val="7"/>
                <w:color w:val="auto"/>
              </w:rPr>
            </w:pPr>
          </w:p>
        </w:tc>
        <w:tc>
          <w:tcPr>
            <w:tcW w:w="8200" w:type="dxa"/>
            <w:vAlign w:val="bottom"/>
            <w:tcBorders>
              <w:bottom w:val="single" w:sz="8" w:color="auto"/>
            </w:tcBorders>
            <w:shd w:val="clear" w:color="auto" w:fill="5496FF"/>
          </w:tcPr>
          <w:p>
            <w:pPr>
              <w:spacing w:after="0"/>
              <w:rPr>
                <w:sz w:val="7"/>
                <w:szCs w:val="7"/>
                <w:color w:val="auto"/>
              </w:rPr>
            </w:pPr>
          </w:p>
        </w:tc>
        <w:tc>
          <w:tcPr>
            <w:tcW w:w="120" w:type="dxa"/>
            <w:vAlign w:val="bottom"/>
            <w:tcBorders>
              <w:bottom w:val="single" w:sz="8" w:color="auto"/>
            </w:tcBorders>
            <w:shd w:val="clear" w:color="auto" w:fill="5496FF"/>
          </w:tcPr>
          <w:p>
            <w:pPr>
              <w:spacing w:after="0"/>
              <w:rPr>
                <w:sz w:val="7"/>
                <w:szCs w:val="7"/>
                <w:color w:val="auto"/>
              </w:rPr>
            </w:pPr>
          </w:p>
        </w:tc>
        <w:tc>
          <w:tcPr>
            <w:tcW w:w="2280" w:type="dxa"/>
            <w:vAlign w:val="bottom"/>
            <w:tcBorders>
              <w:bottom w:val="single" w:sz="8" w:color="auto"/>
              <w:right w:val="single" w:sz="8" w:color="0016FF"/>
            </w:tcBorders>
            <w:shd w:val="clear" w:color="auto" w:fill="5496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640" w:type="dxa"/>
            <w:vAlign w:val="bottom"/>
            <w:tcBorders>
              <w:left w:val="single" w:sz="8" w:color="0016FF"/>
            </w:tcBorders>
            <w:gridSpan w:val="2"/>
            <w:vMerge w:val="restart"/>
            <w:shd w:val="clear" w:color="auto" w:fill="E0FCF9"/>
          </w:tcPr>
          <w:p>
            <w:pPr>
              <w:ind w:left="280"/>
              <w:spacing w:after="0"/>
              <w:rPr>
                <w:sz w:val="20"/>
                <w:szCs w:val="20"/>
                <w:color w:val="auto"/>
              </w:rPr>
            </w:pPr>
            <w:r>
              <w:rPr>
                <w:rFonts w:ascii="Arial" w:cs="Arial" w:eastAsia="Arial" w:hAnsi="Arial"/>
                <w:sz w:val="14"/>
                <w:szCs w:val="14"/>
                <w:b w:val="1"/>
                <w:bCs w:val="1"/>
                <w:color w:val="auto"/>
              </w:rPr>
              <w:t>Proposal</w:t>
            </w:r>
          </w:p>
        </w:tc>
        <w:tc>
          <w:tcPr>
            <w:tcW w:w="120" w:type="dxa"/>
            <w:vAlign w:val="bottom"/>
            <w:shd w:val="clear" w:color="auto" w:fill="E0FCF9"/>
          </w:tcPr>
          <w:p>
            <w:pPr>
              <w:spacing w:after="0"/>
              <w:rPr>
                <w:sz w:val="10"/>
                <w:szCs w:val="10"/>
                <w:color w:val="auto"/>
              </w:rPr>
            </w:pPr>
          </w:p>
        </w:tc>
        <w:tc>
          <w:tcPr>
            <w:tcW w:w="2280" w:type="dxa"/>
            <w:vAlign w:val="bottom"/>
            <w:tcBorders>
              <w:right w:val="single" w:sz="8" w:color="0016FF"/>
            </w:tcBorders>
            <w:shd w:val="clear" w:color="auto" w:fill="E0FCF9"/>
          </w:tcPr>
          <w:p>
            <w:pPr>
              <w:jc w:val="center"/>
              <w:spacing w:after="0" w:line="119" w:lineRule="exact"/>
              <w:rPr>
                <w:sz w:val="20"/>
                <w:szCs w:val="20"/>
                <w:color w:val="auto"/>
              </w:rPr>
            </w:pPr>
            <w:r>
              <w:rPr>
                <w:rFonts w:ascii="Arial" w:cs="Arial" w:eastAsia="Arial" w:hAnsi="Arial"/>
                <w:sz w:val="13"/>
                <w:szCs w:val="13"/>
                <w:b w:val="1"/>
                <w:bCs w:val="1"/>
                <w:color w:val="auto"/>
              </w:rPr>
              <w:t>Board Voting</w:t>
            </w:r>
          </w:p>
        </w:tc>
        <w:tc>
          <w:tcPr>
            <w:tcW w:w="0" w:type="dxa"/>
            <w:vAlign w:val="bottom"/>
          </w:tcPr>
          <w:p>
            <w:pPr>
              <w:spacing w:after="0"/>
              <w:rPr>
                <w:sz w:val="1"/>
                <w:szCs w:val="1"/>
                <w:color w:val="auto"/>
              </w:rPr>
            </w:pPr>
          </w:p>
        </w:tc>
      </w:tr>
      <w:tr>
        <w:trPr>
          <w:trHeight w:val="171"/>
        </w:trPr>
        <w:tc>
          <w:tcPr>
            <w:tcW w:w="8640" w:type="dxa"/>
            <w:vAlign w:val="bottom"/>
            <w:tcBorders>
              <w:left w:val="single" w:sz="8" w:color="0016FF"/>
              <w:bottom w:val="single" w:sz="8" w:color="auto"/>
            </w:tcBorders>
            <w:gridSpan w:val="2"/>
            <w:vMerge w:val="continue"/>
            <w:shd w:val="clear" w:color="auto" w:fill="E0FCF9"/>
          </w:tcPr>
          <w:p>
            <w:pPr>
              <w:spacing w:after="0"/>
              <w:rPr>
                <w:sz w:val="14"/>
                <w:szCs w:val="14"/>
                <w:color w:val="auto"/>
              </w:rPr>
            </w:pPr>
          </w:p>
        </w:tc>
        <w:tc>
          <w:tcPr>
            <w:tcW w:w="120" w:type="dxa"/>
            <w:vAlign w:val="bottom"/>
            <w:tcBorders>
              <w:bottom w:val="single" w:sz="8" w:color="E0FCF9"/>
            </w:tcBorders>
            <w:shd w:val="clear" w:color="auto" w:fill="E0FCF9"/>
          </w:tcPr>
          <w:p>
            <w:pPr>
              <w:spacing w:after="0"/>
              <w:rPr>
                <w:sz w:val="14"/>
                <w:szCs w:val="14"/>
                <w:color w:val="auto"/>
              </w:rPr>
            </w:pPr>
          </w:p>
        </w:tc>
        <w:tc>
          <w:tcPr>
            <w:tcW w:w="2280" w:type="dxa"/>
            <w:vAlign w:val="bottom"/>
            <w:tcBorders>
              <w:bottom w:val="single" w:sz="8" w:color="auto"/>
              <w:right w:val="single" w:sz="8" w:color="0016FF"/>
            </w:tcBorders>
            <w:shd w:val="clear" w:color="auto" w:fill="E0FCF9"/>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276"/>
        </w:trPr>
        <w:tc>
          <w:tcPr>
            <w:tcW w:w="440" w:type="dxa"/>
            <w:vAlign w:val="bottom"/>
            <w:tcBorders>
              <w:left w:val="single" w:sz="8" w:color="0016FF"/>
            </w:tcBorders>
            <w:shd w:val="clear" w:color="auto" w:fill="E0FCF9"/>
          </w:tcPr>
          <w:p>
            <w:pPr>
              <w:ind w:left="260"/>
              <w:spacing w:after="0"/>
              <w:rPr>
                <w:sz w:val="20"/>
                <w:szCs w:val="20"/>
                <w:color w:val="auto"/>
              </w:rPr>
            </w:pPr>
            <w:r>
              <w:rPr>
                <w:rFonts w:ascii="Arial" w:cs="Arial" w:eastAsia="Arial" w:hAnsi="Arial"/>
                <w:sz w:val="18"/>
                <w:szCs w:val="18"/>
                <w:color w:val="auto"/>
              </w:rPr>
              <w:t>1.</w:t>
            </w: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w w:val="95"/>
              </w:rPr>
              <w:t>Election of the 13 nominees named in this proxy statement to serve on our Board of Directors until the 2021</w:t>
            </w:r>
          </w:p>
        </w:tc>
        <w:tc>
          <w:tcPr>
            <w:tcW w:w="120" w:type="dxa"/>
            <w:vAlign w:val="bottom"/>
            <w:shd w:val="clear" w:color="auto" w:fill="E0FCF9"/>
          </w:tcPr>
          <w:p>
            <w:pPr>
              <w:spacing w:after="0"/>
              <w:rPr>
                <w:sz w:val="24"/>
                <w:szCs w:val="24"/>
                <w:color w:val="auto"/>
              </w:rPr>
            </w:pPr>
          </w:p>
        </w:tc>
        <w:tc>
          <w:tcPr>
            <w:tcW w:w="2280" w:type="dxa"/>
            <w:vAlign w:val="bottom"/>
            <w:tcBorders>
              <w:right w:val="single" w:sz="8" w:color="0016FF"/>
            </w:tcBorders>
            <w:shd w:val="clear" w:color="auto" w:fill="E0FCF9"/>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0016FF"/>
            </w:tcBorders>
            <w:shd w:val="clear" w:color="auto" w:fill="E0FCF9"/>
          </w:tcPr>
          <w:p>
            <w:pPr>
              <w:spacing w:after="0"/>
              <w:rPr>
                <w:sz w:val="20"/>
                <w:szCs w:val="20"/>
                <w:color w:val="auto"/>
              </w:rPr>
            </w:pPr>
          </w:p>
        </w:tc>
        <w:tc>
          <w:tcPr>
            <w:tcW w:w="8200" w:type="dxa"/>
            <w:vAlign w:val="bottom"/>
            <w:shd w:val="clear" w:color="auto" w:fill="E0FCF9"/>
          </w:tcPr>
          <w:p>
            <w:pPr>
              <w:ind w:left="60"/>
              <w:spacing w:after="0"/>
              <w:rPr>
                <w:sz w:val="20"/>
                <w:szCs w:val="20"/>
                <w:color w:val="auto"/>
              </w:rPr>
            </w:pPr>
            <w:r>
              <w:rPr>
                <w:rFonts w:ascii="Arial" w:cs="Arial" w:eastAsia="Arial" w:hAnsi="Arial"/>
                <w:sz w:val="18"/>
                <w:szCs w:val="18"/>
                <w:color w:val="auto"/>
              </w:rPr>
              <w:t>annual meeting</w:t>
            </w:r>
          </w:p>
        </w:tc>
        <w:tc>
          <w:tcPr>
            <w:tcW w:w="120" w:type="dxa"/>
            <w:vAlign w:val="bottom"/>
            <w:shd w:val="clear" w:color="auto" w:fill="E0FCF9"/>
          </w:tcPr>
          <w:p>
            <w:pPr>
              <w:spacing w:after="0"/>
              <w:rPr>
                <w:sz w:val="20"/>
                <w:szCs w:val="20"/>
                <w:color w:val="auto"/>
              </w:rPr>
            </w:pPr>
          </w:p>
        </w:tc>
        <w:tc>
          <w:tcPr>
            <w:tcW w:w="2280" w:type="dxa"/>
            <w:vAlign w:val="bottom"/>
            <w:tcBorders>
              <w:right w:val="single" w:sz="8" w:color="0016FF"/>
            </w:tcBorders>
            <w:vMerge w:val="restart"/>
            <w:shd w:val="clear" w:color="auto" w:fill="E0FCF9"/>
          </w:tcPr>
          <w:p>
            <w:pPr>
              <w:jc w:val="center"/>
              <w:spacing w:after="0"/>
              <w:rPr>
                <w:sz w:val="20"/>
                <w:szCs w:val="20"/>
                <w:color w:val="auto"/>
              </w:rPr>
            </w:pPr>
            <w:r>
              <w:rPr>
                <w:rFonts w:ascii="Arial" w:cs="Arial" w:eastAsia="Arial" w:hAnsi="Arial"/>
                <w:sz w:val="18"/>
                <w:szCs w:val="18"/>
                <w:b w:val="1"/>
                <w:bCs w:val="1"/>
                <w:color w:val="auto"/>
                <w:w w:val="93"/>
              </w:rPr>
              <w:t xml:space="preserve">FOR </w:t>
            </w:r>
            <w:r>
              <w:rPr>
                <w:rFonts w:ascii="Arial" w:cs="Arial" w:eastAsia="Arial" w:hAnsi="Arial"/>
                <w:sz w:val="18"/>
                <w:szCs w:val="18"/>
                <w:color w:val="auto"/>
                <w:w w:val="93"/>
              </w:rPr>
              <w:t>each nominee</w:t>
            </w:r>
          </w:p>
        </w:tc>
        <w:tc>
          <w:tcPr>
            <w:tcW w:w="0" w:type="dxa"/>
            <w:vAlign w:val="bottom"/>
          </w:tcPr>
          <w:p>
            <w:pPr>
              <w:spacing w:after="0"/>
              <w:rPr>
                <w:sz w:val="1"/>
                <w:szCs w:val="1"/>
                <w:color w:val="auto"/>
              </w:rPr>
            </w:pPr>
          </w:p>
        </w:tc>
      </w:tr>
      <w:tr>
        <w:trPr>
          <w:trHeight w:val="68"/>
        </w:trPr>
        <w:tc>
          <w:tcPr>
            <w:tcW w:w="440" w:type="dxa"/>
            <w:vAlign w:val="bottom"/>
            <w:tcBorders>
              <w:left w:val="single" w:sz="8" w:color="0016FF"/>
            </w:tcBorders>
            <w:shd w:val="clear" w:color="auto" w:fill="E0FCF9"/>
          </w:tcPr>
          <w:p>
            <w:pPr>
              <w:spacing w:after="0"/>
              <w:rPr>
                <w:sz w:val="5"/>
                <w:szCs w:val="5"/>
                <w:color w:val="auto"/>
              </w:rPr>
            </w:pPr>
          </w:p>
        </w:tc>
        <w:tc>
          <w:tcPr>
            <w:tcW w:w="8200" w:type="dxa"/>
            <w:vAlign w:val="bottom"/>
            <w:shd w:val="clear" w:color="auto" w:fill="E0FCF9"/>
          </w:tcPr>
          <w:p>
            <w:pPr>
              <w:spacing w:after="0"/>
              <w:rPr>
                <w:sz w:val="5"/>
                <w:szCs w:val="5"/>
                <w:color w:val="auto"/>
              </w:rPr>
            </w:pPr>
          </w:p>
        </w:tc>
        <w:tc>
          <w:tcPr>
            <w:tcW w:w="120" w:type="dxa"/>
            <w:vAlign w:val="bottom"/>
            <w:shd w:val="clear" w:color="auto" w:fill="E0FCF9"/>
          </w:tcPr>
          <w:p>
            <w:pPr>
              <w:spacing w:after="0"/>
              <w:rPr>
                <w:sz w:val="5"/>
                <w:szCs w:val="5"/>
                <w:color w:val="auto"/>
              </w:rPr>
            </w:pPr>
          </w:p>
        </w:tc>
        <w:tc>
          <w:tcPr>
            <w:tcW w:w="2280" w:type="dxa"/>
            <w:vAlign w:val="bottom"/>
            <w:tcBorders>
              <w:right w:val="single" w:sz="8" w:color="0016FF"/>
            </w:tcBorders>
            <w:vMerge w:val="continue"/>
            <w:shd w:val="clear" w:color="auto" w:fill="E0FCF9"/>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440" w:type="dxa"/>
            <w:vAlign w:val="bottom"/>
            <w:tcBorders>
              <w:left w:val="single" w:sz="8" w:color="0016FF"/>
            </w:tcBorders>
            <w:shd w:val="clear" w:color="auto" w:fill="E0FCF9"/>
          </w:tcPr>
          <w:p>
            <w:pPr>
              <w:ind w:left="260"/>
              <w:spacing w:after="0"/>
              <w:rPr>
                <w:sz w:val="20"/>
                <w:szCs w:val="20"/>
                <w:color w:val="auto"/>
              </w:rPr>
            </w:pPr>
            <w:r>
              <w:rPr>
                <w:rFonts w:ascii="Arial" w:cs="Arial" w:eastAsia="Arial" w:hAnsi="Arial"/>
                <w:sz w:val="18"/>
                <w:szCs w:val="18"/>
                <w:color w:val="auto"/>
              </w:rPr>
              <w:t>2.</w:t>
            </w: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rPr>
              <w:t>Non-binding, advisory vote to approve executive compensation of our named executive officers</w:t>
            </w:r>
          </w:p>
        </w:tc>
        <w:tc>
          <w:tcPr>
            <w:tcW w:w="120" w:type="dxa"/>
            <w:vAlign w:val="bottom"/>
            <w:shd w:val="clear" w:color="auto" w:fill="E0FCF9"/>
          </w:tcPr>
          <w:p>
            <w:pPr>
              <w:spacing w:after="0"/>
              <w:rPr>
                <w:sz w:val="24"/>
                <w:szCs w:val="24"/>
                <w:color w:val="auto"/>
              </w:rPr>
            </w:pPr>
          </w:p>
        </w:tc>
        <w:tc>
          <w:tcPr>
            <w:tcW w:w="2280" w:type="dxa"/>
            <w:vAlign w:val="bottom"/>
            <w:tcBorders>
              <w:right w:val="single" w:sz="8" w:color="0016FF"/>
            </w:tcBorders>
            <w:vMerge w:val="restart"/>
            <w:shd w:val="clear" w:color="auto" w:fill="E0FCF9"/>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68"/>
        </w:trPr>
        <w:tc>
          <w:tcPr>
            <w:tcW w:w="440" w:type="dxa"/>
            <w:vAlign w:val="bottom"/>
            <w:tcBorders>
              <w:left w:val="single" w:sz="8" w:color="0016FF"/>
            </w:tcBorders>
            <w:shd w:val="clear" w:color="auto" w:fill="E0FCF9"/>
          </w:tcPr>
          <w:p>
            <w:pPr>
              <w:spacing w:after="0"/>
              <w:rPr>
                <w:sz w:val="5"/>
                <w:szCs w:val="5"/>
                <w:color w:val="auto"/>
              </w:rPr>
            </w:pPr>
          </w:p>
        </w:tc>
        <w:tc>
          <w:tcPr>
            <w:tcW w:w="8200" w:type="dxa"/>
            <w:vAlign w:val="bottom"/>
            <w:shd w:val="clear" w:color="auto" w:fill="E0FCF9"/>
          </w:tcPr>
          <w:p>
            <w:pPr>
              <w:spacing w:after="0"/>
              <w:rPr>
                <w:sz w:val="5"/>
                <w:szCs w:val="5"/>
                <w:color w:val="auto"/>
              </w:rPr>
            </w:pPr>
          </w:p>
        </w:tc>
        <w:tc>
          <w:tcPr>
            <w:tcW w:w="120" w:type="dxa"/>
            <w:vAlign w:val="bottom"/>
            <w:shd w:val="clear" w:color="auto" w:fill="E0FCF9"/>
          </w:tcPr>
          <w:p>
            <w:pPr>
              <w:spacing w:after="0"/>
              <w:rPr>
                <w:sz w:val="5"/>
                <w:szCs w:val="5"/>
                <w:color w:val="auto"/>
              </w:rPr>
            </w:pPr>
          </w:p>
        </w:tc>
        <w:tc>
          <w:tcPr>
            <w:tcW w:w="2280" w:type="dxa"/>
            <w:vAlign w:val="bottom"/>
            <w:tcBorders>
              <w:right w:val="single" w:sz="8" w:color="0016FF"/>
            </w:tcBorders>
            <w:vMerge w:val="continue"/>
            <w:shd w:val="clear" w:color="auto" w:fill="E0FCF9"/>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440" w:type="dxa"/>
            <w:vAlign w:val="bottom"/>
            <w:tcBorders>
              <w:left w:val="single" w:sz="8" w:color="0016FF"/>
            </w:tcBorders>
            <w:shd w:val="clear" w:color="auto" w:fill="E0FCF9"/>
          </w:tcPr>
          <w:p>
            <w:pPr>
              <w:ind w:left="260"/>
              <w:spacing w:after="0"/>
              <w:rPr>
                <w:sz w:val="20"/>
                <w:szCs w:val="20"/>
                <w:color w:val="auto"/>
              </w:rPr>
            </w:pPr>
            <w:r>
              <w:rPr>
                <w:rFonts w:ascii="Arial" w:cs="Arial" w:eastAsia="Arial" w:hAnsi="Arial"/>
                <w:sz w:val="18"/>
                <w:szCs w:val="18"/>
                <w:color w:val="auto"/>
              </w:rPr>
              <w:t>3.</w:t>
            </w: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rPr>
              <w:t>Approval of the Amended and Restated 2016 Evercore Inc. Stock Incentive Plan</w:t>
            </w:r>
          </w:p>
        </w:tc>
        <w:tc>
          <w:tcPr>
            <w:tcW w:w="120" w:type="dxa"/>
            <w:vAlign w:val="bottom"/>
            <w:shd w:val="clear" w:color="auto" w:fill="E0FCF9"/>
          </w:tcPr>
          <w:p>
            <w:pPr>
              <w:spacing w:after="0"/>
              <w:rPr>
                <w:sz w:val="24"/>
                <w:szCs w:val="24"/>
                <w:color w:val="auto"/>
              </w:rPr>
            </w:pPr>
          </w:p>
        </w:tc>
        <w:tc>
          <w:tcPr>
            <w:tcW w:w="2280" w:type="dxa"/>
            <w:vAlign w:val="bottom"/>
            <w:tcBorders>
              <w:right w:val="single" w:sz="8" w:color="0016FF"/>
            </w:tcBorders>
            <w:vMerge w:val="restart"/>
            <w:shd w:val="clear" w:color="auto" w:fill="E0FCF9"/>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68"/>
        </w:trPr>
        <w:tc>
          <w:tcPr>
            <w:tcW w:w="440" w:type="dxa"/>
            <w:vAlign w:val="bottom"/>
            <w:tcBorders>
              <w:left w:val="single" w:sz="8" w:color="0016FF"/>
            </w:tcBorders>
            <w:shd w:val="clear" w:color="auto" w:fill="E0FCF9"/>
          </w:tcPr>
          <w:p>
            <w:pPr>
              <w:spacing w:after="0"/>
              <w:rPr>
                <w:sz w:val="5"/>
                <w:szCs w:val="5"/>
                <w:color w:val="auto"/>
              </w:rPr>
            </w:pPr>
          </w:p>
        </w:tc>
        <w:tc>
          <w:tcPr>
            <w:tcW w:w="8200" w:type="dxa"/>
            <w:vAlign w:val="bottom"/>
            <w:shd w:val="clear" w:color="auto" w:fill="E0FCF9"/>
          </w:tcPr>
          <w:p>
            <w:pPr>
              <w:spacing w:after="0"/>
              <w:rPr>
                <w:sz w:val="5"/>
                <w:szCs w:val="5"/>
                <w:color w:val="auto"/>
              </w:rPr>
            </w:pPr>
          </w:p>
        </w:tc>
        <w:tc>
          <w:tcPr>
            <w:tcW w:w="120" w:type="dxa"/>
            <w:vAlign w:val="bottom"/>
            <w:shd w:val="clear" w:color="auto" w:fill="E0FCF9"/>
          </w:tcPr>
          <w:p>
            <w:pPr>
              <w:spacing w:after="0"/>
              <w:rPr>
                <w:sz w:val="5"/>
                <w:szCs w:val="5"/>
                <w:color w:val="auto"/>
              </w:rPr>
            </w:pPr>
          </w:p>
        </w:tc>
        <w:tc>
          <w:tcPr>
            <w:tcW w:w="2280" w:type="dxa"/>
            <w:vAlign w:val="bottom"/>
            <w:tcBorders>
              <w:right w:val="single" w:sz="8" w:color="0016FF"/>
            </w:tcBorders>
            <w:vMerge w:val="continue"/>
            <w:shd w:val="clear" w:color="auto" w:fill="E0FCF9"/>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440" w:type="dxa"/>
            <w:vAlign w:val="bottom"/>
            <w:tcBorders>
              <w:left w:val="single" w:sz="8" w:color="0016FF"/>
            </w:tcBorders>
            <w:shd w:val="clear" w:color="auto" w:fill="E0FCF9"/>
          </w:tcPr>
          <w:p>
            <w:pPr>
              <w:ind w:left="260"/>
              <w:spacing w:after="0"/>
              <w:rPr>
                <w:sz w:val="20"/>
                <w:szCs w:val="20"/>
                <w:color w:val="auto"/>
              </w:rPr>
            </w:pPr>
            <w:r>
              <w:rPr>
                <w:rFonts w:ascii="Arial" w:cs="Arial" w:eastAsia="Arial" w:hAnsi="Arial"/>
                <w:sz w:val="18"/>
                <w:szCs w:val="18"/>
                <w:color w:val="auto"/>
              </w:rPr>
              <w:t>4.</w:t>
            </w:r>
          </w:p>
        </w:tc>
        <w:tc>
          <w:tcPr>
            <w:tcW w:w="8200" w:type="dxa"/>
            <w:vAlign w:val="bottom"/>
            <w:shd w:val="clear" w:color="auto" w:fill="E0FCF9"/>
          </w:tcPr>
          <w:p>
            <w:pPr>
              <w:ind w:left="40"/>
              <w:spacing w:after="0"/>
              <w:rPr>
                <w:sz w:val="20"/>
                <w:szCs w:val="20"/>
                <w:color w:val="auto"/>
              </w:rPr>
            </w:pPr>
            <w:r>
              <w:rPr>
                <w:rFonts w:ascii="Arial" w:cs="Arial" w:eastAsia="Arial" w:hAnsi="Arial"/>
                <w:sz w:val="18"/>
                <w:szCs w:val="18"/>
                <w:color w:val="auto"/>
              </w:rPr>
              <w:t>Ratification of Deloitte &amp; Touche LLP as our independent registered public accounting firm for 2020</w:t>
            </w:r>
          </w:p>
        </w:tc>
        <w:tc>
          <w:tcPr>
            <w:tcW w:w="120" w:type="dxa"/>
            <w:vAlign w:val="bottom"/>
            <w:shd w:val="clear" w:color="auto" w:fill="E0FCF9"/>
          </w:tcPr>
          <w:p>
            <w:pPr>
              <w:spacing w:after="0"/>
              <w:rPr>
                <w:sz w:val="24"/>
                <w:szCs w:val="24"/>
                <w:color w:val="auto"/>
              </w:rPr>
            </w:pPr>
          </w:p>
        </w:tc>
        <w:tc>
          <w:tcPr>
            <w:tcW w:w="2280" w:type="dxa"/>
            <w:vAlign w:val="bottom"/>
            <w:tcBorders>
              <w:right w:val="single" w:sz="8" w:color="0016FF"/>
            </w:tcBorders>
            <w:shd w:val="clear" w:color="auto" w:fill="E0FCF9"/>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101"/>
        </w:trPr>
        <w:tc>
          <w:tcPr>
            <w:tcW w:w="440" w:type="dxa"/>
            <w:vAlign w:val="bottom"/>
            <w:tcBorders>
              <w:left w:val="single" w:sz="8" w:color="0016FF"/>
              <w:bottom w:val="single" w:sz="8" w:color="0016FF"/>
            </w:tcBorders>
            <w:shd w:val="clear" w:color="auto" w:fill="E0FCF9"/>
          </w:tcPr>
          <w:p>
            <w:pPr>
              <w:spacing w:after="0"/>
              <w:rPr>
                <w:sz w:val="8"/>
                <w:szCs w:val="8"/>
                <w:color w:val="auto"/>
              </w:rPr>
            </w:pPr>
          </w:p>
        </w:tc>
        <w:tc>
          <w:tcPr>
            <w:tcW w:w="8200" w:type="dxa"/>
            <w:vAlign w:val="bottom"/>
            <w:tcBorders>
              <w:bottom w:val="single" w:sz="8" w:color="0016FF"/>
            </w:tcBorders>
            <w:shd w:val="clear" w:color="auto" w:fill="E0FCF9"/>
          </w:tcPr>
          <w:p>
            <w:pPr>
              <w:spacing w:after="0"/>
              <w:rPr>
                <w:sz w:val="8"/>
                <w:szCs w:val="8"/>
                <w:color w:val="auto"/>
              </w:rPr>
            </w:pPr>
          </w:p>
        </w:tc>
        <w:tc>
          <w:tcPr>
            <w:tcW w:w="120" w:type="dxa"/>
            <w:vAlign w:val="bottom"/>
            <w:tcBorders>
              <w:bottom w:val="single" w:sz="8" w:color="0016FF"/>
            </w:tcBorders>
            <w:shd w:val="clear" w:color="auto" w:fill="E0FCF9"/>
          </w:tcPr>
          <w:p>
            <w:pPr>
              <w:spacing w:after="0"/>
              <w:rPr>
                <w:sz w:val="8"/>
                <w:szCs w:val="8"/>
                <w:color w:val="auto"/>
              </w:rPr>
            </w:pPr>
          </w:p>
        </w:tc>
        <w:tc>
          <w:tcPr>
            <w:tcW w:w="2280" w:type="dxa"/>
            <w:vAlign w:val="bottom"/>
            <w:tcBorders>
              <w:bottom w:val="single" w:sz="8" w:color="0016FF"/>
              <w:right w:val="single" w:sz="8" w:color="0016FF"/>
            </w:tcBorders>
            <w:shd w:val="clear" w:color="auto" w:fill="E0FCF9"/>
          </w:tcPr>
          <w:p>
            <w:pPr>
              <w:spacing w:after="0"/>
              <w:rPr>
                <w:sz w:val="8"/>
                <w:szCs w:val="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right="640" w:firstLine="981"/>
        <w:spacing w:after="0" w:line="311" w:lineRule="auto"/>
        <w:rPr>
          <w:sz w:val="20"/>
          <w:szCs w:val="20"/>
          <w:color w:val="auto"/>
        </w:rPr>
      </w:pPr>
      <w:r>
        <w:rPr>
          <w:rFonts w:ascii="Arial" w:cs="Arial" w:eastAsia="Arial" w:hAnsi="Arial"/>
          <w:sz w:val="16"/>
          <w:szCs w:val="16"/>
          <w:color w:val="auto"/>
        </w:rPr>
        <w:t>We will also act on any other business as may properly come before our Annual Meeting of Stockholders or any adjournments or postponements thereof. Our Board of Directors has fixed the close of business on April 22, 2020 as the record date for the determination of shareholders entitled to notice of and to vote at our Annual Meeting and any adjournments or postponements of that meeting.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40640</wp:posOffset>
            </wp:positionV>
            <wp:extent cx="178308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Jason Klurfeld</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April 24, 2020</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 IS IMPORTANT THAT YOU CAREFULLY READ YOUR PROXY STATEMENT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168910</wp:posOffset>
            </wp:positionV>
            <wp:extent cx="291465" cy="41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 cy="419735"/>
                    </a:xfrm>
                    <a:prstGeom prst="rect">
                      <a:avLst/>
                    </a:prstGeom>
                    <a:noFill/>
                  </pic:spPr>
                </pic:pic>
              </a:graphicData>
            </a:graphic>
          </wp:anchor>
        </w:drawing>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380" w:type="dxa"/>
            <w:vAlign w:val="bottom"/>
            <w:vMerge w:val="restart"/>
            <w:shd w:val="clear" w:color="auto" w:fill="EAEFEF"/>
          </w:tcPr>
          <w:p>
            <w:pPr>
              <w:ind w:left="1220"/>
              <w:spacing w:after="0"/>
              <w:rPr>
                <w:sz w:val="20"/>
                <w:szCs w:val="20"/>
                <w:color w:val="auto"/>
              </w:rPr>
            </w:pPr>
            <w:r>
              <w:rPr>
                <w:rFonts w:ascii="Arial" w:cs="Arial" w:eastAsia="Arial" w:hAnsi="Arial"/>
                <w:sz w:val="13"/>
                <w:szCs w:val="13"/>
                <w:color w:val="auto"/>
              </w:rPr>
              <w:t>VIA THE INTERNET</w:t>
            </w:r>
          </w:p>
        </w:tc>
        <w:tc>
          <w:tcPr>
            <w:tcW w:w="2800" w:type="dxa"/>
            <w:vAlign w:val="bottom"/>
            <w:vMerge w:val="restart"/>
            <w:shd w:val="clear" w:color="auto" w:fill="EAEFEF"/>
          </w:tcPr>
          <w:p>
            <w:pPr>
              <w:ind w:left="620"/>
              <w:spacing w:after="0"/>
              <w:rPr>
                <w:sz w:val="20"/>
                <w:szCs w:val="20"/>
                <w:color w:val="auto"/>
              </w:rPr>
            </w:pPr>
            <w:r>
              <w:rPr>
                <w:rFonts w:ascii="Arial" w:cs="Arial" w:eastAsia="Arial" w:hAnsi="Arial"/>
                <w:sz w:val="13"/>
                <w:szCs w:val="13"/>
                <w:color w:val="auto"/>
              </w:rPr>
              <w:t>BY TELEPHONE</w:t>
            </w:r>
          </w:p>
        </w:tc>
        <w:tc>
          <w:tcPr>
            <w:tcW w:w="2700" w:type="dxa"/>
            <w:vAlign w:val="bottom"/>
            <w:shd w:val="clear" w:color="auto" w:fill="EAEFEF"/>
          </w:tcPr>
          <w:p>
            <w:pPr>
              <w:ind w:left="560"/>
              <w:spacing w:after="0"/>
              <w:rPr>
                <w:sz w:val="20"/>
                <w:szCs w:val="20"/>
                <w:color w:val="auto"/>
              </w:rPr>
            </w:pPr>
            <w:r>
              <w:rPr>
                <w:rFonts w:ascii="Arial" w:cs="Arial" w:eastAsia="Arial" w:hAnsi="Arial"/>
                <w:sz w:val="13"/>
                <w:szCs w:val="13"/>
                <w:color w:val="auto"/>
              </w:rPr>
              <w:t>LIVE WEBCAST</w:t>
            </w:r>
          </w:p>
        </w:tc>
        <w:tc>
          <w:tcPr>
            <w:tcW w:w="2140" w:type="dxa"/>
            <w:vAlign w:val="bottom"/>
            <w:shd w:val="clear" w:color="auto" w:fill="EAEFEF"/>
          </w:tcPr>
          <w:p>
            <w:pPr>
              <w:ind w:left="600"/>
              <w:spacing w:after="0"/>
              <w:rPr>
                <w:sz w:val="20"/>
                <w:szCs w:val="20"/>
                <w:color w:val="auto"/>
              </w:rPr>
            </w:pPr>
            <w:r>
              <w:rPr>
                <w:rFonts w:ascii="Arial" w:cs="Arial" w:eastAsia="Arial" w:hAnsi="Arial"/>
                <w:sz w:val="13"/>
                <w:szCs w:val="13"/>
                <w:color w:val="auto"/>
              </w:rPr>
              <w:t>BY MAIL</w:t>
            </w:r>
          </w:p>
        </w:tc>
        <w:tc>
          <w:tcPr>
            <w:tcW w:w="0" w:type="dxa"/>
            <w:vAlign w:val="bottom"/>
          </w:tcPr>
          <w:p>
            <w:pPr>
              <w:spacing w:after="0"/>
              <w:rPr>
                <w:sz w:val="1"/>
                <w:szCs w:val="1"/>
                <w:color w:val="auto"/>
              </w:rPr>
            </w:pPr>
          </w:p>
        </w:tc>
      </w:tr>
      <w:tr>
        <w:trPr>
          <w:trHeight w:val="68"/>
        </w:trPr>
        <w:tc>
          <w:tcPr>
            <w:tcW w:w="3380" w:type="dxa"/>
            <w:vAlign w:val="bottom"/>
            <w:vMerge w:val="continue"/>
            <w:shd w:val="clear" w:color="auto" w:fill="EAEFEF"/>
          </w:tcPr>
          <w:p>
            <w:pPr>
              <w:spacing w:after="0"/>
              <w:rPr>
                <w:sz w:val="5"/>
                <w:szCs w:val="5"/>
                <w:color w:val="auto"/>
              </w:rPr>
            </w:pPr>
          </w:p>
        </w:tc>
        <w:tc>
          <w:tcPr>
            <w:tcW w:w="2800" w:type="dxa"/>
            <w:vAlign w:val="bottom"/>
            <w:vMerge w:val="continue"/>
            <w:shd w:val="clear" w:color="auto" w:fill="EAEFEF"/>
          </w:tcPr>
          <w:p>
            <w:pPr>
              <w:spacing w:after="0"/>
              <w:rPr>
                <w:sz w:val="5"/>
                <w:szCs w:val="5"/>
                <w:color w:val="auto"/>
              </w:rPr>
            </w:pPr>
          </w:p>
        </w:tc>
        <w:tc>
          <w:tcPr>
            <w:tcW w:w="2700" w:type="dxa"/>
            <w:vAlign w:val="bottom"/>
            <w:vMerge w:val="restart"/>
            <w:shd w:val="clear" w:color="auto" w:fill="EAEFEF"/>
          </w:tcPr>
          <w:p>
            <w:pPr>
              <w:ind w:left="560"/>
              <w:spacing w:after="0" w:line="135" w:lineRule="exact"/>
              <w:rPr>
                <w:sz w:val="20"/>
                <w:szCs w:val="20"/>
                <w:color w:val="auto"/>
              </w:rPr>
            </w:pPr>
            <w:r>
              <w:rPr>
                <w:rFonts w:ascii="Arial" w:cs="Arial" w:eastAsia="Arial" w:hAnsi="Arial"/>
                <w:sz w:val="13"/>
                <w:szCs w:val="13"/>
                <w:color w:val="auto"/>
              </w:rPr>
              <w:t>Participate in the annual</w:t>
            </w:r>
          </w:p>
        </w:tc>
        <w:tc>
          <w:tcPr>
            <w:tcW w:w="2140" w:type="dxa"/>
            <w:vAlign w:val="bottom"/>
            <w:vMerge w:val="restart"/>
            <w:shd w:val="clear" w:color="auto" w:fill="EAEFEF"/>
          </w:tcPr>
          <w:p>
            <w:pPr>
              <w:ind w:left="600"/>
              <w:spacing w:after="0" w:line="135" w:lineRule="exact"/>
              <w:rPr>
                <w:sz w:val="20"/>
                <w:szCs w:val="20"/>
                <w:color w:val="auto"/>
              </w:rPr>
            </w:pPr>
            <w:r>
              <w:rPr>
                <w:rFonts w:ascii="Arial" w:cs="Arial" w:eastAsia="Arial" w:hAnsi="Arial"/>
                <w:sz w:val="13"/>
                <w:szCs w:val="13"/>
                <w:color w:val="auto"/>
              </w:rPr>
              <w:t>Request printed</w:t>
            </w:r>
          </w:p>
        </w:tc>
        <w:tc>
          <w:tcPr>
            <w:tcW w:w="0" w:type="dxa"/>
            <w:vAlign w:val="bottom"/>
          </w:tcPr>
          <w:p>
            <w:pPr>
              <w:spacing w:after="0"/>
              <w:rPr>
                <w:sz w:val="1"/>
                <w:szCs w:val="1"/>
                <w:color w:val="auto"/>
              </w:rPr>
            </w:pPr>
          </w:p>
        </w:tc>
      </w:tr>
      <w:tr>
        <w:trPr>
          <w:trHeight w:val="68"/>
        </w:trPr>
        <w:tc>
          <w:tcPr>
            <w:tcW w:w="3380" w:type="dxa"/>
            <w:vAlign w:val="bottom"/>
            <w:vMerge w:val="restart"/>
            <w:shd w:val="clear" w:color="auto" w:fill="EAEFEF"/>
          </w:tcPr>
          <w:p>
            <w:pPr>
              <w:ind w:left="1220"/>
              <w:spacing w:after="0" w:line="135" w:lineRule="exact"/>
              <w:rPr>
                <w:sz w:val="20"/>
                <w:szCs w:val="20"/>
                <w:color w:val="auto"/>
              </w:rPr>
            </w:pPr>
            <w:r>
              <w:rPr>
                <w:rFonts w:ascii="Arial" w:cs="Arial" w:eastAsia="Arial" w:hAnsi="Arial"/>
                <w:sz w:val="13"/>
                <w:szCs w:val="13"/>
                <w:color w:val="auto"/>
              </w:rPr>
              <w:t>Visit the website listed on your</w:t>
            </w:r>
          </w:p>
        </w:tc>
        <w:tc>
          <w:tcPr>
            <w:tcW w:w="2800" w:type="dxa"/>
            <w:vAlign w:val="bottom"/>
            <w:vMerge w:val="restart"/>
            <w:shd w:val="clear" w:color="auto" w:fill="EAEFEF"/>
          </w:tcPr>
          <w:p>
            <w:pPr>
              <w:ind w:left="620"/>
              <w:spacing w:after="0" w:line="135" w:lineRule="exact"/>
              <w:rPr>
                <w:sz w:val="20"/>
                <w:szCs w:val="20"/>
                <w:color w:val="auto"/>
              </w:rPr>
            </w:pPr>
            <w:r>
              <w:rPr>
                <w:rFonts w:ascii="Arial" w:cs="Arial" w:eastAsia="Arial" w:hAnsi="Arial"/>
                <w:sz w:val="13"/>
                <w:szCs w:val="13"/>
                <w:color w:val="auto"/>
              </w:rPr>
              <w:t>Call the telephone number listed</w:t>
            </w:r>
          </w:p>
        </w:tc>
        <w:tc>
          <w:tcPr>
            <w:tcW w:w="2700" w:type="dxa"/>
            <w:vAlign w:val="bottom"/>
            <w:vMerge w:val="continue"/>
            <w:shd w:val="clear" w:color="auto" w:fill="EAEFEF"/>
          </w:tcPr>
          <w:p>
            <w:pPr>
              <w:spacing w:after="0"/>
              <w:rPr>
                <w:sz w:val="5"/>
                <w:szCs w:val="5"/>
                <w:color w:val="auto"/>
              </w:rPr>
            </w:pPr>
          </w:p>
        </w:tc>
        <w:tc>
          <w:tcPr>
            <w:tcW w:w="2140" w:type="dxa"/>
            <w:vAlign w:val="bottom"/>
            <w:vMerge w:val="continue"/>
            <w:shd w:val="clear" w:color="auto" w:fill="EAEFE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380" w:type="dxa"/>
            <w:vAlign w:val="bottom"/>
            <w:vMerge w:val="continue"/>
            <w:shd w:val="clear" w:color="auto" w:fill="EAEFEF"/>
          </w:tcPr>
          <w:p>
            <w:pPr>
              <w:spacing w:after="0"/>
              <w:rPr>
                <w:sz w:val="5"/>
                <w:szCs w:val="5"/>
                <w:color w:val="auto"/>
              </w:rPr>
            </w:pPr>
          </w:p>
        </w:tc>
        <w:tc>
          <w:tcPr>
            <w:tcW w:w="2800" w:type="dxa"/>
            <w:vAlign w:val="bottom"/>
            <w:vMerge w:val="continue"/>
            <w:shd w:val="clear" w:color="auto" w:fill="EAEFEF"/>
          </w:tcPr>
          <w:p>
            <w:pPr>
              <w:spacing w:after="0"/>
              <w:rPr>
                <w:sz w:val="5"/>
                <w:szCs w:val="5"/>
                <w:color w:val="auto"/>
              </w:rPr>
            </w:pPr>
          </w:p>
        </w:tc>
        <w:tc>
          <w:tcPr>
            <w:tcW w:w="2700" w:type="dxa"/>
            <w:vAlign w:val="bottom"/>
            <w:vMerge w:val="restart"/>
            <w:shd w:val="clear" w:color="auto" w:fill="EAEFEF"/>
          </w:tcPr>
          <w:p>
            <w:pPr>
              <w:ind w:left="560"/>
              <w:spacing w:after="0" w:line="135" w:lineRule="exact"/>
              <w:rPr>
                <w:sz w:val="20"/>
                <w:szCs w:val="20"/>
                <w:color w:val="auto"/>
              </w:rPr>
            </w:pPr>
            <w:r>
              <w:rPr>
                <w:rFonts w:ascii="Arial" w:cs="Arial" w:eastAsia="Arial" w:hAnsi="Arial"/>
                <w:sz w:val="13"/>
                <w:szCs w:val="13"/>
                <w:color w:val="auto"/>
              </w:rPr>
              <w:t>meeting (see page 17 for more</w:t>
            </w:r>
          </w:p>
        </w:tc>
        <w:tc>
          <w:tcPr>
            <w:tcW w:w="2140" w:type="dxa"/>
            <w:vAlign w:val="bottom"/>
            <w:vMerge w:val="restart"/>
            <w:shd w:val="clear" w:color="auto" w:fill="EAEFEF"/>
          </w:tcPr>
          <w:p>
            <w:pPr>
              <w:ind w:left="600"/>
              <w:spacing w:after="0" w:line="135" w:lineRule="exact"/>
              <w:rPr>
                <w:sz w:val="20"/>
                <w:szCs w:val="20"/>
                <w:color w:val="auto"/>
              </w:rPr>
            </w:pPr>
            <w:r>
              <w:rPr>
                <w:rFonts w:ascii="Arial" w:cs="Arial" w:eastAsia="Arial" w:hAnsi="Arial"/>
                <w:sz w:val="13"/>
                <w:szCs w:val="13"/>
                <w:color w:val="auto"/>
                <w:w w:val="91"/>
              </w:rPr>
              <w:t>proxy materials and mail in a</w:t>
            </w:r>
          </w:p>
        </w:tc>
        <w:tc>
          <w:tcPr>
            <w:tcW w:w="0" w:type="dxa"/>
            <w:vAlign w:val="bottom"/>
          </w:tcPr>
          <w:p>
            <w:pPr>
              <w:spacing w:after="0"/>
              <w:rPr>
                <w:sz w:val="1"/>
                <w:szCs w:val="1"/>
                <w:color w:val="auto"/>
              </w:rPr>
            </w:pPr>
          </w:p>
        </w:tc>
      </w:tr>
      <w:tr>
        <w:trPr>
          <w:trHeight w:val="68"/>
        </w:trPr>
        <w:tc>
          <w:tcPr>
            <w:tcW w:w="3380" w:type="dxa"/>
            <w:vAlign w:val="bottom"/>
            <w:vMerge w:val="restart"/>
            <w:shd w:val="clear" w:color="auto" w:fill="EAEFEF"/>
          </w:tcPr>
          <w:p>
            <w:pPr>
              <w:ind w:left="1220"/>
              <w:spacing w:after="0"/>
              <w:rPr>
                <w:sz w:val="20"/>
                <w:szCs w:val="20"/>
                <w:color w:val="auto"/>
              </w:rPr>
            </w:pPr>
            <w:r>
              <w:rPr>
                <w:rFonts w:ascii="Arial" w:cs="Arial" w:eastAsia="Arial" w:hAnsi="Arial"/>
                <w:sz w:val="13"/>
                <w:szCs w:val="13"/>
                <w:color w:val="auto"/>
              </w:rPr>
              <w:t>proxy card or Notice</w:t>
            </w:r>
          </w:p>
        </w:tc>
        <w:tc>
          <w:tcPr>
            <w:tcW w:w="2800" w:type="dxa"/>
            <w:vAlign w:val="bottom"/>
            <w:vMerge w:val="restart"/>
            <w:shd w:val="clear" w:color="auto" w:fill="EAEFEF"/>
          </w:tcPr>
          <w:p>
            <w:pPr>
              <w:ind w:left="620"/>
              <w:spacing w:after="0"/>
              <w:rPr>
                <w:sz w:val="20"/>
                <w:szCs w:val="20"/>
                <w:color w:val="auto"/>
              </w:rPr>
            </w:pPr>
            <w:r>
              <w:rPr>
                <w:rFonts w:ascii="Arial" w:cs="Arial" w:eastAsia="Arial" w:hAnsi="Arial"/>
                <w:sz w:val="13"/>
                <w:szCs w:val="13"/>
                <w:color w:val="auto"/>
              </w:rPr>
              <w:t>on your proxy card</w:t>
            </w:r>
          </w:p>
        </w:tc>
        <w:tc>
          <w:tcPr>
            <w:tcW w:w="2700" w:type="dxa"/>
            <w:vAlign w:val="bottom"/>
            <w:vMerge w:val="continue"/>
            <w:shd w:val="clear" w:color="auto" w:fill="EAEFEF"/>
          </w:tcPr>
          <w:p>
            <w:pPr>
              <w:spacing w:after="0"/>
              <w:rPr>
                <w:sz w:val="5"/>
                <w:szCs w:val="5"/>
                <w:color w:val="auto"/>
              </w:rPr>
            </w:pPr>
          </w:p>
        </w:tc>
        <w:tc>
          <w:tcPr>
            <w:tcW w:w="2140" w:type="dxa"/>
            <w:vAlign w:val="bottom"/>
            <w:vMerge w:val="continue"/>
            <w:shd w:val="clear" w:color="auto" w:fill="EAEFEF"/>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3380" w:type="dxa"/>
            <w:vAlign w:val="bottom"/>
            <w:vMerge w:val="continue"/>
            <w:shd w:val="clear" w:color="auto" w:fill="EAEFEF"/>
          </w:tcPr>
          <w:p>
            <w:pPr>
              <w:spacing w:after="0"/>
              <w:rPr>
                <w:sz w:val="8"/>
                <w:szCs w:val="8"/>
                <w:color w:val="auto"/>
              </w:rPr>
            </w:pPr>
          </w:p>
        </w:tc>
        <w:tc>
          <w:tcPr>
            <w:tcW w:w="2800" w:type="dxa"/>
            <w:vAlign w:val="bottom"/>
            <w:vMerge w:val="continue"/>
            <w:shd w:val="clear" w:color="auto" w:fill="EAEFEF"/>
          </w:tcPr>
          <w:p>
            <w:pPr>
              <w:spacing w:after="0"/>
              <w:rPr>
                <w:sz w:val="8"/>
                <w:szCs w:val="8"/>
                <w:color w:val="auto"/>
              </w:rPr>
            </w:pPr>
          </w:p>
        </w:tc>
        <w:tc>
          <w:tcPr>
            <w:tcW w:w="2700" w:type="dxa"/>
            <w:vAlign w:val="bottom"/>
            <w:vMerge w:val="restart"/>
            <w:shd w:val="clear" w:color="auto" w:fill="EAEFEF"/>
          </w:tcPr>
          <w:p>
            <w:pPr>
              <w:ind w:left="560"/>
              <w:spacing w:after="0"/>
              <w:rPr>
                <w:sz w:val="20"/>
                <w:szCs w:val="20"/>
                <w:color w:val="auto"/>
              </w:rPr>
            </w:pPr>
            <w:r>
              <w:rPr>
                <w:rFonts w:ascii="Arial" w:cs="Arial" w:eastAsia="Arial" w:hAnsi="Arial"/>
                <w:sz w:val="13"/>
                <w:szCs w:val="13"/>
                <w:color w:val="auto"/>
              </w:rPr>
              <w:t>information)</w:t>
            </w:r>
          </w:p>
        </w:tc>
        <w:tc>
          <w:tcPr>
            <w:tcW w:w="2140" w:type="dxa"/>
            <w:vAlign w:val="bottom"/>
            <w:vMerge w:val="restart"/>
            <w:shd w:val="clear" w:color="auto" w:fill="EAEFEF"/>
          </w:tcPr>
          <w:p>
            <w:pPr>
              <w:ind w:left="600"/>
              <w:spacing w:after="0"/>
              <w:rPr>
                <w:sz w:val="20"/>
                <w:szCs w:val="20"/>
                <w:color w:val="auto"/>
              </w:rPr>
            </w:pPr>
            <w:r>
              <w:rPr>
                <w:rFonts w:ascii="Arial" w:cs="Arial" w:eastAsia="Arial" w:hAnsi="Arial"/>
                <w:sz w:val="13"/>
                <w:szCs w:val="13"/>
                <w:color w:val="auto"/>
              </w:rPr>
              <w:t>completed proxy card</w:t>
            </w:r>
          </w:p>
        </w:tc>
        <w:tc>
          <w:tcPr>
            <w:tcW w:w="0" w:type="dxa"/>
            <w:vAlign w:val="bottom"/>
          </w:tcPr>
          <w:p>
            <w:pPr>
              <w:spacing w:after="0"/>
              <w:rPr>
                <w:sz w:val="1"/>
                <w:szCs w:val="1"/>
                <w:color w:val="auto"/>
              </w:rPr>
            </w:pPr>
          </w:p>
        </w:tc>
      </w:tr>
      <w:tr>
        <w:trPr>
          <w:trHeight w:val="68"/>
        </w:trPr>
        <w:tc>
          <w:tcPr>
            <w:tcW w:w="3380" w:type="dxa"/>
            <w:vAlign w:val="bottom"/>
            <w:shd w:val="clear" w:color="auto" w:fill="EAEFEF"/>
          </w:tcPr>
          <w:p>
            <w:pPr>
              <w:spacing w:after="0"/>
              <w:rPr>
                <w:sz w:val="5"/>
                <w:szCs w:val="5"/>
                <w:color w:val="auto"/>
              </w:rPr>
            </w:pPr>
          </w:p>
        </w:tc>
        <w:tc>
          <w:tcPr>
            <w:tcW w:w="2800" w:type="dxa"/>
            <w:vAlign w:val="bottom"/>
            <w:shd w:val="clear" w:color="auto" w:fill="EAEFEF"/>
          </w:tcPr>
          <w:p>
            <w:pPr>
              <w:spacing w:after="0"/>
              <w:rPr>
                <w:sz w:val="5"/>
                <w:szCs w:val="5"/>
                <w:color w:val="auto"/>
              </w:rPr>
            </w:pPr>
          </w:p>
        </w:tc>
        <w:tc>
          <w:tcPr>
            <w:tcW w:w="2700" w:type="dxa"/>
            <w:vAlign w:val="bottom"/>
            <w:vMerge w:val="continue"/>
            <w:shd w:val="clear" w:color="auto" w:fill="EAEFEF"/>
          </w:tcPr>
          <w:p>
            <w:pPr>
              <w:spacing w:after="0"/>
              <w:rPr>
                <w:sz w:val="5"/>
                <w:szCs w:val="5"/>
                <w:color w:val="auto"/>
              </w:rPr>
            </w:pPr>
          </w:p>
        </w:tc>
        <w:tc>
          <w:tcPr>
            <w:tcW w:w="2140" w:type="dxa"/>
            <w:vAlign w:val="bottom"/>
            <w:vMerge w:val="continue"/>
            <w:shd w:val="clear" w:color="auto" w:fill="EAEFEF"/>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3380" w:type="dxa"/>
            <w:vAlign w:val="bottom"/>
            <w:shd w:val="clear" w:color="auto" w:fill="EAEFEF"/>
          </w:tcPr>
          <w:p>
            <w:pPr>
              <w:spacing w:after="0"/>
              <w:rPr>
                <w:sz w:val="4"/>
                <w:szCs w:val="4"/>
                <w:color w:val="auto"/>
              </w:rPr>
            </w:pPr>
          </w:p>
        </w:tc>
        <w:tc>
          <w:tcPr>
            <w:tcW w:w="2800" w:type="dxa"/>
            <w:vAlign w:val="bottom"/>
            <w:shd w:val="clear" w:color="auto" w:fill="EAEFEF"/>
          </w:tcPr>
          <w:p>
            <w:pPr>
              <w:spacing w:after="0"/>
              <w:rPr>
                <w:sz w:val="4"/>
                <w:szCs w:val="4"/>
                <w:color w:val="auto"/>
              </w:rPr>
            </w:pPr>
          </w:p>
        </w:tc>
        <w:tc>
          <w:tcPr>
            <w:tcW w:w="2700" w:type="dxa"/>
            <w:vAlign w:val="bottom"/>
            <w:shd w:val="clear" w:color="auto" w:fill="EAEFEF"/>
          </w:tcPr>
          <w:p>
            <w:pPr>
              <w:spacing w:after="0"/>
              <w:rPr>
                <w:sz w:val="4"/>
                <w:szCs w:val="4"/>
                <w:color w:val="auto"/>
              </w:rPr>
            </w:pPr>
          </w:p>
        </w:tc>
        <w:tc>
          <w:tcPr>
            <w:tcW w:w="2140" w:type="dxa"/>
            <w:vAlign w:val="bottom"/>
            <w:shd w:val="clear" w:color="auto" w:fill="EAEFE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48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4836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-368300</wp:posOffset>
            </wp:positionV>
            <wp:extent cx="38544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5445" cy="31750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-402590</wp:posOffset>
            </wp:positionV>
            <wp:extent cx="32575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 cy="3771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-351155</wp:posOffset>
            </wp:positionV>
            <wp:extent cx="41973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9735" cy="274320"/>
                    </a:xfrm>
                    <a:prstGeom prst="rect">
                      <a:avLst/>
                    </a:prstGeom>
                    <a:noFill/>
                  </pic:spPr>
                </pic:pic>
              </a:graphicData>
            </a:graphic>
          </wp:anchor>
        </w:drawing>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ANNUAL MEETING OF STOCKHOLDERS TO BE HELD ON JUNE 16,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Prior to June 16, 2020, the Notice of Annual Meeting, Proxy Statement, Form of Proxy and</w:t>
      </w:r>
    </w:p>
    <w:p>
      <w:pPr>
        <w:spacing w:after="0" w:line="9" w:lineRule="exact"/>
        <w:rPr>
          <w:sz w:val="20"/>
          <w:szCs w:val="20"/>
          <w:color w:val="auto"/>
        </w:rPr>
      </w:pPr>
    </w:p>
    <w:p>
      <w:pPr>
        <w:jc w:val="center"/>
        <w:ind w:left="420" w:right="600"/>
        <w:spacing w:after="0" w:line="260" w:lineRule="auto"/>
        <w:rPr>
          <w:sz w:val="20"/>
          <w:szCs w:val="20"/>
          <w:color w:val="auto"/>
        </w:rPr>
      </w:pPr>
      <w:r>
        <w:rPr>
          <w:rFonts w:ascii="Arial" w:cs="Arial" w:eastAsia="Arial" w:hAnsi="Arial"/>
          <w:sz w:val="18"/>
          <w:szCs w:val="18"/>
          <w:b w:val="1"/>
          <w:bCs w:val="1"/>
          <w:color w:val="auto"/>
        </w:rPr>
        <w:t>2019 Annual Report to Shareholders will be available electronically at www.proxyvote.com. These materials are also available at www.evercore.com.</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0016FF"/>
        </w:rPr>
        <w:t>LETTER FROM THE CEO AND EXECUTIVE CHAIRMAN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24, 2020</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left="220" w:firstLine="1745"/>
        <w:spacing w:after="0" w:line="277" w:lineRule="auto"/>
        <w:rPr>
          <w:sz w:val="20"/>
          <w:szCs w:val="20"/>
          <w:color w:val="auto"/>
        </w:rPr>
      </w:pPr>
      <w:r>
        <w:rPr>
          <w:rFonts w:ascii="Arial" w:cs="Arial" w:eastAsia="Arial" w:hAnsi="Arial"/>
          <w:sz w:val="18"/>
          <w:szCs w:val="18"/>
          <w:color w:val="auto"/>
        </w:rPr>
        <w:t>On behalf of the Board of Directors, we cordially invite you to our 2020 Annual Meeting of Stockholders to be held online, via live webcast only, on Tuesday, June 16, 2020, at 9:00 a.m., Eastern Time.</w:t>
      </w:r>
    </w:p>
    <w:p>
      <w:pPr>
        <w:spacing w:after="0" w:line="170" w:lineRule="exact"/>
        <w:rPr>
          <w:sz w:val="20"/>
          <w:szCs w:val="20"/>
          <w:color w:val="auto"/>
        </w:rPr>
      </w:pPr>
    </w:p>
    <w:p>
      <w:pPr>
        <w:ind w:left="220" w:right="20" w:firstLine="1745"/>
        <w:spacing w:after="0" w:line="293" w:lineRule="auto"/>
        <w:rPr>
          <w:sz w:val="20"/>
          <w:szCs w:val="20"/>
          <w:color w:val="auto"/>
        </w:rPr>
      </w:pPr>
      <w:r>
        <w:rPr>
          <w:rFonts w:ascii="Arial" w:cs="Arial" w:eastAsia="Arial" w:hAnsi="Arial"/>
          <w:sz w:val="16"/>
          <w:szCs w:val="16"/>
          <w:color w:val="auto"/>
        </w:rPr>
        <w:t>This proxy statement describes Evercore’s accomplishments, practices and governance in 2019. We would be remiss, however, if we did not begin by addressing the current COVID-19 pandemic and the subsequent market volatility that has contributed to a challenging business environment. At Evercore, we embrace challenges and our exceptional team is working to address our current situation with purpose and conviction. Our priorities are simple and grounded in our core values: client focus, integrity, excellence, respect, investment in people and partnership. In response to these unprecedented economic and market events, we continue to operate our business while prioritizing our people, our clients, our shareholders and our communities, and doing our part to help reduce the spread of COVID-19. In the current environment, we have four important objectives:</w:t>
      </w:r>
    </w:p>
    <w:p>
      <w:pPr>
        <w:spacing w:after="0" w:line="70" w:lineRule="exact"/>
        <w:rPr>
          <w:sz w:val="20"/>
          <w:szCs w:val="20"/>
          <w:color w:val="auto"/>
        </w:rPr>
      </w:pPr>
    </w:p>
    <w:p>
      <w:pPr>
        <w:ind w:left="1540" w:hanging="331"/>
        <w:spacing w:after="0"/>
        <w:tabs>
          <w:tab w:leader="none" w:pos="1540" w:val="left"/>
        </w:tabs>
        <w:numPr>
          <w:ilvl w:val="0"/>
          <w:numId w:val="6"/>
        </w:numPr>
        <w:rPr>
          <w:rFonts w:ascii="Arial" w:cs="Arial" w:eastAsia="Arial" w:hAnsi="Arial"/>
          <w:sz w:val="18"/>
          <w:szCs w:val="18"/>
          <w:color w:val="0A26FF"/>
        </w:rPr>
      </w:pPr>
      <w:r>
        <w:rPr>
          <w:rFonts w:ascii="Arial" w:cs="Arial" w:eastAsia="Arial" w:hAnsi="Arial"/>
          <w:sz w:val="18"/>
          <w:szCs w:val="18"/>
          <w:color w:val="auto"/>
        </w:rPr>
        <w:t>Ensuring the health and safety of our workforce and their families</w:t>
      </w:r>
    </w:p>
    <w:p>
      <w:pPr>
        <w:spacing w:after="0" w:line="130" w:lineRule="exact"/>
        <w:rPr>
          <w:rFonts w:ascii="Arial" w:cs="Arial" w:eastAsia="Arial" w:hAnsi="Arial"/>
          <w:sz w:val="18"/>
          <w:szCs w:val="18"/>
          <w:color w:val="0A26FF"/>
        </w:rPr>
      </w:pPr>
    </w:p>
    <w:p>
      <w:pPr>
        <w:ind w:left="1540" w:hanging="331"/>
        <w:spacing w:after="0"/>
        <w:tabs>
          <w:tab w:leader="none" w:pos="1540" w:val="left"/>
        </w:tabs>
        <w:numPr>
          <w:ilvl w:val="0"/>
          <w:numId w:val="6"/>
        </w:numPr>
        <w:rPr>
          <w:rFonts w:ascii="Arial" w:cs="Arial" w:eastAsia="Arial" w:hAnsi="Arial"/>
          <w:sz w:val="18"/>
          <w:szCs w:val="18"/>
          <w:color w:val="0A26FF"/>
        </w:rPr>
      </w:pPr>
      <w:r>
        <w:rPr>
          <w:rFonts w:ascii="Arial" w:cs="Arial" w:eastAsia="Arial" w:hAnsi="Arial"/>
          <w:sz w:val="18"/>
          <w:szCs w:val="18"/>
          <w:color w:val="auto"/>
        </w:rPr>
        <w:t>Pivoting our Advisory and Research businesses to meet the changing needs of our clients</w:t>
      </w:r>
    </w:p>
    <w:p>
      <w:pPr>
        <w:spacing w:after="0" w:line="130" w:lineRule="exact"/>
        <w:rPr>
          <w:rFonts w:ascii="Arial" w:cs="Arial" w:eastAsia="Arial" w:hAnsi="Arial"/>
          <w:sz w:val="18"/>
          <w:szCs w:val="18"/>
          <w:color w:val="0A26FF"/>
        </w:rPr>
      </w:pPr>
    </w:p>
    <w:p>
      <w:pPr>
        <w:ind w:left="1540" w:hanging="331"/>
        <w:spacing w:after="0"/>
        <w:tabs>
          <w:tab w:leader="none" w:pos="1540" w:val="left"/>
        </w:tabs>
        <w:numPr>
          <w:ilvl w:val="0"/>
          <w:numId w:val="6"/>
        </w:numPr>
        <w:rPr>
          <w:rFonts w:ascii="Arial" w:cs="Arial" w:eastAsia="Arial" w:hAnsi="Arial"/>
          <w:sz w:val="18"/>
          <w:szCs w:val="18"/>
          <w:color w:val="0A26FF"/>
        </w:rPr>
      </w:pPr>
      <w:r>
        <w:rPr>
          <w:rFonts w:ascii="Arial" w:cs="Arial" w:eastAsia="Arial" w:hAnsi="Arial"/>
          <w:sz w:val="18"/>
          <w:szCs w:val="18"/>
          <w:color w:val="auto"/>
        </w:rPr>
        <w:t>Sustaining the operations of the Firm with nearly all of our people working from home</w:t>
      </w:r>
    </w:p>
    <w:p>
      <w:pPr>
        <w:spacing w:after="0" w:line="130" w:lineRule="exact"/>
        <w:rPr>
          <w:rFonts w:ascii="Arial" w:cs="Arial" w:eastAsia="Arial" w:hAnsi="Arial"/>
          <w:sz w:val="18"/>
          <w:szCs w:val="18"/>
          <w:color w:val="0A26FF"/>
        </w:rPr>
      </w:pPr>
    </w:p>
    <w:p>
      <w:pPr>
        <w:ind w:left="1540" w:hanging="331"/>
        <w:spacing w:after="0"/>
        <w:tabs>
          <w:tab w:leader="none" w:pos="1540" w:val="left"/>
        </w:tabs>
        <w:numPr>
          <w:ilvl w:val="0"/>
          <w:numId w:val="6"/>
        </w:numPr>
        <w:rPr>
          <w:rFonts w:ascii="Arial" w:cs="Arial" w:eastAsia="Arial" w:hAnsi="Arial"/>
          <w:sz w:val="18"/>
          <w:szCs w:val="18"/>
          <w:color w:val="0A26FF"/>
        </w:rPr>
      </w:pPr>
      <w:r>
        <w:rPr>
          <w:rFonts w:ascii="Arial" w:cs="Arial" w:eastAsia="Arial" w:hAnsi="Arial"/>
          <w:sz w:val="18"/>
          <w:szCs w:val="18"/>
          <w:color w:val="auto"/>
        </w:rPr>
        <w:t>Maintaining our strong and liquid balance sheet</w:t>
      </w:r>
    </w:p>
    <w:p>
      <w:pPr>
        <w:spacing w:after="0" w:line="225" w:lineRule="exact"/>
        <w:rPr>
          <w:sz w:val="20"/>
          <w:szCs w:val="20"/>
          <w:color w:val="auto"/>
        </w:rPr>
      </w:pPr>
    </w:p>
    <w:p>
      <w:pPr>
        <w:ind w:left="220" w:right="360" w:firstLine="1745"/>
        <w:spacing w:after="0" w:line="277" w:lineRule="auto"/>
        <w:rPr>
          <w:sz w:val="20"/>
          <w:szCs w:val="20"/>
          <w:color w:val="auto"/>
        </w:rPr>
      </w:pPr>
      <w:r>
        <w:rPr>
          <w:rFonts w:ascii="Arial" w:cs="Arial" w:eastAsia="Arial" w:hAnsi="Arial"/>
          <w:sz w:val="18"/>
          <w:szCs w:val="18"/>
          <w:color w:val="auto"/>
        </w:rPr>
        <w:t>We want to provide this additional background, but we ask that as you read the material in this proxy statement, you do so recognizing the 2019 context for performance, governance and compensation information.</w:t>
      </w:r>
    </w:p>
    <w:p>
      <w:pPr>
        <w:spacing w:after="0" w:line="170" w:lineRule="exact"/>
        <w:rPr>
          <w:sz w:val="20"/>
          <w:szCs w:val="20"/>
          <w:color w:val="auto"/>
        </w:rPr>
      </w:pPr>
    </w:p>
    <w:p>
      <w:pPr>
        <w:ind w:left="220" w:right="300" w:firstLine="1745"/>
        <w:spacing w:after="0" w:line="259" w:lineRule="auto"/>
        <w:rPr>
          <w:sz w:val="20"/>
          <w:szCs w:val="20"/>
          <w:color w:val="auto"/>
        </w:rPr>
      </w:pPr>
      <w:r>
        <w:rPr>
          <w:rFonts w:ascii="Arial" w:cs="Arial" w:eastAsia="Arial" w:hAnsi="Arial"/>
          <w:sz w:val="18"/>
          <w:szCs w:val="18"/>
          <w:color w:val="auto"/>
        </w:rPr>
        <w:t>Last year was yet another successful year for Evercore, as our reputation and brand remain as strong as ever. In 2019, we delivered net revenues in excess of $2 billion for the second straight year. We also returned $391.6 million to our shareholders during 2019 through dividends and equity repurchases. The interests of our employees and our shareholders are aligned, as our employees owned over 25% of our outstanding shares on a fully diluted basis as of March 31, 2020.</w:t>
      </w:r>
    </w:p>
    <w:p>
      <w:pPr>
        <w:spacing w:after="0" w:line="187" w:lineRule="exact"/>
        <w:rPr>
          <w:sz w:val="20"/>
          <w:szCs w:val="20"/>
          <w:color w:val="auto"/>
        </w:rPr>
      </w:pPr>
    </w:p>
    <w:p>
      <w:pPr>
        <w:ind w:left="220" w:right="140" w:firstLine="1745"/>
        <w:spacing w:after="0" w:line="279" w:lineRule="auto"/>
        <w:rPr>
          <w:sz w:val="20"/>
          <w:szCs w:val="20"/>
          <w:color w:val="auto"/>
        </w:rPr>
      </w:pPr>
      <w:r>
        <w:rPr>
          <w:rFonts w:ascii="Arial" w:cs="Arial" w:eastAsia="Arial" w:hAnsi="Arial"/>
          <w:sz w:val="17"/>
          <w:szCs w:val="17"/>
          <w:color w:val="auto"/>
        </w:rPr>
        <w:t>We were pleased to announce that Pamela Carlton joined the Evercore Board of Directors in 2019. Ms. Carlton has extensive investment banking, financial markets and equity research leadership experience, and she has played a prominent role in advising organizations on inclusive leadership and diversity. She has already made valuable contributions to the Company and we know she will continue to do so moving forward. We are also pleased to report that following her appointment 40% of our independent directors are women.</w:t>
      </w:r>
    </w:p>
    <w:p>
      <w:pPr>
        <w:spacing w:after="0" w:line="171" w:lineRule="exact"/>
        <w:rPr>
          <w:sz w:val="20"/>
          <w:szCs w:val="20"/>
          <w:color w:val="auto"/>
        </w:rPr>
      </w:pPr>
    </w:p>
    <w:p>
      <w:pPr>
        <w:ind w:left="220" w:right="100" w:firstLine="1745"/>
        <w:spacing w:after="0" w:line="254" w:lineRule="auto"/>
        <w:rPr>
          <w:sz w:val="20"/>
          <w:szCs w:val="20"/>
          <w:color w:val="auto"/>
        </w:rPr>
      </w:pPr>
      <w:r>
        <w:rPr>
          <w:rFonts w:ascii="Arial" w:cs="Arial" w:eastAsia="Arial" w:hAnsi="Arial"/>
          <w:sz w:val="18"/>
          <w:szCs w:val="18"/>
          <w:color w:val="auto"/>
        </w:rPr>
        <w:t>We remain committed to and focused on good corporate citizenship. We believe that an integrated approach to business, strategy, corporate governance and corporate responsibility is essential to operating our business and ultimately creates long term value for our shareholders. As a human capital-intensive business, our social impact can most readily be seen in our commitment to our people. We are deeply committed to being one of the top places to work for the most talented professionals in the industry, as well as training, developing and mentoring our people. We believe that diversity of experience and background improves our organizational culture, social construct and performance, and better positions us to serve our clients. As discussed in the proxy statement, we have launched a number of programs focused on maintaining and growing a diverse workplace.</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1745"/>
        <w:spacing w:after="0" w:line="259" w:lineRule="auto"/>
        <w:rPr>
          <w:sz w:val="20"/>
          <w:szCs w:val="20"/>
          <w:color w:val="auto"/>
        </w:rPr>
      </w:pPr>
      <w:r>
        <w:rPr>
          <w:rFonts w:ascii="Arial" w:cs="Arial" w:eastAsia="Arial" w:hAnsi="Arial"/>
          <w:sz w:val="18"/>
          <w:szCs w:val="18"/>
          <w:color w:val="auto"/>
        </w:rPr>
        <w:t>We engage extensively with our shareholders on an ongoing basis and seek feedback regarding our performance, corporate governance and compensation practices and other matters of interest to our shareholders. At this year’s Annual Meeting, you will be asked to vote on several items, including the election of our directors, our 2019 executive compensation program and a limited increase of the number of shares under our equity compensation plan.</w:t>
      </w:r>
    </w:p>
    <w:p>
      <w:pPr>
        <w:spacing w:after="0" w:line="187" w:lineRule="exact"/>
        <w:rPr>
          <w:sz w:val="20"/>
          <w:szCs w:val="20"/>
          <w:color w:val="auto"/>
        </w:rPr>
      </w:pPr>
    </w:p>
    <w:p>
      <w:pPr>
        <w:ind w:left="220" w:right="40" w:firstLine="1745"/>
        <w:spacing w:after="0" w:line="255" w:lineRule="auto"/>
        <w:rPr>
          <w:sz w:val="20"/>
          <w:szCs w:val="20"/>
          <w:color w:val="auto"/>
        </w:rPr>
      </w:pPr>
      <w:r>
        <w:rPr>
          <w:rFonts w:ascii="Arial" w:cs="Arial" w:eastAsia="Arial" w:hAnsi="Arial"/>
          <w:sz w:val="18"/>
          <w:szCs w:val="18"/>
          <w:color w:val="auto"/>
        </w:rPr>
        <w:t>With regard to an increase of the number of shares under our equity plan, it is critical that we have your support on this proposal so we can continue to effectively operate and manage the business and align the interests of our employees and our shareholders. In light of the COVID-19 pandemic and the subsequent market volatility businesses are now facing, these additional shares are even more necessary to provide Evercore with the flexibility to manage the business through this period. We have been prudent with our use of equity in the past and are requesting only the number of shares that we believe will be necessary to manage and grow our business in the current environment over approximately two years.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We appreciate the opportunity to provide you with these details. We encourage you to read the proxy statement carefully for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more information.</w:t>
      </w:r>
    </w:p>
    <w:p>
      <w:pPr>
        <w:spacing w:after="0" w:line="207" w:lineRule="exact"/>
        <w:rPr>
          <w:sz w:val="20"/>
          <w:szCs w:val="20"/>
          <w:color w:val="auto"/>
        </w:rPr>
      </w:pPr>
    </w:p>
    <w:p>
      <w:pPr>
        <w:jc w:val="both"/>
        <w:ind w:left="220" w:right="40" w:firstLine="1745"/>
        <w:spacing w:after="0" w:line="266" w:lineRule="auto"/>
        <w:rPr>
          <w:sz w:val="20"/>
          <w:szCs w:val="20"/>
          <w:color w:val="auto"/>
        </w:rPr>
      </w:pPr>
      <w:r>
        <w:rPr>
          <w:rFonts w:ascii="Arial" w:cs="Arial" w:eastAsia="Arial" w:hAnsi="Arial"/>
          <w:sz w:val="18"/>
          <w:szCs w:val="18"/>
          <w:b w:val="1"/>
          <w:bCs w:val="1"/>
          <w:color w:val="auto"/>
        </w:rPr>
        <w:t>Your vote is important to us</w:t>
      </w:r>
      <w:r>
        <w:rPr>
          <w:rFonts w:ascii="Arial" w:cs="Arial" w:eastAsia="Arial" w:hAnsi="Arial"/>
          <w:sz w:val="18"/>
          <w:szCs w:val="18"/>
          <w:color w:val="auto"/>
        </w:rPr>
        <w:t>, and we hope that you will participate in the Annual Meeting and vote as promptly as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any of the acceptable means described in this proxy statement. Instructions on how to vote begin on page 11. Thank you for your continued support of Evercore.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303530</wp:posOffset>
            </wp:positionV>
            <wp:extent cx="1663065" cy="899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065" cy="8997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354965</wp:posOffset>
            </wp:positionV>
            <wp:extent cx="1500505" cy="84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848360"/>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Ralph Schlosstein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John Weinberg</w:t>
      </w:r>
    </w:p>
    <w:p>
      <w:pPr>
        <w:spacing w:after="0" w:line="200" w:lineRule="exact"/>
        <w:rPr>
          <w:sz w:val="20"/>
          <w:szCs w:val="20"/>
          <w:color w:val="auto"/>
        </w:rPr>
      </w:pPr>
    </w:p>
    <w:p>
      <w:pPr>
        <w:sectPr>
          <w:pgSz w:w="11900" w:h="16838" w:orient="portrait"/>
          <w:cols w:equalWidth="0" w:num="2">
            <w:col w:w="7280" w:space="720"/>
            <w:col w:w="2980"/>
          </w:cols>
          <w:pgMar w:left="320" w:top="459" w:right="599" w:bottom="1440" w:gutter="0" w:footer="0" w:header="0"/>
          <w:type w:val="continuous"/>
        </w:sectPr>
      </w:pPr>
    </w:p>
    <w:p>
      <w:pPr>
        <w:spacing w:after="0" w:line="75" w:lineRule="exact"/>
        <w:rPr>
          <w:sz w:val="20"/>
          <w:szCs w:val="20"/>
          <w:color w:val="auto"/>
        </w:rPr>
      </w:pPr>
    </w:p>
    <w:p>
      <w:pPr>
        <w:ind w:left="156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Chairman</w:t>
      </w:r>
    </w:p>
    <w:p>
      <w:pPr>
        <w:sectPr>
          <w:pgSz w:w="11900" w:h="16838" w:orient="portrait"/>
          <w:cols w:equalWidth="0" w:num="2">
            <w:col w:w="7080" w:space="720"/>
            <w:col w:w="3180"/>
          </w:cols>
          <w:pgMar w:left="320" w:top="459" w:right="5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26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820" w:type="dxa"/>
            <w:vAlign w:val="bottom"/>
          </w:tcPr>
          <w:p>
            <w:pPr>
              <w:spacing w:after="0"/>
              <w:rPr>
                <w:sz w:val="20"/>
                <w:szCs w:val="20"/>
                <w:color w:val="auto"/>
              </w:rPr>
            </w:pPr>
          </w:p>
        </w:tc>
      </w:tr>
      <w:tr>
        <w:trPr>
          <w:trHeight w:val="513"/>
        </w:trPr>
        <w:tc>
          <w:tcPr>
            <w:tcW w:w="102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r>
      <w:tr>
        <w:trPr>
          <w:trHeight w:val="338"/>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PROXY SUMMARY</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GENERAL INFORMATION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PROPOSAL 1—ELECTION OF DIRECTORS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RELATED PERSON TRANSACTIONS AND OTHER INFORMATION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DIRECTOR COMPENSATION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COMPENSATION DISCUSSION &amp; ANALYSIS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COMPENSATION COMMITTEE REPORT</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PROPOSAL 2—NON-BINDING, ADVISORY VOTE ON 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PAY RATIO</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SECURITY OWNERSHIP OF CERTAIN BENEFICIAL OWNERS AND MANAGEMENT</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PROPOSAL 3—APPROVAL OF THE AMENDEDAND RESTATED 2016 EVERCORE INC. STOCK INCENTIVE PLAN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REPORT OF THE AUDIT COMMITTEE</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1">
              <w:r>
                <w:rPr>
                  <w:rFonts w:ascii="Arial" w:cs="Arial" w:eastAsia="Arial" w:hAnsi="Arial"/>
                  <w:sz w:val="18"/>
                  <w:szCs w:val="18"/>
                  <w:b w:val="1"/>
                  <w:bCs w:val="1"/>
                  <w:u w:val="single" w:color="auto"/>
                  <w:color w:val="0000EE"/>
                </w:rPr>
                <w:t>PROPOSAL 4—RATIFICATION OF INDEPENDENT REGISTERED PUBLIC ACCOUNTING FIRM</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SHAREHOLDER PROPOSALS AND NOMINATIONS FOR 2021 ANNUAL MEETING</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HOUSEHOLDING OF ANNUAL MEETING MATERIALS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OTHER MATTERS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3">
              <w:r>
                <w:rPr>
                  <w:rFonts w:ascii="Arial" w:cs="Arial" w:eastAsia="Arial" w:hAnsi="Arial"/>
                  <w:sz w:val="18"/>
                  <w:szCs w:val="18"/>
                  <w:b w:val="1"/>
                  <w:bCs w:val="1"/>
                  <w:u w:val="single" w:color="auto"/>
                  <w:color w:val="0000EE"/>
                </w:rPr>
                <w:t>GLOSSARY OF KEY DEFINED TERMS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ANNEX A: U.S. GAAP RECONCILIATIONS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r>
        <w:trPr>
          <w:trHeight w:val="324"/>
        </w:trPr>
        <w:tc>
          <w:tcPr>
            <w:tcW w:w="10260" w:type="dxa"/>
            <w:vAlign w:val="bottom"/>
          </w:tcPr>
          <w:p>
            <w:pPr>
              <w:ind w:left="120"/>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ANNEX B: AMENDED AND RESTATED 2016 EVERCORE INC. STOCK INCENTIVE PLAN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16FF"/>
        </w:rPr>
        <w:t>PROXY SUMMARY</w:t>
      </w:r>
    </w:p>
    <w:p>
      <w:pPr>
        <w:spacing w:after="0" w:line="219" w:lineRule="exact"/>
        <w:rPr>
          <w:sz w:val="20"/>
          <w:szCs w:val="20"/>
          <w:color w:val="auto"/>
        </w:rPr>
      </w:pPr>
    </w:p>
    <w:p>
      <w:pPr>
        <w:ind w:left="220" w:right="280" w:firstLine="1745"/>
        <w:spacing w:after="0" w:line="263" w:lineRule="auto"/>
        <w:rPr>
          <w:sz w:val="20"/>
          <w:szCs w:val="20"/>
          <w:color w:val="auto"/>
        </w:rPr>
      </w:pPr>
      <w:r>
        <w:rPr>
          <w:rFonts w:ascii="Arial" w:cs="Arial" w:eastAsia="Arial" w:hAnsi="Arial"/>
          <w:sz w:val="18"/>
          <w:szCs w:val="18"/>
          <w:color w:val="auto"/>
        </w:rPr>
        <w:t>This summary highlights certain information and is intended to assist you in reviewing the proposals. You should read the entire Proxy Statement carefully before voting. Your vote is important. Whether or not you plan to participate in the Annual Meeting, we encourage you to vote your shares promptly.</w:t>
      </w:r>
    </w:p>
    <w:p>
      <w:pPr>
        <w:spacing w:after="0" w:line="157" w:lineRule="exact"/>
        <w:rPr>
          <w:sz w:val="20"/>
          <w:szCs w:val="20"/>
          <w:color w:val="auto"/>
        </w:rPr>
      </w:pPr>
    </w:p>
    <w:p>
      <w:pPr>
        <w:ind w:left="220" w:right="60" w:firstLine="1745"/>
        <w:spacing w:after="0" w:line="286" w:lineRule="auto"/>
        <w:rPr>
          <w:sz w:val="20"/>
          <w:szCs w:val="20"/>
          <w:color w:val="auto"/>
        </w:rPr>
      </w:pPr>
      <w:r>
        <w:rPr>
          <w:rFonts w:ascii="Arial" w:cs="Arial" w:eastAsia="Arial" w:hAnsi="Arial"/>
          <w:sz w:val="17"/>
          <w:szCs w:val="17"/>
          <w:color w:val="auto"/>
        </w:rPr>
        <w:t>In this Proxy Statement, unless the context requires otherwise,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Evercore</w:t>
      </w:r>
      <w:r>
        <w:rPr>
          <w:rFonts w:ascii="Arial" w:cs="Arial" w:eastAsia="Arial" w:hAnsi="Arial"/>
          <w:sz w:val="17"/>
          <w:szCs w:val="17"/>
          <w:color w:val="auto"/>
        </w:rPr>
        <w:t>” refers to Evercore Inc. and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or “</w:t>
      </w:r>
      <w:r>
        <w:rPr>
          <w:rFonts w:ascii="Arial" w:cs="Arial" w:eastAsia="Arial" w:hAnsi="Arial"/>
          <w:sz w:val="17"/>
          <w:szCs w:val="17"/>
          <w:i w:val="1"/>
          <w:iCs w:val="1"/>
          <w:color w:val="auto"/>
        </w:rPr>
        <w:t>our</w:t>
      </w:r>
      <w:r>
        <w:rPr>
          <w:rFonts w:ascii="Arial" w:cs="Arial" w:eastAsia="Arial" w:hAnsi="Arial"/>
          <w:sz w:val="17"/>
          <w:szCs w:val="17"/>
          <w:color w:val="auto"/>
        </w:rPr>
        <w:t>” all refer to Evercore and its subsidiaries. For ease of reference, we have included definitions of the abbreviations, capitalized terms and other terms frequently used in this Proxy Statement in the Glossary of Key Defined Terms beginning on page 88.</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960" w:type="dxa"/>
            <w:vAlign w:val="bottom"/>
          </w:tcPr>
          <w:p>
            <w:pPr>
              <w:ind w:left="100"/>
              <w:spacing w:after="0"/>
              <w:rPr>
                <w:sz w:val="20"/>
                <w:szCs w:val="20"/>
                <w:color w:val="auto"/>
              </w:rPr>
            </w:pPr>
            <w:r>
              <w:rPr>
                <w:rFonts w:ascii="Arial" w:cs="Arial" w:eastAsia="Arial" w:hAnsi="Arial"/>
                <w:sz w:val="18"/>
                <w:szCs w:val="18"/>
                <w:b w:val="1"/>
                <w:bCs w:val="1"/>
                <w:color w:val="auto"/>
              </w:rPr>
              <w:t>2020 Annual Meeting Information</w:t>
            </w:r>
          </w:p>
        </w:tc>
        <w:tc>
          <w:tcPr>
            <w:tcW w:w="51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16"/>
        </w:trPr>
        <w:tc>
          <w:tcPr>
            <w:tcW w:w="29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2960" w:type="dxa"/>
            <w:vAlign w:val="bottom"/>
            <w:shd w:val="clear" w:color="auto" w:fill="E0FCF9"/>
          </w:tcPr>
          <w:p>
            <w:pPr>
              <w:ind w:left="80"/>
              <w:spacing w:after="0"/>
              <w:rPr>
                <w:sz w:val="20"/>
                <w:szCs w:val="20"/>
                <w:color w:val="auto"/>
              </w:rPr>
            </w:pPr>
            <w:r>
              <w:rPr>
                <w:rFonts w:ascii="Arial" w:cs="Arial" w:eastAsia="Arial" w:hAnsi="Arial"/>
                <w:sz w:val="18"/>
                <w:szCs w:val="18"/>
                <w:b w:val="1"/>
                <w:bCs w:val="1"/>
                <w:color w:val="0016FF"/>
              </w:rPr>
              <w:t>Date and Time</w:t>
            </w:r>
          </w:p>
        </w:tc>
        <w:tc>
          <w:tcPr>
            <w:tcW w:w="5160" w:type="dxa"/>
            <w:vAlign w:val="bottom"/>
            <w:shd w:val="clear" w:color="auto" w:fill="E0FCF9"/>
          </w:tcPr>
          <w:p>
            <w:pPr>
              <w:ind w:left="220"/>
              <w:spacing w:after="0"/>
              <w:rPr>
                <w:sz w:val="20"/>
                <w:szCs w:val="20"/>
                <w:color w:val="auto"/>
              </w:rPr>
            </w:pPr>
            <w:r>
              <w:rPr>
                <w:rFonts w:ascii="Arial" w:cs="Arial" w:eastAsia="Arial" w:hAnsi="Arial"/>
                <w:sz w:val="18"/>
                <w:szCs w:val="18"/>
                <w:b w:val="1"/>
                <w:bCs w:val="1"/>
                <w:color w:val="0016FF"/>
              </w:rPr>
              <w:t>Place</w:t>
            </w:r>
          </w:p>
        </w:tc>
        <w:tc>
          <w:tcPr>
            <w:tcW w:w="2900" w:type="dxa"/>
            <w:vAlign w:val="bottom"/>
            <w:shd w:val="clear" w:color="auto" w:fill="E0FCF9"/>
          </w:tcPr>
          <w:p>
            <w:pPr>
              <w:ind w:left="220"/>
              <w:spacing w:after="0"/>
              <w:rPr>
                <w:sz w:val="20"/>
                <w:szCs w:val="20"/>
                <w:color w:val="auto"/>
              </w:rPr>
            </w:pPr>
            <w:r>
              <w:rPr>
                <w:rFonts w:ascii="Arial" w:cs="Arial" w:eastAsia="Arial" w:hAnsi="Arial"/>
                <w:sz w:val="18"/>
                <w:szCs w:val="18"/>
                <w:b w:val="1"/>
                <w:bCs w:val="1"/>
                <w:color w:val="0016FF"/>
              </w:rPr>
              <w:t>Record Date</w:t>
            </w:r>
          </w:p>
        </w:tc>
      </w:tr>
      <w:tr>
        <w:trPr>
          <w:trHeight w:val="310"/>
        </w:trPr>
        <w:tc>
          <w:tcPr>
            <w:tcW w:w="2960" w:type="dxa"/>
            <w:vAlign w:val="bottom"/>
          </w:tcPr>
          <w:p>
            <w:pPr>
              <w:ind w:left="80"/>
              <w:spacing w:after="0"/>
              <w:rPr>
                <w:sz w:val="20"/>
                <w:szCs w:val="20"/>
                <w:color w:val="auto"/>
              </w:rPr>
            </w:pPr>
            <w:r>
              <w:rPr>
                <w:rFonts w:ascii="Arial" w:cs="Arial" w:eastAsia="Arial" w:hAnsi="Arial"/>
                <w:sz w:val="18"/>
                <w:szCs w:val="18"/>
                <w:color w:val="auto"/>
              </w:rPr>
              <w:t>9:00 a.m., Eastern Time</w:t>
            </w:r>
          </w:p>
        </w:tc>
        <w:tc>
          <w:tcPr>
            <w:tcW w:w="5160" w:type="dxa"/>
            <w:vAlign w:val="bottom"/>
          </w:tcPr>
          <w:p>
            <w:pPr>
              <w:ind w:left="220"/>
              <w:spacing w:after="0"/>
              <w:rPr>
                <w:sz w:val="20"/>
                <w:szCs w:val="20"/>
                <w:color w:val="auto"/>
              </w:rPr>
            </w:pPr>
            <w:r>
              <w:rPr>
                <w:rFonts w:ascii="Arial" w:cs="Arial" w:eastAsia="Arial" w:hAnsi="Arial"/>
                <w:sz w:val="18"/>
                <w:szCs w:val="18"/>
                <w:color w:val="auto"/>
              </w:rPr>
              <w:t>Online via live webcast at</w:t>
            </w:r>
          </w:p>
        </w:tc>
        <w:tc>
          <w:tcPr>
            <w:tcW w:w="2900" w:type="dxa"/>
            <w:vAlign w:val="bottom"/>
          </w:tcPr>
          <w:p>
            <w:pPr>
              <w:ind w:left="220"/>
              <w:spacing w:after="0"/>
              <w:rPr>
                <w:sz w:val="20"/>
                <w:szCs w:val="20"/>
                <w:color w:val="auto"/>
              </w:rPr>
            </w:pPr>
            <w:r>
              <w:rPr>
                <w:rFonts w:ascii="Arial" w:cs="Arial" w:eastAsia="Arial" w:hAnsi="Arial"/>
                <w:sz w:val="18"/>
                <w:szCs w:val="18"/>
                <w:color w:val="auto"/>
              </w:rPr>
              <w:t>April 22, 2020</w:t>
            </w:r>
          </w:p>
        </w:tc>
      </w:tr>
      <w:tr>
        <w:trPr>
          <w:trHeight w:val="216"/>
        </w:trPr>
        <w:tc>
          <w:tcPr>
            <w:tcW w:w="2960" w:type="dxa"/>
            <w:vAlign w:val="bottom"/>
          </w:tcPr>
          <w:p>
            <w:pPr>
              <w:ind w:left="80"/>
              <w:spacing w:after="0"/>
              <w:rPr>
                <w:sz w:val="20"/>
                <w:szCs w:val="20"/>
                <w:color w:val="auto"/>
              </w:rPr>
            </w:pPr>
            <w:r>
              <w:rPr>
                <w:rFonts w:ascii="Arial" w:cs="Arial" w:eastAsia="Arial" w:hAnsi="Arial"/>
                <w:sz w:val="18"/>
                <w:szCs w:val="18"/>
                <w:color w:val="auto"/>
              </w:rPr>
              <w:t>Tuesday, June 16, 2020</w:t>
            </w:r>
          </w:p>
        </w:tc>
        <w:tc>
          <w:tcPr>
            <w:tcW w:w="5160" w:type="dxa"/>
            <w:vAlign w:val="bottom"/>
          </w:tcPr>
          <w:p>
            <w:pPr>
              <w:ind w:left="220"/>
              <w:spacing w:after="0"/>
              <w:rPr>
                <w:sz w:val="20"/>
                <w:szCs w:val="20"/>
                <w:color w:val="auto"/>
              </w:rPr>
            </w:pPr>
            <w:r>
              <w:rPr>
                <w:rFonts w:ascii="Arial" w:cs="Arial" w:eastAsia="Arial" w:hAnsi="Arial"/>
                <w:sz w:val="18"/>
                <w:szCs w:val="18"/>
                <w:color w:val="auto"/>
                <w:w w:val="96"/>
              </w:rPr>
              <w:t>www.virtualshareholdermeeting.com/EVR2020. There will be no</w:t>
            </w:r>
          </w:p>
        </w:tc>
        <w:tc>
          <w:tcPr>
            <w:tcW w:w="290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physical location for shareholders to attend.</w:t>
            </w:r>
          </w:p>
        </w:tc>
        <w:tc>
          <w:tcPr>
            <w:tcW w:w="2900" w:type="dxa"/>
            <w:vAlign w:val="bottom"/>
          </w:tcPr>
          <w:p>
            <w:pPr>
              <w:spacing w:after="0"/>
              <w:rPr>
                <w:sz w:val="20"/>
                <w:szCs w:val="20"/>
                <w:color w:val="auto"/>
              </w:rPr>
            </w:pPr>
          </w:p>
        </w:tc>
      </w:tr>
    </w:tbl>
    <w:p>
      <w:pPr>
        <w:spacing w:after="0" w:line="310" w:lineRule="exact"/>
        <w:rPr>
          <w:sz w:val="20"/>
          <w:szCs w:val="20"/>
          <w:color w:val="auto"/>
        </w:rPr>
      </w:pPr>
    </w:p>
    <w:p>
      <w:pPr>
        <w:ind w:left="220" w:right="560"/>
        <w:spacing w:after="0" w:line="286" w:lineRule="auto"/>
        <w:rPr>
          <w:sz w:val="20"/>
          <w:szCs w:val="20"/>
          <w:color w:val="auto"/>
        </w:rPr>
      </w:pPr>
      <w:r>
        <w:rPr>
          <w:rFonts w:ascii="Arial" w:cs="Arial" w:eastAsia="Arial" w:hAnsi="Arial"/>
          <w:sz w:val="17"/>
          <w:szCs w:val="17"/>
          <w:color w:val="auto"/>
        </w:rPr>
        <w:t>Additional information about our Annual Meeting, including details about how to participate in our Annual Meeting online and how to submit questions and cast your votes, is provided under “</w:t>
      </w:r>
      <w:r>
        <w:rPr>
          <w:rFonts w:ascii="Arial" w:cs="Arial" w:eastAsia="Arial" w:hAnsi="Arial"/>
          <w:sz w:val="17"/>
          <w:szCs w:val="17"/>
          <w:b w:val="1"/>
          <w:bCs w:val="1"/>
          <w:color w:val="auto"/>
        </w:rPr>
        <w:t>to adopt a virtual format for the Annual Meeting?”</w:t>
      </w:r>
      <w:r>
        <w:rPr>
          <w:rFonts w:ascii="Arial" w:cs="Arial" w:eastAsia="Arial" w:hAnsi="Arial"/>
          <w:sz w:val="17"/>
          <w:szCs w:val="17"/>
          <w:color w:val="auto"/>
        </w:rPr>
        <w:t xml:space="preserve"> on page 17 of the Proxy Statement and “</w:t>
      </w:r>
      <w:r>
        <w:rPr>
          <w:rFonts w:ascii="Arial" w:cs="Arial" w:eastAsia="Arial" w:hAnsi="Arial"/>
          <w:sz w:val="17"/>
          <w:szCs w:val="17"/>
          <w:b w:val="1"/>
          <w:bCs w:val="1"/>
          <w:color w:val="auto"/>
        </w:rPr>
        <w:t>What do I need to do if I want to participate in the virtual Annual Meeting?</w:t>
      </w:r>
      <w:r>
        <w:rPr>
          <w:rFonts w:ascii="Arial" w:cs="Arial" w:eastAsia="Arial" w:hAnsi="Arial"/>
          <w:sz w:val="17"/>
          <w:szCs w:val="17"/>
          <w:color w:val="auto"/>
        </w:rPr>
        <w:t>” on page 17 of the Proxy Statement.</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Matters to be Voted on at our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154305</wp:posOffset>
            </wp:positionV>
            <wp:extent cx="7012305" cy="2366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2305" cy="2366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FFFFFF"/>
        </w:rPr>
        <w:t>Agenda and Board Recommendations</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shd w:val="clear" w:color="auto" w:fill="E0FCF9"/>
          </w:tcPr>
          <w:p>
            <w:pPr>
              <w:spacing w:after="0"/>
              <w:rPr>
                <w:sz w:val="14"/>
                <w:szCs w:val="14"/>
                <w:color w:val="auto"/>
              </w:rPr>
            </w:pPr>
          </w:p>
        </w:tc>
        <w:tc>
          <w:tcPr>
            <w:tcW w:w="5580" w:type="dxa"/>
            <w:vAlign w:val="bottom"/>
            <w:gridSpan w:val="10"/>
            <w:vMerge w:val="restart"/>
            <w:shd w:val="clear" w:color="auto" w:fill="E0FCF9"/>
          </w:tcPr>
          <w:p>
            <w:pPr>
              <w:ind w:left="100"/>
              <w:spacing w:after="0"/>
              <w:rPr>
                <w:sz w:val="20"/>
                <w:szCs w:val="20"/>
                <w:color w:val="auto"/>
              </w:rPr>
            </w:pPr>
            <w:r>
              <w:rPr>
                <w:rFonts w:ascii="Arial" w:cs="Arial" w:eastAsia="Arial" w:hAnsi="Arial"/>
                <w:sz w:val="14"/>
                <w:szCs w:val="14"/>
                <w:b w:val="1"/>
                <w:bCs w:val="1"/>
                <w:color w:val="auto"/>
              </w:rPr>
              <w:t>Proposal</w:t>
            </w:r>
          </w:p>
        </w:tc>
        <w:tc>
          <w:tcPr>
            <w:tcW w:w="120" w:type="dxa"/>
            <w:vAlign w:val="bottom"/>
            <w:shd w:val="clear" w:color="auto" w:fill="E0FCF9"/>
          </w:tcPr>
          <w:p>
            <w:pPr>
              <w:spacing w:after="0"/>
              <w:rPr>
                <w:sz w:val="14"/>
                <w:szCs w:val="14"/>
                <w:color w:val="auto"/>
              </w:rPr>
            </w:pPr>
          </w:p>
        </w:tc>
        <w:tc>
          <w:tcPr>
            <w:tcW w:w="2520" w:type="dxa"/>
            <w:vAlign w:val="bottom"/>
            <w:shd w:val="clear" w:color="auto" w:fill="E0FCF9"/>
          </w:tcPr>
          <w:p>
            <w:pPr>
              <w:jc w:val="center"/>
              <w:spacing w:after="0"/>
              <w:rPr>
                <w:sz w:val="20"/>
                <w:szCs w:val="20"/>
                <w:color w:val="auto"/>
              </w:rPr>
            </w:pPr>
            <w:r>
              <w:rPr>
                <w:rFonts w:ascii="Arial" w:cs="Arial" w:eastAsia="Arial" w:hAnsi="Arial"/>
                <w:sz w:val="14"/>
                <w:szCs w:val="14"/>
                <w:b w:val="1"/>
                <w:bCs w:val="1"/>
                <w:color w:val="auto"/>
                <w:w w:val="93"/>
              </w:rPr>
              <w:t>Board Voting</w:t>
            </w:r>
          </w:p>
        </w:tc>
        <w:tc>
          <w:tcPr>
            <w:tcW w:w="100" w:type="dxa"/>
            <w:vAlign w:val="bottom"/>
            <w:shd w:val="clear" w:color="auto" w:fill="E0FCF9"/>
          </w:tcPr>
          <w:p>
            <w:pPr>
              <w:spacing w:after="0"/>
              <w:rPr>
                <w:sz w:val="14"/>
                <w:szCs w:val="14"/>
                <w:color w:val="auto"/>
              </w:rPr>
            </w:pPr>
          </w:p>
        </w:tc>
        <w:tc>
          <w:tcPr>
            <w:tcW w:w="2540" w:type="dxa"/>
            <w:vAlign w:val="bottom"/>
            <w:gridSpan w:val="2"/>
            <w:shd w:val="clear" w:color="auto" w:fill="E0FCF9"/>
          </w:tcPr>
          <w:p>
            <w:pPr>
              <w:jc w:val="center"/>
              <w:ind w:right="40"/>
              <w:spacing w:after="0"/>
              <w:rPr>
                <w:sz w:val="20"/>
                <w:szCs w:val="20"/>
                <w:color w:val="auto"/>
              </w:rPr>
            </w:pPr>
            <w:r>
              <w:rPr>
                <w:rFonts w:ascii="Arial" w:cs="Arial" w:eastAsia="Arial" w:hAnsi="Arial"/>
                <w:sz w:val="14"/>
                <w:szCs w:val="14"/>
                <w:b w:val="1"/>
                <w:bCs w:val="1"/>
                <w:color w:val="auto"/>
                <w:w w:val="89"/>
              </w:rPr>
              <w:t>Page Reference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 w:type="dxa"/>
            <w:vAlign w:val="bottom"/>
            <w:shd w:val="clear" w:color="auto" w:fill="E0FCF9"/>
          </w:tcPr>
          <w:p>
            <w:pPr>
              <w:spacing w:after="0"/>
              <w:rPr>
                <w:sz w:val="16"/>
                <w:szCs w:val="16"/>
                <w:color w:val="auto"/>
              </w:rPr>
            </w:pPr>
          </w:p>
        </w:tc>
        <w:tc>
          <w:tcPr>
            <w:tcW w:w="5580" w:type="dxa"/>
            <w:vAlign w:val="bottom"/>
            <w:gridSpan w:val="10"/>
            <w:vMerge w:val="continue"/>
            <w:shd w:val="clear" w:color="auto" w:fill="E0FCF9"/>
          </w:tcPr>
          <w:p>
            <w:pPr>
              <w:spacing w:after="0"/>
              <w:rPr>
                <w:sz w:val="16"/>
                <w:szCs w:val="16"/>
                <w:color w:val="auto"/>
              </w:rPr>
            </w:pPr>
          </w:p>
        </w:tc>
        <w:tc>
          <w:tcPr>
            <w:tcW w:w="120" w:type="dxa"/>
            <w:vAlign w:val="bottom"/>
            <w:shd w:val="clear" w:color="auto" w:fill="E0FCF9"/>
          </w:tcPr>
          <w:p>
            <w:pPr>
              <w:spacing w:after="0"/>
              <w:rPr>
                <w:sz w:val="16"/>
                <w:szCs w:val="16"/>
                <w:color w:val="auto"/>
              </w:rPr>
            </w:pPr>
          </w:p>
        </w:tc>
        <w:tc>
          <w:tcPr>
            <w:tcW w:w="2520" w:type="dxa"/>
            <w:vAlign w:val="bottom"/>
            <w:shd w:val="clear" w:color="auto" w:fill="E0FCF9"/>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100" w:type="dxa"/>
            <w:vAlign w:val="bottom"/>
            <w:shd w:val="clear" w:color="auto" w:fill="E0FCF9"/>
          </w:tcPr>
          <w:p>
            <w:pPr>
              <w:spacing w:after="0"/>
              <w:rPr>
                <w:sz w:val="16"/>
                <w:szCs w:val="16"/>
                <w:color w:val="auto"/>
              </w:rPr>
            </w:pPr>
          </w:p>
        </w:tc>
        <w:tc>
          <w:tcPr>
            <w:tcW w:w="2540" w:type="dxa"/>
            <w:vAlign w:val="bottom"/>
            <w:gridSpan w:val="2"/>
            <w:shd w:val="clear" w:color="auto" w:fill="E0FCF9"/>
          </w:tcPr>
          <w:p>
            <w:pPr>
              <w:jc w:val="center"/>
              <w:ind w:right="40"/>
              <w:spacing w:after="0"/>
              <w:rPr>
                <w:sz w:val="20"/>
                <w:szCs w:val="20"/>
                <w:color w:val="auto"/>
              </w:rPr>
            </w:pPr>
            <w:r>
              <w:rPr>
                <w:rFonts w:ascii="Arial" w:cs="Arial" w:eastAsia="Arial" w:hAnsi="Arial"/>
                <w:sz w:val="14"/>
                <w:szCs w:val="14"/>
                <w:b w:val="1"/>
                <w:bCs w:val="1"/>
                <w:color w:val="auto"/>
                <w:w w:val="95"/>
              </w:rPr>
              <w:t>(for more detail)</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top w:val="single" w:sz="8" w:color="auto"/>
            </w:tcBorders>
            <w:shd w:val="clear" w:color="auto" w:fill="E0FCF9"/>
          </w:tcPr>
          <w:p>
            <w:pPr>
              <w:spacing w:after="0"/>
              <w:rPr>
                <w:sz w:val="21"/>
                <w:szCs w:val="21"/>
                <w:color w:val="auto"/>
              </w:rPr>
            </w:pPr>
          </w:p>
        </w:tc>
        <w:tc>
          <w:tcPr>
            <w:tcW w:w="5580" w:type="dxa"/>
            <w:vAlign w:val="bottom"/>
            <w:tcBorders>
              <w:top w:val="single" w:sz="8" w:color="auto"/>
            </w:tcBorders>
            <w:gridSpan w:val="10"/>
            <w:shd w:val="clear" w:color="auto" w:fill="E0FCF9"/>
          </w:tcPr>
          <w:p>
            <w:pPr>
              <w:ind w:left="120"/>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1. Election of the 13 nominees named in this proxy statement to serve on</w:t>
              </w:r>
            </w:hyperlink>
          </w:p>
        </w:tc>
        <w:tc>
          <w:tcPr>
            <w:tcW w:w="120" w:type="dxa"/>
            <w:vAlign w:val="bottom"/>
            <w:tcBorders>
              <w:top w:val="single" w:sz="8" w:color="E0FCF9"/>
            </w:tcBorders>
            <w:shd w:val="clear" w:color="auto" w:fill="E0FCF9"/>
          </w:tcPr>
          <w:p>
            <w:pPr>
              <w:spacing w:after="0"/>
              <w:rPr>
                <w:sz w:val="21"/>
                <w:szCs w:val="21"/>
                <w:color w:val="auto"/>
              </w:rPr>
            </w:pPr>
          </w:p>
        </w:tc>
        <w:tc>
          <w:tcPr>
            <w:tcW w:w="2520" w:type="dxa"/>
            <w:vAlign w:val="bottom"/>
            <w:tcBorders>
              <w:top w:val="single" w:sz="8" w:color="auto"/>
            </w:tcBorders>
            <w:vMerge w:val="restart"/>
            <w:shd w:val="clear" w:color="auto" w:fill="E0FCF9"/>
          </w:tcPr>
          <w:p>
            <w:pPr>
              <w:jc w:val="center"/>
              <w:spacing w:after="0"/>
              <w:rPr>
                <w:sz w:val="20"/>
                <w:szCs w:val="20"/>
                <w:color w:val="auto"/>
              </w:rPr>
            </w:pPr>
            <w:r>
              <w:rPr>
                <w:rFonts w:ascii="Arial" w:cs="Arial" w:eastAsia="Arial" w:hAnsi="Arial"/>
                <w:sz w:val="18"/>
                <w:szCs w:val="18"/>
                <w:b w:val="1"/>
                <w:bCs w:val="1"/>
                <w:color w:val="auto"/>
                <w:w w:val="90"/>
              </w:rPr>
              <w:t xml:space="preserve">FOR </w:t>
            </w:r>
            <w:r>
              <w:rPr>
                <w:rFonts w:ascii="Arial" w:cs="Arial" w:eastAsia="Arial" w:hAnsi="Arial"/>
                <w:sz w:val="18"/>
                <w:szCs w:val="18"/>
                <w:color w:val="auto"/>
                <w:w w:val="90"/>
              </w:rPr>
              <w:t>each nominee</w:t>
            </w:r>
          </w:p>
        </w:tc>
        <w:tc>
          <w:tcPr>
            <w:tcW w:w="100" w:type="dxa"/>
            <w:vAlign w:val="bottom"/>
            <w:tcBorders>
              <w:top w:val="single" w:sz="8" w:color="E0FCF9"/>
            </w:tcBorders>
            <w:shd w:val="clear" w:color="auto" w:fill="E0FCF9"/>
          </w:tcPr>
          <w:p>
            <w:pPr>
              <w:spacing w:after="0"/>
              <w:rPr>
                <w:sz w:val="21"/>
                <w:szCs w:val="21"/>
                <w:color w:val="auto"/>
              </w:rPr>
            </w:pPr>
          </w:p>
        </w:tc>
        <w:tc>
          <w:tcPr>
            <w:tcW w:w="2520" w:type="dxa"/>
            <w:vAlign w:val="bottom"/>
            <w:tcBorders>
              <w:top w:val="single" w:sz="8" w:color="auto"/>
            </w:tcBorders>
            <w:shd w:val="clear" w:color="auto" w:fill="E0FCF9"/>
          </w:tcPr>
          <w:p>
            <w:pPr>
              <w:spacing w:after="0"/>
              <w:rPr>
                <w:sz w:val="21"/>
                <w:szCs w:val="21"/>
                <w:color w:val="auto"/>
              </w:rPr>
            </w:pPr>
          </w:p>
        </w:tc>
        <w:tc>
          <w:tcPr>
            <w:tcW w:w="20" w:type="dxa"/>
            <w:vAlign w:val="bottom"/>
            <w:tcBorders>
              <w:top w:val="single" w:sz="8" w:color="E0FCF9"/>
            </w:tcBorders>
            <w:shd w:val="clear" w:color="auto" w:fill="E0FCF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E0FCF9"/>
              <w:bottom w:val="single" w:sz="8" w:color="E0FCF9"/>
            </w:tcBorders>
            <w:shd w:val="clear" w:color="auto" w:fill="E0FCF9"/>
          </w:tcPr>
          <w:p>
            <w:pPr>
              <w:spacing w:after="0"/>
              <w:rPr>
                <w:sz w:val="17"/>
                <w:szCs w:val="17"/>
                <w:color w:val="auto"/>
              </w:rPr>
            </w:pPr>
          </w:p>
        </w:tc>
        <w:tc>
          <w:tcPr>
            <w:tcW w:w="240" w:type="dxa"/>
            <w:vAlign w:val="bottom"/>
            <w:tcBorders>
              <w:top w:val="single" w:sz="8" w:color="0000EE"/>
              <w:bottom w:val="single" w:sz="8" w:color="E0FCF9"/>
            </w:tcBorders>
            <w:shd w:val="clear" w:color="auto" w:fill="E0FCF9"/>
          </w:tcPr>
          <w:p>
            <w:pPr>
              <w:spacing w:after="0"/>
              <w:rPr>
                <w:sz w:val="17"/>
                <w:szCs w:val="17"/>
                <w:color w:val="auto"/>
              </w:rPr>
            </w:pPr>
          </w:p>
        </w:tc>
        <w:tc>
          <w:tcPr>
            <w:tcW w:w="3840" w:type="dxa"/>
            <w:vAlign w:val="bottom"/>
            <w:tcBorders>
              <w:top w:val="single" w:sz="8" w:color="0000EE"/>
              <w:bottom w:val="single" w:sz="8" w:color="0000EE"/>
            </w:tcBorders>
            <w:gridSpan w:val="4"/>
            <w:shd w:val="clear" w:color="auto" w:fill="E0FCF9"/>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our Board of Directors until the 2021 annual meeting</w:t>
              </w:r>
            </w:hyperlink>
          </w:p>
        </w:tc>
        <w:tc>
          <w:tcPr>
            <w:tcW w:w="1260" w:type="dxa"/>
            <w:vAlign w:val="bottom"/>
            <w:tcBorders>
              <w:top w:val="single" w:sz="8" w:color="0000EE"/>
              <w:bottom w:val="single" w:sz="8" w:color="E0FCF9"/>
            </w:tcBorders>
            <w:gridSpan w:val="4"/>
            <w:shd w:val="clear" w:color="auto" w:fill="E0FCF9"/>
          </w:tcPr>
          <w:p>
            <w:pPr>
              <w:spacing w:after="0"/>
              <w:rPr>
                <w:sz w:val="17"/>
                <w:szCs w:val="17"/>
                <w:color w:val="auto"/>
              </w:rPr>
            </w:pPr>
          </w:p>
        </w:tc>
        <w:tc>
          <w:tcPr>
            <w:tcW w:w="240" w:type="dxa"/>
            <w:vAlign w:val="bottom"/>
            <w:tcBorders>
              <w:top w:val="single" w:sz="8" w:color="E0FCF9"/>
              <w:bottom w:val="single" w:sz="8" w:color="E0FCF9"/>
            </w:tcBorders>
            <w:shd w:val="clear" w:color="auto" w:fill="E0FCF9"/>
          </w:tcPr>
          <w:p>
            <w:pPr>
              <w:spacing w:after="0"/>
              <w:rPr>
                <w:sz w:val="17"/>
                <w:szCs w:val="17"/>
                <w:color w:val="auto"/>
              </w:rPr>
            </w:pPr>
          </w:p>
        </w:tc>
        <w:tc>
          <w:tcPr>
            <w:tcW w:w="120" w:type="dxa"/>
            <w:vAlign w:val="bottom"/>
            <w:tcBorders>
              <w:top w:val="single" w:sz="8" w:color="E0FCF9"/>
              <w:bottom w:val="single" w:sz="8" w:color="E0FCF9"/>
            </w:tcBorders>
            <w:shd w:val="clear" w:color="auto" w:fill="E0FCF9"/>
          </w:tcPr>
          <w:p>
            <w:pPr>
              <w:spacing w:after="0"/>
              <w:rPr>
                <w:sz w:val="17"/>
                <w:szCs w:val="17"/>
                <w:color w:val="auto"/>
              </w:rPr>
            </w:pPr>
          </w:p>
        </w:tc>
        <w:tc>
          <w:tcPr>
            <w:tcW w:w="2520" w:type="dxa"/>
            <w:vAlign w:val="bottom"/>
            <w:tcBorders>
              <w:top w:val="single" w:sz="8" w:color="auto"/>
              <w:bottom w:val="single" w:sz="8" w:color="E0FCF9"/>
            </w:tcBorders>
            <w:vMerge w:val="continue"/>
            <w:shd w:val="clear" w:color="auto" w:fill="E0FCF9"/>
          </w:tcPr>
          <w:p>
            <w:pPr>
              <w:spacing w:after="0"/>
              <w:rPr>
                <w:sz w:val="17"/>
                <w:szCs w:val="17"/>
                <w:color w:val="auto"/>
              </w:rPr>
            </w:pPr>
          </w:p>
        </w:tc>
        <w:tc>
          <w:tcPr>
            <w:tcW w:w="2620" w:type="dxa"/>
            <w:vAlign w:val="bottom"/>
            <w:tcBorders>
              <w:top w:val="single" w:sz="8" w:color="E0FCF9"/>
              <w:bottom w:val="single" w:sz="8" w:color="E0FCF9"/>
            </w:tcBorders>
            <w:gridSpan w:val="2"/>
            <w:shd w:val="clear" w:color="auto" w:fill="E0FCF9"/>
          </w:tcPr>
          <w:p>
            <w:pPr>
              <w:jc w:val="center"/>
              <w:spacing w:after="0" w:line="196" w:lineRule="exact"/>
              <w:rPr>
                <w:sz w:val="20"/>
                <w:szCs w:val="20"/>
                <w:color w:val="auto"/>
              </w:rPr>
            </w:pPr>
            <w:r>
              <w:rPr>
                <w:rFonts w:ascii="Arial" w:cs="Arial" w:eastAsia="Arial" w:hAnsi="Arial"/>
                <w:sz w:val="18"/>
                <w:szCs w:val="18"/>
                <w:color w:val="auto"/>
                <w:w w:val="89"/>
              </w:rPr>
              <w:t>19</w:t>
            </w:r>
          </w:p>
        </w:tc>
        <w:tc>
          <w:tcPr>
            <w:tcW w:w="20" w:type="dxa"/>
            <w:vAlign w:val="bottom"/>
            <w:tcBorders>
              <w:top w:val="single" w:sz="8" w:color="E0FCF9"/>
              <w:bottom w:val="single" w:sz="8" w:color="E0FCF9"/>
            </w:tcBorders>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60" w:type="dxa"/>
            <w:vAlign w:val="bottom"/>
            <w:shd w:val="clear" w:color="auto" w:fill="E0FCF9"/>
          </w:tcPr>
          <w:p>
            <w:pPr>
              <w:spacing w:after="0"/>
              <w:rPr>
                <w:sz w:val="24"/>
                <w:szCs w:val="24"/>
                <w:color w:val="auto"/>
              </w:rPr>
            </w:pPr>
          </w:p>
        </w:tc>
        <w:tc>
          <w:tcPr>
            <w:tcW w:w="5580" w:type="dxa"/>
            <w:vAlign w:val="bottom"/>
            <w:gridSpan w:val="10"/>
            <w:shd w:val="clear" w:color="auto" w:fill="E0FCF9"/>
          </w:tcPr>
          <w:p>
            <w:pPr>
              <w:ind w:left="80"/>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2. Non-binding, advisory vote to approve executive compensation of our</w:t>
              </w:r>
            </w:hyperlink>
          </w:p>
        </w:tc>
        <w:tc>
          <w:tcPr>
            <w:tcW w:w="120" w:type="dxa"/>
            <w:vAlign w:val="bottom"/>
            <w:shd w:val="clear" w:color="auto" w:fill="E0FCF9"/>
          </w:tcPr>
          <w:p>
            <w:pPr>
              <w:spacing w:after="0"/>
              <w:rPr>
                <w:sz w:val="24"/>
                <w:szCs w:val="24"/>
                <w:color w:val="auto"/>
              </w:rPr>
            </w:pPr>
          </w:p>
        </w:tc>
        <w:tc>
          <w:tcPr>
            <w:tcW w:w="2520" w:type="dxa"/>
            <w:vAlign w:val="bottom"/>
            <w:vMerge w:val="restart"/>
            <w:shd w:val="clear" w:color="auto" w:fill="E0FCF9"/>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shd w:val="clear" w:color="auto" w:fill="E0FCF9"/>
          </w:tcPr>
          <w:p>
            <w:pPr>
              <w:spacing w:after="0"/>
              <w:rPr>
                <w:sz w:val="24"/>
                <w:szCs w:val="24"/>
                <w:color w:val="auto"/>
              </w:rPr>
            </w:pPr>
          </w:p>
        </w:tc>
        <w:tc>
          <w:tcPr>
            <w:tcW w:w="2520" w:type="dxa"/>
            <w:vAlign w:val="bottom"/>
            <w:shd w:val="clear" w:color="auto" w:fill="E0FCF9"/>
          </w:tcPr>
          <w:p>
            <w:pPr>
              <w:spacing w:after="0"/>
              <w:rPr>
                <w:sz w:val="24"/>
                <w:szCs w:val="24"/>
                <w:color w:val="auto"/>
              </w:rPr>
            </w:pPr>
          </w:p>
        </w:tc>
        <w:tc>
          <w:tcPr>
            <w:tcW w:w="20" w:type="dxa"/>
            <w:vAlign w:val="bottom"/>
            <w:shd w:val="clear" w:color="auto" w:fill="E0FC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E0FCF9"/>
              <w:bottom w:val="single" w:sz="8" w:color="E0FCF9"/>
            </w:tcBorders>
            <w:shd w:val="clear" w:color="auto" w:fill="E0FCF9"/>
          </w:tcPr>
          <w:p>
            <w:pPr>
              <w:spacing w:after="0"/>
              <w:rPr>
                <w:sz w:val="17"/>
                <w:szCs w:val="17"/>
                <w:color w:val="auto"/>
              </w:rPr>
            </w:pPr>
          </w:p>
        </w:tc>
        <w:tc>
          <w:tcPr>
            <w:tcW w:w="240" w:type="dxa"/>
            <w:vAlign w:val="bottom"/>
            <w:tcBorders>
              <w:top w:val="single" w:sz="8" w:color="0000EE"/>
              <w:bottom w:val="single" w:sz="8" w:color="E0FCF9"/>
            </w:tcBorders>
            <w:shd w:val="clear" w:color="auto" w:fill="E0FCF9"/>
          </w:tcPr>
          <w:p>
            <w:pPr>
              <w:spacing w:after="0"/>
              <w:rPr>
                <w:sz w:val="17"/>
                <w:szCs w:val="17"/>
                <w:color w:val="auto"/>
              </w:rPr>
            </w:pPr>
          </w:p>
        </w:tc>
        <w:tc>
          <w:tcPr>
            <w:tcW w:w="1820" w:type="dxa"/>
            <w:vAlign w:val="bottom"/>
            <w:tcBorders>
              <w:top w:val="single" w:sz="8" w:color="0000EE"/>
              <w:bottom w:val="single" w:sz="8" w:color="0000EE"/>
            </w:tcBorders>
            <w:gridSpan w:val="2"/>
            <w:shd w:val="clear" w:color="auto" w:fill="E0FCF9"/>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named executive officers</w:t>
              </w:r>
            </w:hyperlink>
          </w:p>
        </w:tc>
        <w:tc>
          <w:tcPr>
            <w:tcW w:w="3220" w:type="dxa"/>
            <w:vAlign w:val="bottom"/>
            <w:tcBorders>
              <w:top w:val="single" w:sz="8" w:color="0000EE"/>
              <w:bottom w:val="single" w:sz="8" w:color="E0FCF9"/>
            </w:tcBorders>
            <w:gridSpan w:val="5"/>
            <w:shd w:val="clear" w:color="auto" w:fill="E0FCF9"/>
          </w:tcPr>
          <w:p>
            <w:pPr>
              <w:spacing w:after="0"/>
              <w:rPr>
                <w:sz w:val="17"/>
                <w:szCs w:val="17"/>
                <w:color w:val="auto"/>
              </w:rPr>
            </w:pPr>
          </w:p>
        </w:tc>
        <w:tc>
          <w:tcPr>
            <w:tcW w:w="300" w:type="dxa"/>
            <w:vAlign w:val="bottom"/>
            <w:tcBorders>
              <w:top w:val="single" w:sz="8" w:color="E0FCF9"/>
              <w:bottom w:val="single" w:sz="8" w:color="E0FCF9"/>
            </w:tcBorders>
            <w:gridSpan w:val="2"/>
            <w:shd w:val="clear" w:color="auto" w:fill="E0FCF9"/>
          </w:tcPr>
          <w:p>
            <w:pPr>
              <w:spacing w:after="0"/>
              <w:rPr>
                <w:sz w:val="17"/>
                <w:szCs w:val="17"/>
                <w:color w:val="auto"/>
              </w:rPr>
            </w:pPr>
          </w:p>
        </w:tc>
        <w:tc>
          <w:tcPr>
            <w:tcW w:w="120" w:type="dxa"/>
            <w:vAlign w:val="bottom"/>
            <w:tcBorders>
              <w:top w:val="single" w:sz="8" w:color="E0FCF9"/>
              <w:bottom w:val="single" w:sz="8" w:color="E0FCF9"/>
            </w:tcBorders>
            <w:shd w:val="clear" w:color="auto" w:fill="E0FCF9"/>
          </w:tcPr>
          <w:p>
            <w:pPr>
              <w:spacing w:after="0"/>
              <w:rPr>
                <w:sz w:val="17"/>
                <w:szCs w:val="17"/>
                <w:color w:val="auto"/>
              </w:rPr>
            </w:pPr>
          </w:p>
        </w:tc>
        <w:tc>
          <w:tcPr>
            <w:tcW w:w="2520" w:type="dxa"/>
            <w:vAlign w:val="bottom"/>
            <w:tcBorders>
              <w:top w:val="single" w:sz="8" w:color="E0FCF9"/>
              <w:bottom w:val="single" w:sz="8" w:color="E0FCF9"/>
            </w:tcBorders>
            <w:vMerge w:val="continue"/>
            <w:shd w:val="clear" w:color="auto" w:fill="E0FCF9"/>
          </w:tcPr>
          <w:p>
            <w:pPr>
              <w:spacing w:after="0"/>
              <w:rPr>
                <w:sz w:val="17"/>
                <w:szCs w:val="17"/>
                <w:color w:val="auto"/>
              </w:rPr>
            </w:pPr>
          </w:p>
        </w:tc>
        <w:tc>
          <w:tcPr>
            <w:tcW w:w="2620" w:type="dxa"/>
            <w:vAlign w:val="bottom"/>
            <w:tcBorders>
              <w:top w:val="single" w:sz="8" w:color="E0FCF9"/>
              <w:bottom w:val="single" w:sz="8" w:color="E0FCF9"/>
            </w:tcBorders>
            <w:gridSpan w:val="2"/>
            <w:shd w:val="clear" w:color="auto" w:fill="E0FCF9"/>
          </w:tcPr>
          <w:p>
            <w:pPr>
              <w:jc w:val="center"/>
              <w:spacing w:after="0" w:line="196" w:lineRule="exact"/>
              <w:rPr>
                <w:sz w:val="20"/>
                <w:szCs w:val="20"/>
                <w:color w:val="auto"/>
              </w:rPr>
            </w:pPr>
            <w:r>
              <w:rPr>
                <w:rFonts w:ascii="Arial" w:cs="Arial" w:eastAsia="Arial" w:hAnsi="Arial"/>
                <w:sz w:val="18"/>
                <w:szCs w:val="18"/>
                <w:color w:val="auto"/>
                <w:w w:val="89"/>
              </w:rPr>
              <w:t>66</w:t>
            </w:r>
          </w:p>
        </w:tc>
        <w:tc>
          <w:tcPr>
            <w:tcW w:w="20" w:type="dxa"/>
            <w:vAlign w:val="bottom"/>
            <w:tcBorders>
              <w:top w:val="single" w:sz="8" w:color="E0FCF9"/>
              <w:bottom w:val="single" w:sz="8" w:color="E0FCF9"/>
            </w:tcBorders>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Borders>
              <w:bottom w:val="single" w:sz="8" w:color="E0FCF9"/>
            </w:tcBorders>
            <w:shd w:val="clear" w:color="auto" w:fill="E0FCF9"/>
          </w:tcPr>
          <w:p>
            <w:pPr>
              <w:spacing w:after="0"/>
              <w:rPr>
                <w:sz w:val="24"/>
                <w:szCs w:val="24"/>
                <w:color w:val="auto"/>
              </w:rPr>
            </w:pPr>
          </w:p>
        </w:tc>
        <w:tc>
          <w:tcPr>
            <w:tcW w:w="5000" w:type="dxa"/>
            <w:vAlign w:val="bottom"/>
            <w:tcBorders>
              <w:bottom w:val="single" w:sz="8" w:color="0000EE"/>
            </w:tcBorders>
            <w:gridSpan w:val="6"/>
            <w:shd w:val="clear" w:color="auto" w:fill="E0FCF9"/>
          </w:tcPr>
          <w:p>
            <w:pPr>
              <w:ind w:left="12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 Approval of the Amended and Restated 2016 Evercore Inc. Stock</w:t>
              </w:r>
            </w:hyperlink>
          </w:p>
        </w:tc>
        <w:tc>
          <w:tcPr>
            <w:tcW w:w="580" w:type="dxa"/>
            <w:vAlign w:val="bottom"/>
            <w:tcBorders>
              <w:bottom w:val="single" w:sz="8" w:color="E0FCF9"/>
            </w:tcBorders>
            <w:gridSpan w:val="4"/>
            <w:shd w:val="clear" w:color="auto" w:fill="E0FCF9"/>
          </w:tcPr>
          <w:p>
            <w:pPr>
              <w:spacing w:after="0"/>
              <w:rPr>
                <w:sz w:val="24"/>
                <w:szCs w:val="24"/>
                <w:color w:val="auto"/>
              </w:rPr>
            </w:pPr>
          </w:p>
        </w:tc>
        <w:tc>
          <w:tcPr>
            <w:tcW w:w="120" w:type="dxa"/>
            <w:vAlign w:val="bottom"/>
            <w:tcBorders>
              <w:bottom w:val="single" w:sz="8" w:color="E0FCF9"/>
            </w:tcBorders>
            <w:shd w:val="clear" w:color="auto" w:fill="E0FCF9"/>
          </w:tcPr>
          <w:p>
            <w:pPr>
              <w:spacing w:after="0"/>
              <w:rPr>
                <w:sz w:val="24"/>
                <w:szCs w:val="24"/>
                <w:color w:val="auto"/>
              </w:rPr>
            </w:pPr>
          </w:p>
        </w:tc>
        <w:tc>
          <w:tcPr>
            <w:tcW w:w="2520" w:type="dxa"/>
            <w:vAlign w:val="bottom"/>
            <w:tcBorders>
              <w:bottom w:val="single" w:sz="8" w:color="E0FCF9"/>
            </w:tcBorders>
            <w:vMerge w:val="restart"/>
            <w:shd w:val="clear" w:color="auto" w:fill="E0FCF9"/>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Borders>
              <w:bottom w:val="single" w:sz="8" w:color="E0FCF9"/>
            </w:tcBorders>
            <w:shd w:val="clear" w:color="auto" w:fill="E0FCF9"/>
          </w:tcPr>
          <w:p>
            <w:pPr>
              <w:spacing w:after="0"/>
              <w:rPr>
                <w:sz w:val="24"/>
                <w:szCs w:val="24"/>
                <w:color w:val="auto"/>
              </w:rPr>
            </w:pPr>
          </w:p>
        </w:tc>
        <w:tc>
          <w:tcPr>
            <w:tcW w:w="2520" w:type="dxa"/>
            <w:vAlign w:val="bottom"/>
            <w:tcBorders>
              <w:bottom w:val="single" w:sz="8" w:color="E0FCF9"/>
            </w:tcBorders>
            <w:shd w:val="clear" w:color="auto" w:fill="E0FCF9"/>
          </w:tcPr>
          <w:p>
            <w:pPr>
              <w:spacing w:after="0"/>
              <w:rPr>
                <w:sz w:val="24"/>
                <w:szCs w:val="24"/>
                <w:color w:val="auto"/>
              </w:rPr>
            </w:pPr>
          </w:p>
        </w:tc>
        <w:tc>
          <w:tcPr>
            <w:tcW w:w="20" w:type="dxa"/>
            <w:vAlign w:val="bottom"/>
            <w:tcBorders>
              <w:bottom w:val="single" w:sz="8" w:color="E0FCF9"/>
            </w:tcBorders>
            <w:shd w:val="clear" w:color="auto" w:fill="E0FC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E0FCF9"/>
            </w:tcBorders>
            <w:shd w:val="clear" w:color="auto" w:fill="E0FCF9"/>
          </w:tcPr>
          <w:p>
            <w:pPr>
              <w:spacing w:after="0"/>
              <w:rPr>
                <w:sz w:val="17"/>
                <w:szCs w:val="17"/>
                <w:color w:val="auto"/>
              </w:rPr>
            </w:pPr>
          </w:p>
        </w:tc>
        <w:tc>
          <w:tcPr>
            <w:tcW w:w="240" w:type="dxa"/>
            <w:vAlign w:val="bottom"/>
            <w:tcBorders>
              <w:bottom w:val="single" w:sz="8" w:color="E0FCF9"/>
            </w:tcBorders>
            <w:shd w:val="clear" w:color="auto" w:fill="E0FCF9"/>
          </w:tcPr>
          <w:p>
            <w:pPr>
              <w:spacing w:after="0"/>
              <w:rPr>
                <w:sz w:val="17"/>
                <w:szCs w:val="17"/>
                <w:color w:val="auto"/>
              </w:rPr>
            </w:pPr>
          </w:p>
        </w:tc>
        <w:tc>
          <w:tcPr>
            <w:tcW w:w="1040" w:type="dxa"/>
            <w:vAlign w:val="bottom"/>
            <w:tcBorders>
              <w:bottom w:val="single" w:sz="8" w:color="0000EE"/>
            </w:tcBorders>
            <w:shd w:val="clear" w:color="auto" w:fill="E0FCF9"/>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Incentive Plan</w:t>
              </w:r>
            </w:hyperlink>
          </w:p>
        </w:tc>
        <w:tc>
          <w:tcPr>
            <w:tcW w:w="4300" w:type="dxa"/>
            <w:vAlign w:val="bottom"/>
            <w:tcBorders>
              <w:bottom w:val="single" w:sz="8" w:color="E0FCF9"/>
            </w:tcBorders>
            <w:gridSpan w:val="8"/>
            <w:shd w:val="clear" w:color="auto" w:fill="E0FCF9"/>
          </w:tcPr>
          <w:p>
            <w:pPr>
              <w:spacing w:after="0"/>
              <w:rPr>
                <w:sz w:val="17"/>
                <w:szCs w:val="17"/>
                <w:color w:val="auto"/>
              </w:rPr>
            </w:pPr>
          </w:p>
        </w:tc>
        <w:tc>
          <w:tcPr>
            <w:tcW w:w="120" w:type="dxa"/>
            <w:vAlign w:val="bottom"/>
            <w:tcBorders>
              <w:bottom w:val="single" w:sz="8" w:color="E0FCF9"/>
            </w:tcBorders>
            <w:shd w:val="clear" w:color="auto" w:fill="E0FCF9"/>
          </w:tcPr>
          <w:p>
            <w:pPr>
              <w:spacing w:after="0"/>
              <w:rPr>
                <w:sz w:val="17"/>
                <w:szCs w:val="17"/>
                <w:color w:val="auto"/>
              </w:rPr>
            </w:pPr>
          </w:p>
        </w:tc>
        <w:tc>
          <w:tcPr>
            <w:tcW w:w="2520" w:type="dxa"/>
            <w:vAlign w:val="bottom"/>
            <w:tcBorders>
              <w:bottom w:val="single" w:sz="8" w:color="E0FCF9"/>
            </w:tcBorders>
            <w:vMerge w:val="continue"/>
            <w:shd w:val="clear" w:color="auto" w:fill="E0FCF9"/>
          </w:tcPr>
          <w:p>
            <w:pPr>
              <w:spacing w:after="0"/>
              <w:rPr>
                <w:sz w:val="17"/>
                <w:szCs w:val="17"/>
                <w:color w:val="auto"/>
              </w:rPr>
            </w:pPr>
          </w:p>
        </w:tc>
        <w:tc>
          <w:tcPr>
            <w:tcW w:w="2620" w:type="dxa"/>
            <w:vAlign w:val="bottom"/>
            <w:tcBorders>
              <w:bottom w:val="single" w:sz="8" w:color="E0FCF9"/>
            </w:tcBorders>
            <w:gridSpan w:val="2"/>
            <w:shd w:val="clear" w:color="auto" w:fill="E0FCF9"/>
          </w:tcPr>
          <w:p>
            <w:pPr>
              <w:jc w:val="center"/>
              <w:spacing w:after="0" w:line="196" w:lineRule="exact"/>
              <w:rPr>
                <w:sz w:val="20"/>
                <w:szCs w:val="20"/>
                <w:color w:val="auto"/>
              </w:rPr>
            </w:pPr>
            <w:r>
              <w:rPr>
                <w:rFonts w:ascii="Arial" w:cs="Arial" w:eastAsia="Arial" w:hAnsi="Arial"/>
                <w:sz w:val="18"/>
                <w:szCs w:val="18"/>
                <w:color w:val="auto"/>
                <w:w w:val="89"/>
              </w:rPr>
              <w:t>70</w:t>
            </w:r>
          </w:p>
        </w:tc>
        <w:tc>
          <w:tcPr>
            <w:tcW w:w="20" w:type="dxa"/>
            <w:vAlign w:val="bottom"/>
            <w:tcBorders>
              <w:bottom w:val="single" w:sz="8" w:color="E0FCF9"/>
            </w:tcBorders>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60" w:type="dxa"/>
            <w:vAlign w:val="bottom"/>
            <w:tcBorders>
              <w:bottom w:val="single" w:sz="8" w:color="E0FCF9"/>
            </w:tcBorders>
            <w:shd w:val="clear" w:color="auto" w:fill="E0FCF9"/>
          </w:tcPr>
          <w:p>
            <w:pPr>
              <w:spacing w:after="0"/>
              <w:rPr>
                <w:sz w:val="24"/>
                <w:szCs w:val="24"/>
                <w:color w:val="auto"/>
              </w:rPr>
            </w:pPr>
          </w:p>
        </w:tc>
        <w:tc>
          <w:tcPr>
            <w:tcW w:w="5180" w:type="dxa"/>
            <w:vAlign w:val="bottom"/>
            <w:tcBorders>
              <w:bottom w:val="single" w:sz="8" w:color="0000EE"/>
            </w:tcBorders>
            <w:gridSpan w:val="7"/>
            <w:shd w:val="clear" w:color="auto" w:fill="E0FCF9"/>
          </w:tcPr>
          <w:p>
            <w:pPr>
              <w:ind w:left="80"/>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4. Ratification of Deloitte &amp; Touche LLP as our independent registered</w:t>
              </w:r>
            </w:hyperlink>
          </w:p>
        </w:tc>
        <w:tc>
          <w:tcPr>
            <w:tcW w:w="400" w:type="dxa"/>
            <w:vAlign w:val="bottom"/>
            <w:tcBorders>
              <w:bottom w:val="single" w:sz="8" w:color="E0FCF9"/>
            </w:tcBorders>
            <w:gridSpan w:val="3"/>
            <w:shd w:val="clear" w:color="auto" w:fill="E0FCF9"/>
          </w:tcPr>
          <w:p>
            <w:pPr>
              <w:spacing w:after="0"/>
              <w:rPr>
                <w:sz w:val="24"/>
                <w:szCs w:val="24"/>
                <w:color w:val="auto"/>
              </w:rPr>
            </w:pPr>
          </w:p>
        </w:tc>
        <w:tc>
          <w:tcPr>
            <w:tcW w:w="120" w:type="dxa"/>
            <w:vAlign w:val="bottom"/>
            <w:tcBorders>
              <w:bottom w:val="single" w:sz="8" w:color="E0FCF9"/>
            </w:tcBorders>
            <w:shd w:val="clear" w:color="auto" w:fill="E0FCF9"/>
          </w:tcPr>
          <w:p>
            <w:pPr>
              <w:spacing w:after="0"/>
              <w:rPr>
                <w:sz w:val="24"/>
                <w:szCs w:val="24"/>
                <w:color w:val="auto"/>
              </w:rPr>
            </w:pPr>
          </w:p>
        </w:tc>
        <w:tc>
          <w:tcPr>
            <w:tcW w:w="2520" w:type="dxa"/>
            <w:vAlign w:val="bottom"/>
            <w:tcBorders>
              <w:bottom w:val="single" w:sz="8" w:color="E0FCF9"/>
            </w:tcBorders>
            <w:vMerge w:val="restart"/>
            <w:shd w:val="clear" w:color="auto" w:fill="E0FCF9"/>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Borders>
              <w:bottom w:val="single" w:sz="8" w:color="E0FCF9"/>
            </w:tcBorders>
            <w:shd w:val="clear" w:color="auto" w:fill="E0FCF9"/>
          </w:tcPr>
          <w:p>
            <w:pPr>
              <w:spacing w:after="0"/>
              <w:rPr>
                <w:sz w:val="24"/>
                <w:szCs w:val="24"/>
                <w:color w:val="auto"/>
              </w:rPr>
            </w:pPr>
          </w:p>
        </w:tc>
        <w:tc>
          <w:tcPr>
            <w:tcW w:w="2520" w:type="dxa"/>
            <w:vAlign w:val="bottom"/>
            <w:tcBorders>
              <w:bottom w:val="single" w:sz="8" w:color="E0FCF9"/>
            </w:tcBorders>
            <w:shd w:val="clear" w:color="auto" w:fill="E0FCF9"/>
          </w:tcPr>
          <w:p>
            <w:pPr>
              <w:spacing w:after="0"/>
              <w:rPr>
                <w:sz w:val="24"/>
                <w:szCs w:val="24"/>
                <w:color w:val="auto"/>
              </w:rPr>
            </w:pPr>
          </w:p>
        </w:tc>
        <w:tc>
          <w:tcPr>
            <w:tcW w:w="20" w:type="dxa"/>
            <w:vAlign w:val="bottom"/>
            <w:tcBorders>
              <w:bottom w:val="single" w:sz="8" w:color="E0FCF9"/>
            </w:tcBorders>
            <w:shd w:val="clear" w:color="auto" w:fill="E0FCF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E0FCF9"/>
          </w:tcPr>
          <w:p>
            <w:pPr>
              <w:spacing w:after="0"/>
              <w:rPr>
                <w:sz w:val="17"/>
                <w:szCs w:val="17"/>
                <w:color w:val="auto"/>
              </w:rPr>
            </w:pPr>
          </w:p>
        </w:tc>
        <w:tc>
          <w:tcPr>
            <w:tcW w:w="240" w:type="dxa"/>
            <w:vAlign w:val="bottom"/>
            <w:shd w:val="clear" w:color="auto" w:fill="E0FCF9"/>
          </w:tcPr>
          <w:p>
            <w:pPr>
              <w:spacing w:after="0"/>
              <w:rPr>
                <w:sz w:val="17"/>
                <w:szCs w:val="17"/>
                <w:color w:val="auto"/>
              </w:rPr>
            </w:pPr>
          </w:p>
        </w:tc>
        <w:tc>
          <w:tcPr>
            <w:tcW w:w="5340" w:type="dxa"/>
            <w:vAlign w:val="bottom"/>
            <w:gridSpan w:val="9"/>
            <w:shd w:val="clear" w:color="auto" w:fill="E0FCF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public accounting firm for 2020</w:t>
              </w:r>
            </w:hyperlink>
          </w:p>
        </w:tc>
        <w:tc>
          <w:tcPr>
            <w:tcW w:w="120" w:type="dxa"/>
            <w:vAlign w:val="bottom"/>
            <w:shd w:val="clear" w:color="auto" w:fill="E0FCF9"/>
          </w:tcPr>
          <w:p>
            <w:pPr>
              <w:spacing w:after="0"/>
              <w:rPr>
                <w:sz w:val="17"/>
                <w:szCs w:val="17"/>
                <w:color w:val="auto"/>
              </w:rPr>
            </w:pPr>
          </w:p>
        </w:tc>
        <w:tc>
          <w:tcPr>
            <w:tcW w:w="2520" w:type="dxa"/>
            <w:vAlign w:val="bottom"/>
            <w:vMerge w:val="continue"/>
            <w:shd w:val="clear" w:color="auto" w:fill="E0FCF9"/>
          </w:tcPr>
          <w:p>
            <w:pPr>
              <w:spacing w:after="0"/>
              <w:rPr>
                <w:sz w:val="17"/>
                <w:szCs w:val="17"/>
                <w:color w:val="auto"/>
              </w:rPr>
            </w:pPr>
          </w:p>
        </w:tc>
        <w:tc>
          <w:tcPr>
            <w:tcW w:w="2620" w:type="dxa"/>
            <w:vAlign w:val="bottom"/>
            <w:gridSpan w:val="2"/>
            <w:shd w:val="clear" w:color="auto" w:fill="E0FCF9"/>
          </w:tcPr>
          <w:p>
            <w:pPr>
              <w:jc w:val="center"/>
              <w:spacing w:after="0" w:line="196" w:lineRule="exact"/>
              <w:rPr>
                <w:sz w:val="20"/>
                <w:szCs w:val="20"/>
                <w:color w:val="auto"/>
              </w:rPr>
            </w:pPr>
            <w:r>
              <w:rPr>
                <w:rFonts w:ascii="Arial" w:cs="Arial" w:eastAsia="Arial" w:hAnsi="Arial"/>
                <w:sz w:val="18"/>
                <w:szCs w:val="18"/>
                <w:color w:val="auto"/>
                <w:w w:val="89"/>
              </w:rPr>
              <w:t>86</w:t>
            </w:r>
          </w:p>
        </w:tc>
        <w:tc>
          <w:tcPr>
            <w:tcW w:w="20" w:type="dxa"/>
            <w:vAlign w:val="bottom"/>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0016FF"/>
            </w:tcBorders>
          </w:tcPr>
          <w:p>
            <w:pPr>
              <w:spacing w:after="0"/>
              <w:rPr>
                <w:sz w:val="10"/>
                <w:szCs w:val="10"/>
                <w:color w:val="auto"/>
              </w:rPr>
            </w:pPr>
          </w:p>
        </w:tc>
        <w:tc>
          <w:tcPr>
            <w:tcW w:w="160" w:type="dxa"/>
            <w:vAlign w:val="bottom"/>
            <w:tcBorders>
              <w:top w:val="single" w:sz="8" w:color="E0FCF9"/>
              <w:bottom w:val="single" w:sz="8" w:color="0016FF"/>
            </w:tcBorders>
            <w:shd w:val="clear" w:color="auto" w:fill="E0FCF9"/>
          </w:tcPr>
          <w:p>
            <w:pPr>
              <w:spacing w:after="0"/>
              <w:rPr>
                <w:sz w:val="10"/>
                <w:szCs w:val="10"/>
                <w:color w:val="auto"/>
              </w:rPr>
            </w:pPr>
          </w:p>
        </w:tc>
        <w:tc>
          <w:tcPr>
            <w:tcW w:w="240" w:type="dxa"/>
            <w:vAlign w:val="bottom"/>
            <w:tcBorders>
              <w:top w:val="single" w:sz="8" w:color="E0FCF9"/>
              <w:bottom w:val="single" w:sz="8" w:color="0016FF"/>
            </w:tcBorders>
            <w:shd w:val="clear" w:color="auto" w:fill="E0FCF9"/>
          </w:tcPr>
          <w:p>
            <w:pPr>
              <w:spacing w:after="0"/>
              <w:rPr>
                <w:sz w:val="10"/>
                <w:szCs w:val="10"/>
                <w:color w:val="auto"/>
              </w:rPr>
            </w:pPr>
          </w:p>
        </w:tc>
        <w:tc>
          <w:tcPr>
            <w:tcW w:w="1040" w:type="dxa"/>
            <w:vAlign w:val="bottom"/>
            <w:tcBorders>
              <w:top w:val="single" w:sz="8" w:color="0000EE"/>
              <w:bottom w:val="single" w:sz="8" w:color="0016FF"/>
            </w:tcBorders>
            <w:shd w:val="clear" w:color="auto" w:fill="E0FCF9"/>
          </w:tcPr>
          <w:p>
            <w:pPr>
              <w:spacing w:after="0"/>
              <w:rPr>
                <w:sz w:val="10"/>
                <w:szCs w:val="10"/>
                <w:color w:val="auto"/>
              </w:rPr>
            </w:pPr>
          </w:p>
        </w:tc>
        <w:tc>
          <w:tcPr>
            <w:tcW w:w="780" w:type="dxa"/>
            <w:vAlign w:val="bottom"/>
            <w:tcBorders>
              <w:top w:val="single" w:sz="8" w:color="0000EE"/>
              <w:bottom w:val="single" w:sz="8" w:color="0016FF"/>
            </w:tcBorders>
            <w:shd w:val="clear" w:color="auto" w:fill="E0FCF9"/>
          </w:tcPr>
          <w:p>
            <w:pPr>
              <w:spacing w:after="0"/>
              <w:rPr>
                <w:sz w:val="10"/>
                <w:szCs w:val="10"/>
                <w:color w:val="auto"/>
              </w:rPr>
            </w:pPr>
          </w:p>
        </w:tc>
        <w:tc>
          <w:tcPr>
            <w:tcW w:w="480" w:type="dxa"/>
            <w:vAlign w:val="bottom"/>
            <w:tcBorders>
              <w:top w:val="single" w:sz="8" w:color="0000EE"/>
              <w:bottom w:val="single" w:sz="8" w:color="0016FF"/>
            </w:tcBorders>
            <w:shd w:val="clear" w:color="auto" w:fill="E0FCF9"/>
          </w:tcPr>
          <w:p>
            <w:pPr>
              <w:spacing w:after="0"/>
              <w:rPr>
                <w:sz w:val="10"/>
                <w:szCs w:val="10"/>
                <w:color w:val="auto"/>
              </w:rPr>
            </w:pPr>
          </w:p>
        </w:tc>
        <w:tc>
          <w:tcPr>
            <w:tcW w:w="1540" w:type="dxa"/>
            <w:vAlign w:val="bottom"/>
            <w:tcBorders>
              <w:top w:val="single" w:sz="8" w:color="E0FCF9"/>
              <w:bottom w:val="single" w:sz="8" w:color="0016FF"/>
            </w:tcBorders>
            <w:shd w:val="clear" w:color="auto" w:fill="E0FCF9"/>
          </w:tcPr>
          <w:p>
            <w:pPr>
              <w:spacing w:after="0"/>
              <w:rPr>
                <w:sz w:val="10"/>
                <w:szCs w:val="10"/>
                <w:color w:val="auto"/>
              </w:rPr>
            </w:pPr>
          </w:p>
        </w:tc>
        <w:tc>
          <w:tcPr>
            <w:tcW w:w="920" w:type="dxa"/>
            <w:vAlign w:val="bottom"/>
            <w:tcBorders>
              <w:top w:val="single" w:sz="8" w:color="E0FCF9"/>
              <w:bottom w:val="single" w:sz="8" w:color="0016FF"/>
            </w:tcBorders>
            <w:shd w:val="clear" w:color="auto" w:fill="E0FCF9"/>
          </w:tcPr>
          <w:p>
            <w:pPr>
              <w:spacing w:after="0"/>
              <w:rPr>
                <w:sz w:val="10"/>
                <w:szCs w:val="10"/>
                <w:color w:val="auto"/>
              </w:rPr>
            </w:pPr>
          </w:p>
        </w:tc>
        <w:tc>
          <w:tcPr>
            <w:tcW w:w="180" w:type="dxa"/>
            <w:vAlign w:val="bottom"/>
            <w:tcBorders>
              <w:top w:val="single" w:sz="8" w:color="E0FCF9"/>
              <w:bottom w:val="single" w:sz="8" w:color="0016FF"/>
            </w:tcBorders>
            <w:shd w:val="clear" w:color="auto" w:fill="E0FCF9"/>
          </w:tcPr>
          <w:p>
            <w:pPr>
              <w:spacing w:after="0"/>
              <w:rPr>
                <w:sz w:val="10"/>
                <w:szCs w:val="10"/>
                <w:color w:val="auto"/>
              </w:rPr>
            </w:pPr>
          </w:p>
        </w:tc>
        <w:tc>
          <w:tcPr>
            <w:tcW w:w="100" w:type="dxa"/>
            <w:vAlign w:val="bottom"/>
            <w:tcBorders>
              <w:top w:val="single" w:sz="8" w:color="E0FCF9"/>
              <w:bottom w:val="single" w:sz="8" w:color="0016FF"/>
            </w:tcBorders>
            <w:shd w:val="clear" w:color="auto" w:fill="E0FCF9"/>
          </w:tcPr>
          <w:p>
            <w:pPr>
              <w:spacing w:after="0"/>
              <w:rPr>
                <w:sz w:val="10"/>
                <w:szCs w:val="10"/>
                <w:color w:val="auto"/>
              </w:rPr>
            </w:pPr>
          </w:p>
        </w:tc>
        <w:tc>
          <w:tcPr>
            <w:tcW w:w="60" w:type="dxa"/>
            <w:vAlign w:val="bottom"/>
            <w:tcBorders>
              <w:top w:val="single" w:sz="8" w:color="E0FCF9"/>
              <w:bottom w:val="single" w:sz="8" w:color="0016FF"/>
            </w:tcBorders>
            <w:shd w:val="clear" w:color="auto" w:fill="E0FCF9"/>
          </w:tcPr>
          <w:p>
            <w:pPr>
              <w:spacing w:after="0"/>
              <w:rPr>
                <w:sz w:val="10"/>
                <w:szCs w:val="10"/>
                <w:color w:val="auto"/>
              </w:rPr>
            </w:pPr>
          </w:p>
        </w:tc>
        <w:tc>
          <w:tcPr>
            <w:tcW w:w="240" w:type="dxa"/>
            <w:vAlign w:val="bottom"/>
            <w:tcBorders>
              <w:top w:val="single" w:sz="8" w:color="E0FCF9"/>
              <w:bottom w:val="single" w:sz="8" w:color="0016FF"/>
            </w:tcBorders>
            <w:shd w:val="clear" w:color="auto" w:fill="E0FCF9"/>
          </w:tcPr>
          <w:p>
            <w:pPr>
              <w:spacing w:after="0"/>
              <w:rPr>
                <w:sz w:val="10"/>
                <w:szCs w:val="10"/>
                <w:color w:val="auto"/>
              </w:rPr>
            </w:pPr>
          </w:p>
        </w:tc>
        <w:tc>
          <w:tcPr>
            <w:tcW w:w="120" w:type="dxa"/>
            <w:vAlign w:val="bottom"/>
            <w:tcBorders>
              <w:top w:val="single" w:sz="8" w:color="E0FCF9"/>
              <w:bottom w:val="single" w:sz="8" w:color="0016FF"/>
            </w:tcBorders>
            <w:shd w:val="clear" w:color="auto" w:fill="E0FCF9"/>
          </w:tcPr>
          <w:p>
            <w:pPr>
              <w:spacing w:after="0"/>
              <w:rPr>
                <w:sz w:val="10"/>
                <w:szCs w:val="10"/>
                <w:color w:val="auto"/>
              </w:rPr>
            </w:pPr>
          </w:p>
        </w:tc>
        <w:tc>
          <w:tcPr>
            <w:tcW w:w="2520" w:type="dxa"/>
            <w:vAlign w:val="bottom"/>
            <w:tcBorders>
              <w:top w:val="single" w:sz="8" w:color="E0FCF9"/>
              <w:bottom w:val="single" w:sz="8" w:color="0016FF"/>
            </w:tcBorders>
            <w:shd w:val="clear" w:color="auto" w:fill="E0FCF9"/>
          </w:tcPr>
          <w:p>
            <w:pPr>
              <w:spacing w:after="0"/>
              <w:rPr>
                <w:sz w:val="10"/>
                <w:szCs w:val="10"/>
                <w:color w:val="auto"/>
              </w:rPr>
            </w:pPr>
          </w:p>
        </w:tc>
        <w:tc>
          <w:tcPr>
            <w:tcW w:w="100" w:type="dxa"/>
            <w:vAlign w:val="bottom"/>
            <w:tcBorders>
              <w:top w:val="single" w:sz="8" w:color="E0FCF9"/>
              <w:bottom w:val="single" w:sz="8" w:color="0016FF"/>
            </w:tcBorders>
            <w:shd w:val="clear" w:color="auto" w:fill="E0FCF9"/>
          </w:tcPr>
          <w:p>
            <w:pPr>
              <w:spacing w:after="0"/>
              <w:rPr>
                <w:sz w:val="10"/>
                <w:szCs w:val="10"/>
                <w:color w:val="auto"/>
              </w:rPr>
            </w:pPr>
          </w:p>
        </w:tc>
        <w:tc>
          <w:tcPr>
            <w:tcW w:w="2520" w:type="dxa"/>
            <w:vAlign w:val="bottom"/>
            <w:tcBorders>
              <w:top w:val="single" w:sz="8" w:color="E0FCF9"/>
              <w:bottom w:val="single" w:sz="8" w:color="0016FF"/>
            </w:tcBorders>
            <w:shd w:val="clear" w:color="auto" w:fill="E0FCF9"/>
          </w:tcPr>
          <w:p>
            <w:pPr>
              <w:spacing w:after="0"/>
              <w:rPr>
                <w:sz w:val="10"/>
                <w:szCs w:val="10"/>
                <w:color w:val="auto"/>
              </w:rPr>
            </w:pPr>
          </w:p>
        </w:tc>
        <w:tc>
          <w:tcPr>
            <w:tcW w:w="20" w:type="dxa"/>
            <w:vAlign w:val="bottom"/>
            <w:tcBorders>
              <w:top w:val="single" w:sz="8" w:color="E0FCF9"/>
              <w:bottom w:val="single" w:sz="8" w:color="0016FF"/>
            </w:tcBorders>
            <w:shd w:val="clear" w:color="auto" w:fill="E0FCF9"/>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740" w:type="dxa"/>
            <w:vAlign w:val="bottom"/>
            <w:gridSpan w:val="11"/>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FFFFFF"/>
        </w:rPr>
        <w:t>2019 Performance and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jc w:val="both"/>
        <w:ind w:left="220" w:firstLine="1745"/>
        <w:spacing w:after="0" w:line="279" w:lineRule="auto"/>
        <w:rPr>
          <w:sz w:val="20"/>
          <w:szCs w:val="20"/>
          <w:color w:val="auto"/>
        </w:rPr>
      </w:pPr>
      <w:r>
        <w:rPr>
          <w:rFonts w:ascii="Arial" w:cs="Arial" w:eastAsia="Arial" w:hAnsi="Arial"/>
          <w:sz w:val="17"/>
          <w:szCs w:val="17"/>
          <w:color w:val="auto"/>
        </w:rPr>
        <w:t>Our pay-for-performance compensation program is designed to reward performance and align the long term interests of our executives with those of our shareholders. The following summarizes 2019 performance as considered by the Compensation Committee in making NEO compensation determinations and also highlights key components of our executive compensation program, each as discussed in more detail in the Compensation Discussion and Analysis, beginning on page 42 of this proxy statement.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Delivering Strong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14" w:lineRule="exact"/>
        <w:rPr>
          <w:sz w:val="20"/>
          <w:szCs w:val="20"/>
          <w:color w:val="auto"/>
        </w:rPr>
      </w:pPr>
    </w:p>
    <w:p>
      <w:pPr>
        <w:ind w:left="1360"/>
        <w:spacing w:after="0"/>
        <w:tabs>
          <w:tab w:leader="none" w:pos="6940" w:val="left"/>
        </w:tabs>
        <w:rPr>
          <w:sz w:val="20"/>
          <w:szCs w:val="20"/>
          <w:color w:val="auto"/>
        </w:rPr>
      </w:pPr>
      <w:r>
        <w:rPr>
          <w:rFonts w:ascii="Arial" w:cs="Arial" w:eastAsia="Arial" w:hAnsi="Arial"/>
          <w:sz w:val="18"/>
          <w:szCs w:val="18"/>
          <w:b w:val="1"/>
          <w:bCs w:val="1"/>
          <w:color w:val="0016FF"/>
        </w:rPr>
        <w:t>Adjusted Net Revenues of $2.03 billion*</w:t>
      </w:r>
      <w:r>
        <w:rPr>
          <w:sz w:val="20"/>
          <w:szCs w:val="20"/>
          <w:color w:val="auto"/>
        </w:rPr>
        <w:tab/>
      </w:r>
      <w:r>
        <w:rPr>
          <w:rFonts w:ascii="Arial" w:cs="Arial" w:eastAsia="Arial" w:hAnsi="Arial"/>
          <w:sz w:val="24"/>
          <w:szCs w:val="24"/>
          <w:b w:val="1"/>
          <w:bCs w:val="1"/>
          <w:color w:val="0016FF"/>
          <w:vertAlign w:val="superscript"/>
        </w:rPr>
        <w:t>Adjusted Earnings Per Share of $7.70*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50800</wp:posOffset>
            </wp:positionV>
            <wp:extent cx="5949315" cy="2005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931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Returning Significant Capital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91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*Adjusted Net Revenues and Adjusted Earnings Per Share are non-GAAP measures. See Annex A for further information and a reconciliation to U.S. GAAP amounts.</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9" w:right="7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000" w:hanging="776"/>
        <w:spacing w:after="0" w:line="347" w:lineRule="auto"/>
        <w:tabs>
          <w:tab w:leader="none" w:pos="10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color w:val="0A26FF"/>
        </w:rPr>
        <w:t xml:space="preserve">Performance Drives Changes in Pay. </w:t>
      </w:r>
      <w:r>
        <w:rPr>
          <w:rFonts w:ascii="Arial" w:cs="Arial" w:eastAsia="Arial" w:hAnsi="Arial"/>
          <w:sz w:val="16"/>
          <w:szCs w:val="16"/>
          <w:color w:val="000000"/>
        </w:rPr>
        <w:t>Compensation is linked to the performance of Evercore and our executives’ individual performance,</w:t>
      </w:r>
      <w:r>
        <w:rPr>
          <w:rFonts w:ascii="Arial" w:cs="Arial" w:eastAsia="Arial" w:hAnsi="Arial"/>
          <w:sz w:val="16"/>
          <w:szCs w:val="16"/>
          <w:b w:val="1"/>
          <w:bCs w:val="1"/>
          <w:color w:val="0A26FF"/>
        </w:rPr>
        <w:t xml:space="preserve"> </w:t>
      </w:r>
      <w:r>
        <w:rPr>
          <w:rFonts w:ascii="Arial" w:cs="Arial" w:eastAsia="Arial" w:hAnsi="Arial"/>
          <w:sz w:val="16"/>
          <w:szCs w:val="16"/>
          <w:color w:val="000000"/>
        </w:rPr>
        <w:t>motivating our executive leadership to conduct the business in a manner that produces superior results over the long term.</w:t>
      </w:r>
    </w:p>
    <w:p>
      <w:pPr>
        <w:spacing w:after="0" w:line="115" w:lineRule="exact"/>
        <w:rPr>
          <w:rFonts w:ascii="MS PGothic" w:cs="MS PGothic" w:eastAsia="MS PGothic" w:hAnsi="MS PGothic"/>
          <w:sz w:val="16"/>
          <w:szCs w:val="16"/>
          <w:color w:val="auto"/>
        </w:rPr>
      </w:pPr>
    </w:p>
    <w:p>
      <w:pPr>
        <w:ind w:left="1000" w:right="140" w:hanging="776"/>
        <w:spacing w:after="0" w:line="256" w:lineRule="auto"/>
        <w:tabs>
          <w:tab w:leader="none" w:pos="100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NEO Compensation Reflects our Performance. </w:t>
      </w:r>
      <w:r>
        <w:rPr>
          <w:rFonts w:ascii="Arial" w:cs="Arial" w:eastAsia="Arial" w:hAnsi="Arial"/>
          <w:sz w:val="18"/>
          <w:szCs w:val="18"/>
          <w:color w:val="000000"/>
        </w:rPr>
        <w:t>Our NEO compensation reflects our successful performance in 2019, while giving</w:t>
      </w:r>
      <w:r>
        <w:rPr>
          <w:rFonts w:ascii="Arial" w:cs="Arial" w:eastAsia="Arial" w:hAnsi="Arial"/>
          <w:sz w:val="18"/>
          <w:szCs w:val="18"/>
          <w:b w:val="1"/>
          <w:bCs w:val="1"/>
          <w:color w:val="0016FF"/>
        </w:rPr>
        <w:t xml:space="preserve"> </w:t>
      </w:r>
      <w:r>
        <w:rPr>
          <w:rFonts w:ascii="Arial" w:cs="Arial" w:eastAsia="Arial" w:hAnsi="Arial"/>
          <w:sz w:val="18"/>
          <w:szCs w:val="18"/>
          <w:color w:val="000000"/>
        </w:rPr>
        <w:t>appropriate consideration to our operating results relative to our record 2018 performance. In 2019, our Adjusted Net Revenues* exceeded $2 billion for the second consecutive year and our Adjusted EPS* was $7.70. However these results represent a decrease of approximately 2% and 15%, respectively, from our 2018 results. By comparison, the annual incentive compensation for our CEO and our Executive Chairman for 2019 was decreased by over 40% from 2018 and annual incentive compensation for our NEOs for 2019 on average was decreased by over 35%.</w:t>
      </w:r>
    </w:p>
    <w:p>
      <w:pPr>
        <w:spacing w:after="0" w:line="187" w:lineRule="exact"/>
        <w:rPr>
          <w:rFonts w:ascii="MS PGothic" w:cs="MS PGothic" w:eastAsia="MS PGothic" w:hAnsi="MS PGothic"/>
          <w:sz w:val="18"/>
          <w:szCs w:val="18"/>
          <w:color w:val="auto"/>
        </w:rPr>
      </w:pPr>
    </w:p>
    <w:p>
      <w:pPr>
        <w:ind w:left="1000" w:hanging="776"/>
        <w:spacing w:after="0"/>
        <w:tabs>
          <w:tab w:leader="none" w:pos="100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No Guaranteed Bonuses.  </w:t>
      </w:r>
      <w:r>
        <w:rPr>
          <w:rFonts w:ascii="Arial" w:cs="Arial" w:eastAsia="Arial" w:hAnsi="Arial"/>
          <w:sz w:val="18"/>
          <w:szCs w:val="18"/>
          <w:color w:val="000000"/>
        </w:rPr>
        <w:t>We do not provide guaranteed bonuses to any of our NEOs.</w:t>
      </w:r>
    </w:p>
    <w:p>
      <w:pPr>
        <w:spacing w:after="0" w:line="225" w:lineRule="exact"/>
        <w:rPr>
          <w:rFonts w:ascii="MS PGothic" w:cs="MS PGothic" w:eastAsia="MS PGothic" w:hAnsi="MS PGothic"/>
          <w:sz w:val="18"/>
          <w:szCs w:val="18"/>
          <w:color w:val="auto"/>
        </w:rPr>
      </w:pPr>
    </w:p>
    <w:p>
      <w:pPr>
        <w:ind w:left="1000" w:right="680" w:hanging="776"/>
        <w:spacing w:after="0" w:line="282" w:lineRule="auto"/>
        <w:tabs>
          <w:tab w:leader="none" w:pos="100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No Change in Base Salaries. </w:t>
      </w:r>
      <w:r>
        <w:rPr>
          <w:rFonts w:ascii="Arial" w:cs="Arial" w:eastAsia="Arial" w:hAnsi="Arial"/>
          <w:sz w:val="18"/>
          <w:szCs w:val="18"/>
          <w:color w:val="000000"/>
        </w:rPr>
        <w:t>We have not increased base salaries for our NEOs since they joined us, and base salary continues to</w:t>
      </w:r>
      <w:r>
        <w:rPr>
          <w:rFonts w:ascii="Arial" w:cs="Arial" w:eastAsia="Arial" w:hAnsi="Arial"/>
          <w:sz w:val="18"/>
          <w:szCs w:val="18"/>
          <w:b w:val="1"/>
          <w:bCs w:val="1"/>
          <w:color w:val="0016FF"/>
        </w:rPr>
        <w:t xml:space="preserve"> </w:t>
      </w:r>
      <w:r>
        <w:rPr>
          <w:rFonts w:ascii="Arial" w:cs="Arial" w:eastAsia="Arial" w:hAnsi="Arial"/>
          <w:sz w:val="18"/>
          <w:szCs w:val="18"/>
          <w:color w:val="000000"/>
        </w:rPr>
        <w:t>represent a minority of total annual compensation.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right="440" w:hanging="876"/>
        <w:spacing w:after="0" w:line="282" w:lineRule="auto"/>
        <w:tabs>
          <w:tab w:leader="none" w:pos="110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Equity-Based Compensation Included in Bonus, Not Additional to Bonus. </w:t>
      </w:r>
      <w:r>
        <w:rPr>
          <w:rFonts w:ascii="Arial" w:cs="Arial" w:eastAsia="Arial" w:hAnsi="Arial"/>
          <w:sz w:val="18"/>
          <w:szCs w:val="18"/>
          <w:color w:val="000000"/>
        </w:rPr>
        <w:t>Our Compensation Committee determines the overall</w:t>
      </w:r>
      <w:r>
        <w:rPr>
          <w:rFonts w:ascii="Arial" w:cs="Arial" w:eastAsia="Arial" w:hAnsi="Arial"/>
          <w:sz w:val="18"/>
          <w:szCs w:val="18"/>
          <w:b w:val="1"/>
          <w:bCs w:val="1"/>
          <w:color w:val="0016FF"/>
        </w:rPr>
        <w:t xml:space="preserve"> </w:t>
      </w:r>
      <w:r>
        <w:rPr>
          <w:rFonts w:ascii="Arial" w:cs="Arial" w:eastAsia="Arial" w:hAnsi="Arial"/>
          <w:sz w:val="18"/>
          <w:szCs w:val="18"/>
          <w:color w:val="000000"/>
        </w:rPr>
        <w:t>amount of incentive compensation to be awarded to our NEOs, inclusive of cash and RSUs.</w:t>
      </w:r>
    </w:p>
    <w:p>
      <w:pPr>
        <w:spacing w:after="0" w:line="161" w:lineRule="exact"/>
        <w:rPr>
          <w:rFonts w:ascii="MS PGothic" w:cs="MS PGothic" w:eastAsia="MS PGothic" w:hAnsi="MS PGothic"/>
          <w:sz w:val="18"/>
          <w:szCs w:val="18"/>
          <w:color w:val="auto"/>
        </w:rPr>
      </w:pPr>
    </w:p>
    <w:p>
      <w:pPr>
        <w:ind w:left="1100" w:right="140" w:hanging="876"/>
        <w:spacing w:after="0" w:line="266" w:lineRule="auto"/>
        <w:tabs>
          <w:tab w:leader="none" w:pos="110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50% of 2019 Bonus Delivered in RSUs Subject to Four Year Deferral. </w:t>
      </w:r>
      <w:r>
        <w:rPr>
          <w:rFonts w:ascii="Arial" w:cs="Arial" w:eastAsia="Arial" w:hAnsi="Arial"/>
          <w:sz w:val="18"/>
          <w:szCs w:val="18"/>
          <w:color w:val="000000"/>
        </w:rPr>
        <w:t>RSUs granted to our NEOs as a component of 2019 annual</w:t>
      </w:r>
      <w:r>
        <w:rPr>
          <w:rFonts w:ascii="Arial" w:cs="Arial" w:eastAsia="Arial" w:hAnsi="Arial"/>
          <w:sz w:val="18"/>
          <w:szCs w:val="18"/>
          <w:b w:val="1"/>
          <w:bCs w:val="1"/>
          <w:color w:val="0016FF"/>
        </w:rPr>
        <w:t xml:space="preserve"> </w:t>
      </w:r>
      <w:r>
        <w:rPr>
          <w:rFonts w:ascii="Arial" w:cs="Arial" w:eastAsia="Arial" w:hAnsi="Arial"/>
          <w:sz w:val="18"/>
          <w:szCs w:val="18"/>
          <w:color w:val="000000"/>
        </w:rPr>
        <w:t>bonus are unvested and are delivered over four years, which is consistent with market practice, and enhances ongoing alignment with our shareholders.</w:t>
      </w:r>
    </w:p>
    <w:p>
      <w:pPr>
        <w:spacing w:after="0" w:line="175" w:lineRule="exact"/>
        <w:rPr>
          <w:rFonts w:ascii="MS PGothic" w:cs="MS PGothic" w:eastAsia="MS PGothic" w:hAnsi="MS PGothic"/>
          <w:sz w:val="18"/>
          <w:szCs w:val="18"/>
          <w:color w:val="auto"/>
        </w:rPr>
      </w:pPr>
    </w:p>
    <w:p>
      <w:pPr>
        <w:ind w:left="1100" w:right="120" w:hanging="876"/>
        <w:spacing w:after="0" w:line="282" w:lineRule="auto"/>
        <w:tabs>
          <w:tab w:leader="none" w:pos="110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Equity Ownership Guidelines and Significant Equity Ownership by NEOs. </w:t>
      </w:r>
      <w:r>
        <w:rPr>
          <w:rFonts w:ascii="Arial" w:cs="Arial" w:eastAsia="Arial" w:hAnsi="Arial"/>
          <w:sz w:val="18"/>
          <w:szCs w:val="18"/>
          <w:color w:val="000000"/>
        </w:rPr>
        <w:t>Each of our NEOs holds a meaningful amount of equity</w:t>
      </w:r>
      <w:r>
        <w:rPr>
          <w:rFonts w:ascii="Arial" w:cs="Arial" w:eastAsia="Arial" w:hAnsi="Arial"/>
          <w:sz w:val="18"/>
          <w:szCs w:val="18"/>
          <w:b w:val="1"/>
          <w:bCs w:val="1"/>
          <w:color w:val="0016FF"/>
        </w:rPr>
        <w:t xml:space="preserve"> </w:t>
      </w:r>
      <w:r>
        <w:rPr>
          <w:rFonts w:ascii="Arial" w:cs="Arial" w:eastAsia="Arial" w:hAnsi="Arial"/>
          <w:sz w:val="18"/>
          <w:szCs w:val="18"/>
          <w:color w:val="000000"/>
        </w:rPr>
        <w:t>in our Company and met the formal equity ownership guidelines applicable to such NEO.</w:t>
      </w:r>
    </w:p>
    <w:p>
      <w:pPr>
        <w:spacing w:after="0" w:line="161" w:lineRule="exact"/>
        <w:rPr>
          <w:rFonts w:ascii="MS PGothic" w:cs="MS PGothic" w:eastAsia="MS PGothic" w:hAnsi="MS PGothic"/>
          <w:sz w:val="18"/>
          <w:szCs w:val="18"/>
          <w:color w:val="auto"/>
        </w:rPr>
      </w:pPr>
    </w:p>
    <w:p>
      <w:pPr>
        <w:ind w:left="1100" w:right="80" w:hanging="876"/>
        <w:spacing w:after="0" w:line="312" w:lineRule="auto"/>
        <w:tabs>
          <w:tab w:leader="none" w:pos="1100" w:val="left"/>
        </w:tabs>
        <w:numPr>
          <w:ilvl w:val="0"/>
          <w:numId w:val="8"/>
        </w:numPr>
        <w:rPr>
          <w:rFonts w:ascii="MS PGothic" w:cs="MS PGothic" w:eastAsia="MS PGothic" w:hAnsi="MS PGothic"/>
          <w:sz w:val="17"/>
          <w:szCs w:val="17"/>
          <w:color w:val="auto"/>
        </w:rPr>
      </w:pPr>
      <w:r>
        <w:rPr>
          <w:rFonts w:ascii="Arial" w:cs="Arial" w:eastAsia="Arial" w:hAnsi="Arial"/>
          <w:sz w:val="17"/>
          <w:szCs w:val="17"/>
          <w:b w:val="1"/>
          <w:bCs w:val="1"/>
          <w:color w:val="0016FF"/>
        </w:rPr>
        <w:t xml:space="preserve">No Hedging or Pledging. </w:t>
      </w:r>
      <w:r>
        <w:rPr>
          <w:rFonts w:ascii="Arial" w:cs="Arial" w:eastAsia="Arial" w:hAnsi="Arial"/>
          <w:sz w:val="17"/>
          <w:szCs w:val="17"/>
          <w:color w:val="000000"/>
        </w:rPr>
        <w:t>All employees, including our NEOs, are prohibited from hedging their equity securities, and our anti-pledging</w:t>
      </w:r>
      <w:r>
        <w:rPr>
          <w:rFonts w:ascii="Arial" w:cs="Arial" w:eastAsia="Arial" w:hAnsi="Arial"/>
          <w:sz w:val="17"/>
          <w:szCs w:val="17"/>
          <w:b w:val="1"/>
          <w:bCs w:val="1"/>
          <w:color w:val="0016FF"/>
        </w:rPr>
        <w:t xml:space="preserve"> </w:t>
      </w:r>
      <w:r>
        <w:rPr>
          <w:rFonts w:ascii="Arial" w:cs="Arial" w:eastAsia="Arial" w:hAnsi="Arial"/>
          <w:sz w:val="17"/>
          <w:szCs w:val="17"/>
          <w:color w:val="000000"/>
        </w:rPr>
        <w:t>policy prohibits directors and executive officers from pledging their equity without Compensation Committee approval.</w:t>
      </w:r>
    </w:p>
    <w:p>
      <w:pPr>
        <w:spacing w:after="0" w:line="139" w:lineRule="exact"/>
        <w:rPr>
          <w:rFonts w:ascii="MS PGothic" w:cs="MS PGothic" w:eastAsia="MS PGothic" w:hAnsi="MS PGothic"/>
          <w:sz w:val="17"/>
          <w:szCs w:val="17"/>
          <w:color w:val="auto"/>
        </w:rPr>
      </w:pPr>
    </w:p>
    <w:p>
      <w:pPr>
        <w:ind w:left="1100" w:right="160" w:hanging="876"/>
        <w:spacing w:after="0" w:line="266" w:lineRule="auto"/>
        <w:tabs>
          <w:tab w:leader="none" w:pos="110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Clawback Policy. </w:t>
      </w:r>
      <w:r>
        <w:rPr>
          <w:rFonts w:ascii="Arial" w:cs="Arial" w:eastAsia="Arial" w:hAnsi="Arial"/>
          <w:sz w:val="18"/>
          <w:szCs w:val="18"/>
          <w:color w:val="000000"/>
        </w:rPr>
        <w:t>Our clawback policy provides for the recapture of incentive compensation awarded to SMDs in the event of</w:t>
      </w:r>
      <w:r>
        <w:rPr>
          <w:rFonts w:ascii="Arial" w:cs="Arial" w:eastAsia="Arial" w:hAnsi="Arial"/>
          <w:sz w:val="18"/>
          <w:szCs w:val="18"/>
          <w:b w:val="1"/>
          <w:bCs w:val="1"/>
          <w:color w:val="0016FF"/>
        </w:rPr>
        <w:t xml:space="preserve"> </w:t>
      </w:r>
      <w:r>
        <w:rPr>
          <w:rFonts w:ascii="Arial" w:cs="Arial" w:eastAsia="Arial" w:hAnsi="Arial"/>
          <w:sz w:val="18"/>
          <w:szCs w:val="18"/>
          <w:color w:val="000000"/>
        </w:rPr>
        <w:t>misconduct by that SMD or a restatement of the financial results of the Company due to material noncompliance with financial reporting requirements.</w:t>
      </w:r>
    </w:p>
    <w:p>
      <w:pPr>
        <w:spacing w:after="0" w:line="108"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Net Revenues and Adjusted Earnings Per Share are non-GAAP measures. See Annex A for further information and a reconciliation to U.S. GAAP amounts.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Accountability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right="240" w:hanging="876"/>
        <w:spacing w:after="0" w:line="282" w:lineRule="auto"/>
        <w:tabs>
          <w:tab w:leader="none" w:pos="110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Annual Say on Pay Vote. </w:t>
      </w:r>
      <w:r>
        <w:rPr>
          <w:rFonts w:ascii="Arial" w:cs="Arial" w:eastAsia="Arial" w:hAnsi="Arial"/>
          <w:sz w:val="18"/>
          <w:szCs w:val="18"/>
          <w:color w:val="000000"/>
        </w:rPr>
        <w:t>Based on our Board’s recommendation and our shareholders’ advisory vote in 2017, we continue to hold an</w:t>
      </w:r>
      <w:r>
        <w:rPr>
          <w:rFonts w:ascii="Arial" w:cs="Arial" w:eastAsia="Arial" w:hAnsi="Arial"/>
          <w:sz w:val="18"/>
          <w:szCs w:val="18"/>
          <w:b w:val="1"/>
          <w:bCs w:val="1"/>
          <w:color w:val="0016FF"/>
        </w:rPr>
        <w:t xml:space="preserve"> </w:t>
      </w:r>
      <w:r>
        <w:rPr>
          <w:rFonts w:ascii="Arial" w:cs="Arial" w:eastAsia="Arial" w:hAnsi="Arial"/>
          <w:sz w:val="18"/>
          <w:szCs w:val="18"/>
          <w:color w:val="000000"/>
        </w:rPr>
        <w:t>advisory vote each year on our executive compensation program.</w:t>
      </w:r>
    </w:p>
    <w:p>
      <w:pPr>
        <w:spacing w:after="0" w:line="161" w:lineRule="exact"/>
        <w:rPr>
          <w:rFonts w:ascii="MS PGothic" w:cs="MS PGothic" w:eastAsia="MS PGothic" w:hAnsi="MS PGothic"/>
          <w:sz w:val="18"/>
          <w:szCs w:val="18"/>
          <w:color w:val="auto"/>
        </w:rPr>
      </w:pPr>
    </w:p>
    <w:p>
      <w:pPr>
        <w:ind w:left="1100" w:right="300" w:hanging="876"/>
        <w:spacing w:after="0" w:line="261" w:lineRule="auto"/>
        <w:tabs>
          <w:tab w:leader="none" w:pos="110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Strong Support for Executive Compensation Program. </w:t>
      </w:r>
      <w:r>
        <w:rPr>
          <w:rFonts w:ascii="Arial" w:cs="Arial" w:eastAsia="Arial" w:hAnsi="Arial"/>
          <w:sz w:val="18"/>
          <w:szCs w:val="18"/>
          <w:color w:val="000000"/>
        </w:rPr>
        <w:t>Our executive compensation program has not changed in any material way</w:t>
      </w:r>
      <w:r>
        <w:rPr>
          <w:rFonts w:ascii="Arial" w:cs="Arial" w:eastAsia="Arial" w:hAnsi="Arial"/>
          <w:sz w:val="18"/>
          <w:szCs w:val="18"/>
          <w:b w:val="1"/>
          <w:bCs w:val="1"/>
          <w:color w:val="0016FF"/>
        </w:rPr>
        <w:t xml:space="preserve"> </w:t>
      </w:r>
      <w:r>
        <w:rPr>
          <w:rFonts w:ascii="Arial" w:cs="Arial" w:eastAsia="Arial" w:hAnsi="Arial"/>
          <w:sz w:val="18"/>
          <w:szCs w:val="18"/>
          <w:color w:val="000000"/>
        </w:rPr>
        <w:t>since last year, when our shareholders supported our 2019 Say on Pay proposal at the 92% level. We believe this support is due to the Company’s exemplary business performance, a close alignment between performance and pay, our extensive shareholder engagement process and disclosure regarding our executive compensation program.</w:t>
      </w:r>
    </w:p>
    <w:p>
      <w:pPr>
        <w:spacing w:after="0" w:line="179" w:lineRule="exact"/>
        <w:rPr>
          <w:rFonts w:ascii="MS PGothic" w:cs="MS PGothic" w:eastAsia="MS PGothic" w:hAnsi="MS PGothic"/>
          <w:sz w:val="18"/>
          <w:szCs w:val="18"/>
          <w:color w:val="auto"/>
        </w:rPr>
      </w:pPr>
    </w:p>
    <w:p>
      <w:pPr>
        <w:ind w:left="1100" w:hanging="876"/>
        <w:spacing w:after="0" w:line="282" w:lineRule="auto"/>
        <w:tabs>
          <w:tab w:leader="none" w:pos="110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Majority Voting Resignation Policy. </w:t>
      </w:r>
      <w:r>
        <w:rPr>
          <w:rFonts w:ascii="Arial" w:cs="Arial" w:eastAsia="Arial" w:hAnsi="Arial"/>
          <w:sz w:val="18"/>
          <w:szCs w:val="18"/>
          <w:color w:val="000000"/>
        </w:rPr>
        <w:t>Our majority voting resignation policy provides that a director that receives the support of less than</w:t>
      </w:r>
      <w:r>
        <w:rPr>
          <w:rFonts w:ascii="Arial" w:cs="Arial" w:eastAsia="Arial" w:hAnsi="Arial"/>
          <w:sz w:val="18"/>
          <w:szCs w:val="18"/>
          <w:b w:val="1"/>
          <w:bCs w:val="1"/>
          <w:color w:val="0016FF"/>
        </w:rPr>
        <w:t xml:space="preserve"> </w:t>
      </w:r>
      <w:r>
        <w:rPr>
          <w:rFonts w:ascii="Arial" w:cs="Arial" w:eastAsia="Arial" w:hAnsi="Arial"/>
          <w:sz w:val="18"/>
          <w:szCs w:val="18"/>
          <w:color w:val="000000"/>
        </w:rPr>
        <w:t>a majority of votes cast must tender his or her resignation, which our Board will then determine whether to accept.</w:t>
      </w:r>
    </w:p>
    <w:p>
      <w:pPr>
        <w:spacing w:after="0" w:line="188" w:lineRule="exact"/>
        <w:rPr>
          <w:rFonts w:ascii="MS PGothic" w:cs="MS PGothic" w:eastAsia="MS PGothic" w:hAnsi="MS PGothic"/>
          <w:sz w:val="18"/>
          <w:szCs w:val="18"/>
          <w:color w:val="auto"/>
        </w:rPr>
      </w:pPr>
    </w:p>
    <w:p>
      <w:pPr>
        <w:ind w:left="1100" w:right="40" w:hanging="876"/>
        <w:spacing w:after="0" w:line="261" w:lineRule="auto"/>
        <w:tabs>
          <w:tab w:leader="none" w:pos="110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Extensive Shareholder Engagement and Feedback. </w:t>
      </w:r>
      <w:r>
        <w:rPr>
          <w:rFonts w:ascii="Arial" w:cs="Arial" w:eastAsia="Arial" w:hAnsi="Arial"/>
          <w:sz w:val="18"/>
          <w:szCs w:val="18"/>
          <w:color w:val="000000"/>
        </w:rPr>
        <w:t>We engage extensively with our shareholders on an ongoing basis and seek</w:t>
      </w:r>
      <w:r>
        <w:rPr>
          <w:rFonts w:ascii="Arial" w:cs="Arial" w:eastAsia="Arial" w:hAnsi="Arial"/>
          <w:sz w:val="18"/>
          <w:szCs w:val="18"/>
          <w:b w:val="1"/>
          <w:bCs w:val="1"/>
          <w:color w:val="0016FF"/>
        </w:rPr>
        <w:t xml:space="preserve"> </w:t>
      </w:r>
      <w:r>
        <w:rPr>
          <w:rFonts w:ascii="Arial" w:cs="Arial" w:eastAsia="Arial" w:hAnsi="Arial"/>
          <w:sz w:val="18"/>
          <w:szCs w:val="18"/>
          <w:color w:val="000000"/>
        </w:rPr>
        <w:t>feedback regarding our performance, corporate governance practices and other matters of interest to our shareholders. In 2019, we reached out to shareholders representing nearly two-thirds of our outstanding shares then held by unaffiliated shareholders, and the feedback we received continued to inform our Board.</w:t>
      </w:r>
    </w:p>
    <w:p>
      <w:pPr>
        <w:spacing w:after="0" w:line="184"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FFFFFF"/>
        </w:rPr>
        <w:t>Approval of the Amended and Restated 2016 Evercore Inc.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right="120" w:firstLine="1745"/>
        <w:spacing w:after="0" w:line="296" w:lineRule="auto"/>
        <w:rPr>
          <w:sz w:val="20"/>
          <w:szCs w:val="20"/>
          <w:color w:val="auto"/>
        </w:rPr>
      </w:pPr>
      <w:r>
        <w:rPr>
          <w:rFonts w:ascii="Arial" w:cs="Arial" w:eastAsia="Arial" w:hAnsi="Arial"/>
          <w:sz w:val="16"/>
          <w:szCs w:val="16"/>
          <w:color w:val="auto"/>
        </w:rPr>
        <w:t>Our Board of Directors unanimously adopted the Amended 2016 Plan, the terms of which are identical to those of the shareholder approved 2016 Plan other than an increase of six million in the number of shares authorized for issuance under the plan. We have utilized substantially all of the shares approved in 2016. We are requesting only a limited number of shares which we believe will be necessary for continuing to manage and grow our business in the current environment over the next approximately two years. We are seeking your approval of the Amended 2016 Plan in order for us to continue our practice of granting equity compensation as a significant portion of annual bonus payments.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13" w:lineRule="exact"/>
        <w:rPr>
          <w:sz w:val="20"/>
          <w:szCs w:val="20"/>
          <w:color w:val="auto"/>
        </w:rPr>
      </w:pPr>
    </w:p>
    <w:p>
      <w:pPr>
        <w:ind w:left="1100" w:hanging="876"/>
        <w:spacing w:after="0"/>
        <w:tabs>
          <w:tab w:leader="none" w:pos="11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The Amended 2016 Plan, together with our equity compensation practices, demonstrates many best practices:</w:t>
      </w:r>
    </w:p>
    <w:p>
      <w:pPr>
        <w:sectPr>
          <w:pgSz w:w="11900" w:h="16838" w:orient="portrait"/>
          <w:cols w:equalWidth="0" w:num="1">
            <w:col w:w="11120"/>
          </w:cols>
          <w:pgMar w:left="320" w:top="459" w:right="459" w:bottom="1440" w:gutter="0" w:footer="0" w:header="0"/>
        </w:sectPr>
      </w:pPr>
    </w:p>
    <w:p>
      <w:pPr>
        <w:spacing w:after="0" w:line="225" w:lineRule="exact"/>
        <w:rPr>
          <w:sz w:val="20"/>
          <w:szCs w:val="20"/>
          <w:color w:val="auto"/>
        </w:rPr>
      </w:pPr>
    </w:p>
    <w:p>
      <w:pPr>
        <w:ind w:left="1160" w:hanging="288"/>
        <w:spacing w:after="0"/>
        <w:tabs>
          <w:tab w:leader="none" w:pos="1160" w:val="left"/>
        </w:tabs>
        <w:numPr>
          <w:ilvl w:val="0"/>
          <w:numId w:val="12"/>
        </w:numPr>
        <w:rPr>
          <w:rFonts w:ascii="Arial" w:cs="Arial" w:eastAsia="Arial" w:hAnsi="Arial"/>
          <w:sz w:val="18"/>
          <w:szCs w:val="18"/>
          <w:b w:val="1"/>
          <w:bCs w:val="1"/>
          <w:i w:val="1"/>
          <w:iCs w:val="1"/>
          <w:color w:val="BC0000"/>
        </w:rPr>
      </w:pPr>
      <w:r>
        <w:rPr>
          <w:rFonts w:ascii="Arial" w:cs="Arial" w:eastAsia="Arial" w:hAnsi="Arial"/>
          <w:sz w:val="18"/>
          <w:szCs w:val="18"/>
          <w:color w:val="auto"/>
        </w:rPr>
        <w:t>No “evergreen” provision</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12"/>
        </w:numPr>
        <w:rPr>
          <w:rFonts w:ascii="Arial" w:cs="Arial" w:eastAsia="Arial" w:hAnsi="Arial"/>
          <w:sz w:val="18"/>
          <w:szCs w:val="18"/>
          <w:b w:val="1"/>
          <w:bCs w:val="1"/>
          <w:i w:val="1"/>
          <w:iCs w:val="1"/>
          <w:color w:val="BC0000"/>
        </w:rPr>
      </w:pPr>
      <w:r>
        <w:rPr>
          <w:rFonts w:ascii="Arial" w:cs="Arial" w:eastAsia="Arial" w:hAnsi="Arial"/>
          <w:sz w:val="18"/>
          <w:szCs w:val="18"/>
          <w:color w:val="auto"/>
        </w:rPr>
        <w:t>No liberal share recycling</w:t>
      </w:r>
    </w:p>
    <w:p>
      <w:pPr>
        <w:spacing w:after="0" w:line="49" w:lineRule="exact"/>
        <w:rPr>
          <w:rFonts w:ascii="Arial" w:cs="Arial" w:eastAsia="Arial" w:hAnsi="Arial"/>
          <w:sz w:val="18"/>
          <w:szCs w:val="18"/>
          <w:b w:val="1"/>
          <w:bCs w:val="1"/>
          <w:i w:val="1"/>
          <w:iCs w:val="1"/>
          <w:color w:val="BC0000"/>
        </w:rPr>
      </w:pPr>
    </w:p>
    <w:p>
      <w:pPr>
        <w:ind w:left="1200" w:hanging="328"/>
        <w:spacing w:after="0" w:line="273" w:lineRule="auto"/>
        <w:tabs>
          <w:tab w:leader="none" w:pos="1170" w:val="left"/>
        </w:tabs>
        <w:numPr>
          <w:ilvl w:val="0"/>
          <w:numId w:val="12"/>
        </w:numPr>
        <w:rPr>
          <w:rFonts w:ascii="Arial" w:cs="Arial" w:eastAsia="Arial" w:hAnsi="Arial"/>
          <w:sz w:val="18"/>
          <w:szCs w:val="18"/>
          <w:b w:val="1"/>
          <w:bCs w:val="1"/>
          <w:i w:val="1"/>
          <w:iCs w:val="1"/>
          <w:color w:val="BC0000"/>
        </w:rPr>
      </w:pPr>
      <w:r>
        <w:rPr>
          <w:rFonts w:ascii="Arial" w:cs="Arial" w:eastAsia="Arial" w:hAnsi="Arial"/>
          <w:sz w:val="18"/>
          <w:szCs w:val="18"/>
          <w:color w:val="auto"/>
        </w:rPr>
        <w:t>No repricing (or cash buybacks) of underwater stock options or stock appreciation rights</w:t>
      </w:r>
    </w:p>
    <w:p>
      <w:pPr>
        <w:spacing w:after="0" w:line="1"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12"/>
        </w:numPr>
        <w:rPr>
          <w:rFonts w:ascii="Arial" w:cs="Arial" w:eastAsia="Arial" w:hAnsi="Arial"/>
          <w:sz w:val="18"/>
          <w:szCs w:val="18"/>
          <w:b w:val="1"/>
          <w:bCs w:val="1"/>
          <w:i w:val="1"/>
          <w:iCs w:val="1"/>
          <w:color w:val="BC0000"/>
        </w:rPr>
      </w:pPr>
      <w:r>
        <w:rPr>
          <w:rFonts w:ascii="Arial" w:cs="Arial" w:eastAsia="Arial" w:hAnsi="Arial"/>
          <w:sz w:val="18"/>
          <w:szCs w:val="18"/>
          <w:color w:val="auto"/>
        </w:rPr>
        <w:t>No “reload” equity awards</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12"/>
        </w:numPr>
        <w:rPr>
          <w:rFonts w:ascii="Arial" w:cs="Arial" w:eastAsia="Arial" w:hAnsi="Arial"/>
          <w:sz w:val="18"/>
          <w:szCs w:val="18"/>
          <w:b w:val="1"/>
          <w:bCs w:val="1"/>
          <w:i w:val="1"/>
          <w:iCs w:val="1"/>
          <w:color w:val="BC0000"/>
        </w:rPr>
      </w:pPr>
      <w:r>
        <w:rPr>
          <w:rFonts w:ascii="Arial" w:cs="Arial" w:eastAsia="Arial" w:hAnsi="Arial"/>
          <w:sz w:val="18"/>
          <w:szCs w:val="18"/>
          <w:color w:val="auto"/>
        </w:rPr>
        <w:t>No equity grants below fair market value</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12"/>
        </w:numPr>
        <w:rPr>
          <w:rFonts w:ascii="Arial" w:cs="Arial" w:eastAsia="Arial" w:hAnsi="Arial"/>
          <w:sz w:val="18"/>
          <w:szCs w:val="18"/>
          <w:b w:val="1"/>
          <w:bCs w:val="1"/>
          <w:i w:val="1"/>
          <w:iCs w:val="1"/>
          <w:color w:val="BC0000"/>
        </w:rPr>
      </w:pPr>
      <w:r>
        <w:rPr>
          <w:rFonts w:ascii="Arial" w:cs="Arial" w:eastAsia="Arial" w:hAnsi="Arial"/>
          <w:sz w:val="18"/>
          <w:szCs w:val="18"/>
          <w:color w:val="auto"/>
        </w:rPr>
        <w:t>No single-trigger change in control vesting</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12"/>
        </w:numPr>
        <w:rPr>
          <w:rFonts w:ascii="Arial" w:cs="Arial" w:eastAsia="Arial" w:hAnsi="Arial"/>
          <w:sz w:val="18"/>
          <w:szCs w:val="18"/>
          <w:b w:val="1"/>
          <w:bCs w:val="1"/>
          <w:i w:val="1"/>
          <w:iCs w:val="1"/>
          <w:color w:val="BC0000"/>
        </w:rPr>
      </w:pPr>
      <w:r>
        <w:rPr>
          <w:rFonts w:ascii="Arial" w:cs="Arial" w:eastAsia="Arial" w:hAnsi="Arial"/>
          <w:sz w:val="18"/>
          <w:szCs w:val="18"/>
          <w:color w:val="auto"/>
        </w:rPr>
        <w:t>Prohibition on hedging Evercore equity holdings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25" w:hanging="325"/>
        <w:spacing w:after="0"/>
        <w:tabs>
          <w:tab w:leader="none" w:pos="325" w:val="left"/>
        </w:tabs>
        <w:numPr>
          <w:ilvl w:val="0"/>
          <w:numId w:val="13"/>
        </w:numPr>
        <w:rPr>
          <w:rFonts w:ascii="MS PGothic" w:cs="MS PGothic" w:eastAsia="MS PGothic" w:hAnsi="MS PGothic"/>
          <w:sz w:val="18"/>
          <w:szCs w:val="18"/>
          <w:color w:val="33F90A"/>
        </w:rPr>
      </w:pPr>
      <w:r>
        <w:rPr>
          <w:rFonts w:ascii="Arial" w:cs="Arial" w:eastAsia="Arial" w:hAnsi="Arial"/>
          <w:sz w:val="18"/>
          <w:szCs w:val="18"/>
          <w:color w:val="auto"/>
        </w:rPr>
        <w:t>Fixed maximum share limit</w:t>
      </w:r>
    </w:p>
    <w:p>
      <w:pPr>
        <w:spacing w:after="0" w:line="49" w:lineRule="exact"/>
        <w:rPr>
          <w:rFonts w:ascii="MS PGothic" w:cs="MS PGothic" w:eastAsia="MS PGothic" w:hAnsi="MS PGothic"/>
          <w:sz w:val="18"/>
          <w:szCs w:val="18"/>
          <w:color w:val="33F90A"/>
        </w:rPr>
      </w:pPr>
    </w:p>
    <w:p>
      <w:pPr>
        <w:ind w:left="325" w:hanging="325"/>
        <w:spacing w:after="0"/>
        <w:tabs>
          <w:tab w:leader="none" w:pos="325" w:val="left"/>
        </w:tabs>
        <w:numPr>
          <w:ilvl w:val="0"/>
          <w:numId w:val="13"/>
        </w:numPr>
        <w:rPr>
          <w:rFonts w:ascii="MS PGothic" w:cs="MS PGothic" w:eastAsia="MS PGothic" w:hAnsi="MS PGothic"/>
          <w:sz w:val="18"/>
          <w:szCs w:val="18"/>
          <w:color w:val="33F90A"/>
        </w:rPr>
      </w:pPr>
      <w:r>
        <w:rPr>
          <w:rFonts w:ascii="Arial" w:cs="Arial" w:eastAsia="Arial" w:hAnsi="Arial"/>
          <w:sz w:val="18"/>
          <w:szCs w:val="18"/>
          <w:color w:val="auto"/>
        </w:rPr>
        <w:t>Four-year deferred vesting of RSUs</w:t>
      </w:r>
    </w:p>
    <w:p>
      <w:pPr>
        <w:spacing w:after="0" w:line="49" w:lineRule="exact"/>
        <w:rPr>
          <w:rFonts w:ascii="MS PGothic" w:cs="MS PGothic" w:eastAsia="MS PGothic" w:hAnsi="MS PGothic"/>
          <w:sz w:val="18"/>
          <w:szCs w:val="18"/>
          <w:color w:val="33F90A"/>
        </w:rPr>
      </w:pPr>
    </w:p>
    <w:p>
      <w:pPr>
        <w:ind w:left="325" w:right="60" w:hanging="325"/>
        <w:spacing w:after="0" w:line="253" w:lineRule="auto"/>
        <w:tabs>
          <w:tab w:leader="none" w:pos="329" w:val="left"/>
        </w:tabs>
        <w:numPr>
          <w:ilvl w:val="0"/>
          <w:numId w:val="13"/>
        </w:numPr>
        <w:rPr>
          <w:rFonts w:ascii="MS PGothic" w:cs="MS PGothic" w:eastAsia="MS PGothic" w:hAnsi="MS PGothic"/>
          <w:sz w:val="18"/>
          <w:szCs w:val="18"/>
          <w:color w:val="33F90A"/>
        </w:rPr>
      </w:pPr>
      <w:r>
        <w:rPr>
          <w:rFonts w:ascii="Arial" w:cs="Arial" w:eastAsia="Arial" w:hAnsi="Arial"/>
          <w:sz w:val="18"/>
          <w:szCs w:val="18"/>
          <w:color w:val="auto"/>
        </w:rPr>
        <w:t>Equity granted under the 2016 Plan has been broad-based, with more than 90% of all equity awards granted in the past three years issued to employees other than our executive officers and more than 90% were issued to employees with direct revenue-generating and client-facing responsibilities</w:t>
      </w:r>
    </w:p>
    <w:p>
      <w:pPr>
        <w:spacing w:after="0" w:line="29" w:lineRule="exact"/>
        <w:rPr>
          <w:rFonts w:ascii="MS PGothic" w:cs="MS PGothic" w:eastAsia="MS PGothic" w:hAnsi="MS PGothic"/>
          <w:sz w:val="18"/>
          <w:szCs w:val="18"/>
          <w:color w:val="33F90A"/>
        </w:rPr>
      </w:pPr>
    </w:p>
    <w:p>
      <w:pPr>
        <w:ind w:left="325" w:hanging="325"/>
        <w:spacing w:after="0"/>
        <w:tabs>
          <w:tab w:leader="none" w:pos="325" w:val="left"/>
        </w:tabs>
        <w:numPr>
          <w:ilvl w:val="0"/>
          <w:numId w:val="13"/>
        </w:numPr>
        <w:rPr>
          <w:rFonts w:ascii="MS PGothic" w:cs="MS PGothic" w:eastAsia="MS PGothic" w:hAnsi="MS PGothic"/>
          <w:sz w:val="18"/>
          <w:szCs w:val="18"/>
          <w:color w:val="33F90A"/>
        </w:rPr>
      </w:pPr>
      <w:r>
        <w:rPr>
          <w:rFonts w:ascii="Arial" w:cs="Arial" w:eastAsia="Arial" w:hAnsi="Arial"/>
          <w:sz w:val="18"/>
          <w:szCs w:val="18"/>
          <w:color w:val="auto"/>
        </w:rPr>
        <w:t>Equity ownership guidelines for executive officers and SMDs</w:t>
      </w:r>
    </w:p>
    <w:p>
      <w:pPr>
        <w:spacing w:after="0" w:line="49" w:lineRule="exact"/>
        <w:rPr>
          <w:rFonts w:ascii="MS PGothic" w:cs="MS PGothic" w:eastAsia="MS PGothic" w:hAnsi="MS PGothic"/>
          <w:sz w:val="18"/>
          <w:szCs w:val="18"/>
          <w:color w:val="33F90A"/>
        </w:rPr>
      </w:pPr>
    </w:p>
    <w:p>
      <w:pPr>
        <w:ind w:left="325" w:right="140" w:hanging="325"/>
        <w:spacing w:after="0" w:line="258" w:lineRule="auto"/>
        <w:tabs>
          <w:tab w:leader="none" w:pos="329" w:val="left"/>
        </w:tabs>
        <w:numPr>
          <w:ilvl w:val="0"/>
          <w:numId w:val="13"/>
        </w:numPr>
        <w:rPr>
          <w:rFonts w:ascii="MS PGothic" w:cs="MS PGothic" w:eastAsia="MS PGothic" w:hAnsi="MS PGothic"/>
          <w:sz w:val="18"/>
          <w:szCs w:val="18"/>
          <w:color w:val="33F90A"/>
        </w:rPr>
      </w:pPr>
      <w:r>
        <w:rPr>
          <w:rFonts w:ascii="Arial" w:cs="Arial" w:eastAsia="Arial" w:hAnsi="Arial"/>
          <w:sz w:val="18"/>
          <w:szCs w:val="18"/>
          <w:color w:val="auto"/>
        </w:rPr>
        <w:t>Separate annual compensation limit of $500,000 for non-employee directors</w:t>
      </w:r>
    </w:p>
    <w:p>
      <w:pPr>
        <w:spacing w:after="0" w:line="27" w:lineRule="exact"/>
        <w:rPr>
          <w:sz w:val="20"/>
          <w:szCs w:val="20"/>
          <w:color w:val="auto"/>
        </w:rPr>
      </w:pPr>
    </w:p>
    <w:p>
      <w:pPr>
        <w:sectPr>
          <w:pgSz w:w="11900" w:h="16838" w:orient="portrait"/>
          <w:cols w:equalWidth="0" w:num="2">
            <w:col w:w="5540" w:space="295"/>
            <w:col w:w="5285"/>
          </w:cols>
          <w:pgMar w:left="320" w:top="459" w:right="459" w:bottom="1440" w:gutter="0" w:footer="0" w:header="0"/>
          <w:type w:val="continuous"/>
        </w:sectPr>
      </w:pPr>
    </w:p>
    <w:p>
      <w:pPr>
        <w:ind w:left="6160" w:hanging="325"/>
        <w:spacing w:after="0"/>
        <w:tabs>
          <w:tab w:leader="none" w:pos="6160" w:val="left"/>
        </w:tabs>
        <w:numPr>
          <w:ilvl w:val="0"/>
          <w:numId w:val="14"/>
        </w:numPr>
        <w:rPr>
          <w:rFonts w:ascii="MS PGothic" w:cs="MS PGothic" w:eastAsia="MS PGothic" w:hAnsi="MS PGothic"/>
          <w:sz w:val="16"/>
          <w:szCs w:val="16"/>
          <w:color w:val="33F90A"/>
        </w:rPr>
      </w:pPr>
      <w:r>
        <w:rPr>
          <w:rFonts w:ascii="Arial" w:cs="Arial" w:eastAsia="Arial" w:hAnsi="Arial"/>
          <w:sz w:val="16"/>
          <w:szCs w:val="16"/>
          <w:color w:val="auto"/>
        </w:rPr>
        <w:t>NEO awards are subject to a clawback</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20"/>
          </w:cols>
          <w:pgMar w:left="32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13" w:lineRule="exact"/>
        <w:rPr>
          <w:sz w:val="20"/>
          <w:szCs w:val="20"/>
          <w:color w:val="auto"/>
        </w:rPr>
      </w:pPr>
    </w:p>
    <w:p>
      <w:pPr>
        <w:ind w:left="1100" w:right="240" w:hanging="876"/>
        <w:spacing w:after="0" w:line="259" w:lineRule="auto"/>
        <w:tabs>
          <w:tab w:leader="none" w:pos="11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We believe that our prudent use of equity compensation has been an important driver of our success, and is now necessary for our continued success. In light of the COVID-19 pandemic and subsequent market volatility, we are focused on managing our expenses and preserving financial flexibility. In order to do this effectively, now more than ever it is critical that we have shares available for compensation purposes.</w:t>
      </w:r>
    </w:p>
    <w:p>
      <w:pPr>
        <w:spacing w:after="0" w:line="186" w:lineRule="exact"/>
        <w:rPr>
          <w:rFonts w:ascii="MS PGothic" w:cs="MS PGothic" w:eastAsia="MS PGothic" w:hAnsi="MS PGothic"/>
          <w:sz w:val="18"/>
          <w:szCs w:val="18"/>
          <w:color w:val="auto"/>
        </w:rPr>
      </w:pPr>
    </w:p>
    <w:p>
      <w:pPr>
        <w:ind w:left="1100" w:right="80" w:hanging="876"/>
        <w:spacing w:after="0" w:line="259" w:lineRule="auto"/>
        <w:tabs>
          <w:tab w:leader="none" w:pos="11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We have carefully considered the share request to allow the business to run with stability and certainty for approximately two years. We believe it is important to revisit equity compensation practices and norms with shareholders on a regular basis, and this interval—which is below the typical 3-4 year interval for companies of our size—strikes the right balance for shareholders and Evercore in the current environment.</w:t>
      </w:r>
    </w:p>
    <w:p>
      <w:pPr>
        <w:spacing w:after="0" w:line="186" w:lineRule="exact"/>
        <w:rPr>
          <w:rFonts w:ascii="MS PGothic" w:cs="MS PGothic" w:eastAsia="MS PGothic" w:hAnsi="MS PGothic"/>
          <w:sz w:val="18"/>
          <w:szCs w:val="18"/>
          <w:color w:val="auto"/>
        </w:rPr>
      </w:pPr>
    </w:p>
    <w:p>
      <w:pPr>
        <w:ind w:left="1100" w:right="60" w:hanging="876"/>
        <w:spacing w:after="0" w:line="259" w:lineRule="auto"/>
        <w:tabs>
          <w:tab w:leader="none" w:pos="11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We have a track record of prudent equity compensation management. We anticipated our 2016 proposal would provide sufficient shares to last two to three years. Due to our prudent management of equity awards, our strong performance and our use of deferred cash compensation, the shares authorized in 2016 have lasted nearly four years. Given the current environment, the additional shares we are requesting are critical to our current need for financial flexibility and liquidity.</w:t>
      </w:r>
    </w:p>
    <w:p>
      <w:pPr>
        <w:spacing w:after="0" w:line="186" w:lineRule="exact"/>
        <w:rPr>
          <w:rFonts w:ascii="MS PGothic" w:cs="MS PGothic" w:eastAsia="MS PGothic" w:hAnsi="MS PGothic"/>
          <w:sz w:val="18"/>
          <w:szCs w:val="18"/>
          <w:color w:val="auto"/>
        </w:rPr>
      </w:pPr>
    </w:p>
    <w:p>
      <w:pPr>
        <w:ind w:left="1100" w:right="240" w:hanging="876"/>
        <w:spacing w:after="0" w:line="286" w:lineRule="auto"/>
        <w:tabs>
          <w:tab w:leader="none" w:pos="110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Shareholder approval of the Amended 2016 Plan is critical and will enable us to continue to broadly grant equity compensation as a significant portion of our annual incentive compensation payments. Doing so allows us to incentivize all employees who receive equity, not just senior employees and NEOs, which will align the interests of our employees with those of our shareholders.</w:t>
      </w:r>
    </w:p>
    <w:p>
      <w:pPr>
        <w:spacing w:after="0" w:line="192" w:lineRule="exact"/>
        <w:rPr>
          <w:rFonts w:ascii="MS PGothic" w:cs="MS PGothic" w:eastAsia="MS PGothic" w:hAnsi="MS PGothic"/>
          <w:sz w:val="17"/>
          <w:szCs w:val="17"/>
          <w:color w:val="auto"/>
        </w:rPr>
      </w:pPr>
    </w:p>
    <w:p>
      <w:pPr>
        <w:ind w:left="1100" w:right="100" w:hanging="876"/>
        <w:spacing w:after="0" w:line="259" w:lineRule="auto"/>
        <w:tabs>
          <w:tab w:leader="none" w:pos="11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 reduction in our use of equity-based compensation would require a corresponding increase in alternative forms of deferred compensation, which we believe would reduce the alignment of interests between our employees and shareholders and also our flexibility to use cash for other purposes. As stated above, this could be particularly challenging in the current environment as we make every effort to preserve cash.</w:t>
      </w:r>
    </w:p>
    <w:p>
      <w:pPr>
        <w:spacing w:after="0" w:line="213" w:lineRule="exact"/>
        <w:rPr>
          <w:rFonts w:ascii="MS PGothic" w:cs="MS PGothic" w:eastAsia="MS PGothic" w:hAnsi="MS PGothic"/>
          <w:sz w:val="18"/>
          <w:szCs w:val="18"/>
          <w:color w:val="auto"/>
        </w:rPr>
      </w:pPr>
    </w:p>
    <w:p>
      <w:pPr>
        <w:ind w:left="1100" w:right="120" w:hanging="876"/>
        <w:spacing w:after="0" w:line="263" w:lineRule="auto"/>
        <w:tabs>
          <w:tab w:leader="none" w:pos="11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We are a human capital business and our revenue and profits are tied to the number, quality and performance of our people. Our ability to pay appropriate levels of compensation in the form of equity incentives has enabled us to recruit, retain and motivate high-caliber talent dedicated to our long term growth and success.</w:t>
      </w:r>
    </w:p>
    <w:p>
      <w:pPr>
        <w:spacing w:after="0" w:line="183" w:lineRule="exact"/>
        <w:rPr>
          <w:rFonts w:ascii="MS PGothic" w:cs="MS PGothic" w:eastAsia="MS PGothic" w:hAnsi="MS PGothic"/>
          <w:sz w:val="18"/>
          <w:szCs w:val="18"/>
          <w:color w:val="auto"/>
        </w:rPr>
      </w:pPr>
    </w:p>
    <w:p>
      <w:pPr>
        <w:ind w:left="1100" w:hanging="876"/>
        <w:spacing w:after="0" w:line="301" w:lineRule="auto"/>
        <w:tabs>
          <w:tab w:leader="none" w:pos="1100" w:val="left"/>
        </w:tabs>
        <w:numPr>
          <w:ilvl w:val="0"/>
          <w:numId w:val="15"/>
        </w:numPr>
        <w:rPr>
          <w:rFonts w:ascii="MS PGothic" w:cs="MS PGothic" w:eastAsia="MS PGothic" w:hAnsi="MS PGothic"/>
          <w:sz w:val="16"/>
          <w:szCs w:val="16"/>
          <w:color w:val="auto"/>
        </w:rPr>
      </w:pPr>
      <w:r>
        <w:rPr>
          <w:rFonts w:ascii="Arial" w:cs="Arial" w:eastAsia="Arial" w:hAnsi="Arial"/>
          <w:sz w:val="16"/>
          <w:szCs w:val="16"/>
          <w:color w:val="auto"/>
        </w:rPr>
        <w:t>We effectively use our equity compensation program as a form of capital expenditure to invest in, retain and grow the business through our people. As a result, we rely more on our equity compensation programs than many of our peers do and use our equity plan to compensate a broader base of employees. Our shareholders recognize the need to make exceptions to the “one size fits all” metrics often used by proxy advisory firms when considering Evercore’s use of equity, and they have been supportive of how we use equity.</w:t>
      </w:r>
    </w:p>
    <w:p>
      <w:pPr>
        <w:spacing w:after="0" w:line="157" w:lineRule="exact"/>
        <w:rPr>
          <w:rFonts w:ascii="MS PGothic" w:cs="MS PGothic" w:eastAsia="MS PGothic" w:hAnsi="MS PGothic"/>
          <w:sz w:val="16"/>
          <w:szCs w:val="16"/>
          <w:color w:val="auto"/>
        </w:rPr>
      </w:pPr>
    </w:p>
    <w:p>
      <w:pPr>
        <w:ind w:left="1100" w:right="20" w:hanging="876"/>
        <w:spacing w:after="0" w:line="257" w:lineRule="auto"/>
        <w:tabs>
          <w:tab w:leader="none" w:pos="11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Our executive compensation program and performance are well aligned and have been strongly supported by our shareholders in the past. As stated previously, our executive compensation program has not changed in any material way since last year, when our shareholders supported our 2019 Say on Pay proposal at the 92% level. We believe this support is due to the Company’s exemplary business performance, a close alignment between performance and pay, our extensive shareholder engagement process and disclosure regarding our executive compensation program.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Prudent Use of Equity Compensation and Management of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0" w:lineRule="exact"/>
        <w:rPr>
          <w:sz w:val="20"/>
          <w:szCs w:val="20"/>
          <w:color w:val="auto"/>
        </w:rPr>
      </w:pPr>
    </w:p>
    <w:tbl>
      <w:tblPr>
        <w:tblLayout w:type="fixed"/>
        <w:tblInd w:w="130" w:type="dxa"/>
        <w:tblCellMar>
          <w:top w:w="0" w:type="dxa"/>
          <w:left w:w="0" w:type="dxa"/>
          <w:bottom w:w="0" w:type="dxa"/>
          <w:right w:w="0" w:type="dxa"/>
        </w:tblCellMar>
      </w:tblPr>
      <w:tr>
        <w:trPr>
          <w:trHeight w:val="249"/>
        </w:trPr>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6"/>
              </w:rPr>
              <w:t>Traditional burn rate and dilution analyses do not take into account our people-based cost structure or our compensation and share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2"/>
              </w:rPr>
              <w:t>repurchase practices. In addition, we are often compared to peers that have significantly different compensation systems, cost structures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89"/>
              </w:rPr>
              <w:t>and businesses. However, as discussed in more detail on page 77, our burn rate is similar to that of our more direct independent 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380" w:type="dxa"/>
            <w:vAlign w:val="bottom"/>
            <w:gridSpan w:val="4"/>
          </w:tcPr>
          <w:p>
            <w:pPr>
              <w:ind w:left="120"/>
              <w:spacing w:after="0"/>
              <w:rPr>
                <w:sz w:val="20"/>
                <w:szCs w:val="20"/>
                <w:color w:val="auto"/>
              </w:rPr>
            </w:pPr>
            <w:r>
              <w:rPr>
                <w:rFonts w:ascii="Arial" w:cs="Arial" w:eastAsia="Arial" w:hAnsi="Arial"/>
                <w:sz w:val="18"/>
                <w:szCs w:val="18"/>
                <w:color w:val="auto"/>
              </w:rPr>
              <w:t>banking advisory firm (“</w:t>
            </w:r>
            <w:r>
              <w:rPr>
                <w:rFonts w:ascii="Arial" w:cs="Arial" w:eastAsia="Arial" w:hAnsi="Arial"/>
                <w:sz w:val="18"/>
                <w:szCs w:val="18"/>
                <w:i w:val="1"/>
                <w:iCs w:val="1"/>
                <w:color w:val="auto"/>
              </w:rPr>
              <w:t>IAF</w:t>
            </w:r>
            <w:r>
              <w:rPr>
                <w:rFonts w:ascii="Arial" w:cs="Arial" w:eastAsia="Arial" w:hAnsi="Arial"/>
                <w:sz w:val="18"/>
                <w:szCs w:val="18"/>
                <w:color w:val="auto"/>
              </w:rPr>
              <w:t>”) public peers.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3"/>
              </w:rPr>
              <w:t>In 2016, we committed to work to (1) offset the dilutive effect of our annual bonus equity awards through our stock repurchase program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0"/>
              </w:rPr>
              <w:t>and (2) maintain our average three-year Net Burn Rate, at or below 1.5%, subject in each case to our ability to reserve necessary flexibility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w w:val="90"/>
              </w:rPr>
              <w:t>to address unusual circumstances.</w:t>
            </w: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3"/>
              </w:rPr>
              <w:t>As indicated in the charts below, we exceeded our 2016 commitment, achieving an average negative Net Burn Rate, with repurchases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rPr>
              <w:t>offsetting not just bonus equity awards over the 2017-2019 period, but also new hire and replacement awards.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gridSpan w:val="4"/>
            <w:shd w:val="clear" w:color="auto" w:fill="54A0FF"/>
          </w:tcPr>
          <w:p>
            <w:pPr>
              <w:jc w:val="center"/>
              <w:spacing w:after="0"/>
              <w:rPr>
                <w:sz w:val="20"/>
                <w:szCs w:val="20"/>
                <w:color w:val="auto"/>
              </w:rPr>
            </w:pPr>
            <w:r>
              <w:rPr>
                <w:rFonts w:ascii="Arial" w:cs="Arial" w:eastAsia="Arial" w:hAnsi="Arial"/>
                <w:sz w:val="17"/>
                <w:szCs w:val="17"/>
                <w:b w:val="1"/>
                <w:bCs w:val="1"/>
                <w:color w:val="FFFFFF"/>
                <w:w w:val="92"/>
              </w:rPr>
              <w:t>2016 Commitment</w:t>
            </w:r>
          </w:p>
        </w:tc>
        <w:tc>
          <w:tcPr>
            <w:tcW w:w="620" w:type="dxa"/>
            <w:vAlign w:val="bottom"/>
            <w:tcBorders>
              <w:bottom w:val="single" w:sz="8" w:color="auto"/>
            </w:tcBorders>
            <w:shd w:val="clear" w:color="auto" w:fill="54A0FF"/>
          </w:tcPr>
          <w:p>
            <w:pPr>
              <w:spacing w:after="0"/>
              <w:rPr>
                <w:sz w:val="21"/>
                <w:szCs w:val="21"/>
                <w:color w:val="auto"/>
              </w:rPr>
            </w:pPr>
          </w:p>
        </w:tc>
        <w:tc>
          <w:tcPr>
            <w:tcW w:w="480" w:type="dxa"/>
            <w:vAlign w:val="bottom"/>
            <w:tcBorders>
              <w:bottom w:val="single" w:sz="8" w:color="auto"/>
            </w:tcBorders>
            <w:shd w:val="clear" w:color="auto" w:fill="54A0FF"/>
          </w:tcPr>
          <w:p>
            <w:pPr>
              <w:spacing w:after="0"/>
              <w:rPr>
                <w:sz w:val="21"/>
                <w:szCs w:val="21"/>
                <w:color w:val="auto"/>
              </w:rPr>
            </w:pPr>
          </w:p>
        </w:tc>
        <w:tc>
          <w:tcPr>
            <w:tcW w:w="2640" w:type="dxa"/>
            <w:vAlign w:val="bottom"/>
            <w:tcBorders>
              <w:bottom w:val="single" w:sz="8" w:color="auto"/>
            </w:tcBorders>
            <w:gridSpan w:val="2"/>
            <w:shd w:val="clear" w:color="auto" w:fill="54A0FF"/>
          </w:tcPr>
          <w:p>
            <w:pPr>
              <w:jc w:val="center"/>
              <w:ind w:right="950"/>
              <w:spacing w:after="0"/>
              <w:rPr>
                <w:sz w:val="20"/>
                <w:szCs w:val="20"/>
                <w:color w:val="auto"/>
              </w:rPr>
            </w:pPr>
            <w:r>
              <w:rPr>
                <w:rFonts w:ascii="Arial" w:cs="Arial" w:eastAsia="Arial" w:hAnsi="Arial"/>
                <w:sz w:val="17"/>
                <w:szCs w:val="17"/>
                <w:b w:val="1"/>
                <w:bCs w:val="1"/>
                <w:color w:val="FFFFFF"/>
                <w:w w:val="89"/>
              </w:rPr>
              <w:t>2017-2019 Results</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00" w:type="dxa"/>
            <w:vAlign w:val="bottom"/>
            <w:tcBorders>
              <w:left w:val="single" w:sz="8" w:color="auto"/>
            </w:tcBorders>
            <w:gridSpan w:val="3"/>
            <w:vMerge w:val="restart"/>
            <w:shd w:val="clear" w:color="auto" w:fill="EAEFEF"/>
          </w:tcPr>
          <w:p>
            <w:pPr>
              <w:ind w:left="160"/>
              <w:spacing w:after="0"/>
              <w:rPr>
                <w:sz w:val="20"/>
                <w:szCs w:val="20"/>
                <w:color w:val="auto"/>
              </w:rPr>
            </w:pPr>
            <w:r>
              <w:rPr>
                <w:rFonts w:ascii="Arial" w:cs="Arial" w:eastAsia="Arial" w:hAnsi="Arial"/>
                <w:sz w:val="17"/>
                <w:szCs w:val="17"/>
                <w:b w:val="1"/>
                <w:bCs w:val="1"/>
                <w:color w:val="auto"/>
              </w:rPr>
              <w:t>Dilution Offset Through Repurchases</w:t>
            </w:r>
          </w:p>
        </w:tc>
        <w:tc>
          <w:tcPr>
            <w:tcW w:w="140" w:type="dxa"/>
            <w:vAlign w:val="bottom"/>
            <w:tcBorders>
              <w:right w:val="single" w:sz="8" w:color="auto"/>
            </w:tcBorders>
            <w:shd w:val="clear" w:color="auto" w:fill="EAEFEF"/>
          </w:tcPr>
          <w:p>
            <w:pPr>
              <w:spacing w:after="0"/>
              <w:rPr>
                <w:sz w:val="16"/>
                <w:szCs w:val="16"/>
                <w:color w:val="auto"/>
              </w:rPr>
            </w:pPr>
          </w:p>
        </w:tc>
        <w:tc>
          <w:tcPr>
            <w:tcW w:w="3640" w:type="dxa"/>
            <w:vAlign w:val="bottom"/>
            <w:tcBorders>
              <w:right w:val="single" w:sz="8" w:color="auto"/>
            </w:tcBorders>
            <w:gridSpan w:val="4"/>
          </w:tcPr>
          <w:p>
            <w:pPr>
              <w:jc w:val="center"/>
              <w:spacing w:after="0" w:line="194" w:lineRule="exact"/>
              <w:rPr>
                <w:sz w:val="20"/>
                <w:szCs w:val="20"/>
                <w:color w:val="auto"/>
              </w:rPr>
            </w:pPr>
            <w:r>
              <w:rPr>
                <w:rFonts w:ascii="Arial" w:cs="Arial" w:eastAsia="Arial" w:hAnsi="Arial"/>
                <w:sz w:val="17"/>
                <w:szCs w:val="17"/>
                <w:color w:val="auto"/>
                <w:w w:val="91"/>
              </w:rPr>
              <w:t>Offset annual bonus equity, with goal</w:t>
            </w:r>
          </w:p>
        </w:tc>
        <w:tc>
          <w:tcPr>
            <w:tcW w:w="620" w:type="dxa"/>
            <w:vAlign w:val="bottom"/>
          </w:tcPr>
          <w:p>
            <w:pPr>
              <w:spacing w:after="0"/>
              <w:rPr>
                <w:sz w:val="16"/>
                <w:szCs w:val="16"/>
                <w:color w:val="auto"/>
              </w:rPr>
            </w:pPr>
          </w:p>
        </w:tc>
        <w:tc>
          <w:tcPr>
            <w:tcW w:w="3120" w:type="dxa"/>
            <w:vAlign w:val="bottom"/>
            <w:gridSpan w:val="3"/>
          </w:tcPr>
          <w:p>
            <w:pPr>
              <w:jc w:val="center"/>
              <w:ind w:right="470"/>
              <w:spacing w:after="0" w:line="194" w:lineRule="exact"/>
              <w:rPr>
                <w:sz w:val="20"/>
                <w:szCs w:val="20"/>
                <w:color w:val="auto"/>
              </w:rPr>
            </w:pPr>
            <w:r>
              <w:rPr>
                <w:rFonts w:ascii="Arial" w:cs="Arial" w:eastAsia="Arial" w:hAnsi="Arial"/>
                <w:sz w:val="17"/>
                <w:szCs w:val="17"/>
                <w:color w:val="auto"/>
                <w:w w:val="91"/>
              </w:rPr>
              <w:t>More than offset annual bonus equity</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500" w:type="dxa"/>
            <w:vAlign w:val="bottom"/>
            <w:tcBorders>
              <w:left w:val="single" w:sz="8" w:color="auto"/>
            </w:tcBorders>
            <w:gridSpan w:val="3"/>
            <w:vMerge w:val="continue"/>
            <w:shd w:val="clear" w:color="auto" w:fill="EAEFEF"/>
          </w:tcPr>
          <w:p>
            <w:pPr>
              <w:spacing w:after="0"/>
              <w:rPr>
                <w:sz w:val="9"/>
                <w:szCs w:val="9"/>
                <w:color w:val="auto"/>
              </w:rPr>
            </w:pPr>
          </w:p>
        </w:tc>
        <w:tc>
          <w:tcPr>
            <w:tcW w:w="140" w:type="dxa"/>
            <w:vAlign w:val="bottom"/>
            <w:tcBorders>
              <w:right w:val="single" w:sz="8" w:color="auto"/>
            </w:tcBorders>
            <w:shd w:val="clear" w:color="auto" w:fill="EAEFEF"/>
          </w:tcPr>
          <w:p>
            <w:pPr>
              <w:spacing w:after="0"/>
              <w:rPr>
                <w:sz w:val="9"/>
                <w:szCs w:val="9"/>
                <w:color w:val="auto"/>
              </w:rPr>
            </w:pPr>
          </w:p>
        </w:tc>
        <w:tc>
          <w:tcPr>
            <w:tcW w:w="364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7"/>
                <w:szCs w:val="17"/>
                <w:color w:val="auto"/>
                <w:w w:val="93"/>
              </w:rPr>
              <w:t>of also offsetting new hire equity</w:t>
            </w: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40" w:type="dxa"/>
            <w:vAlign w:val="bottom"/>
            <w:gridSpan w:val="2"/>
            <w:vMerge w:val="restart"/>
          </w:tcPr>
          <w:p>
            <w:pPr>
              <w:jc w:val="center"/>
              <w:ind w:right="950"/>
              <w:spacing w:after="0"/>
              <w:rPr>
                <w:sz w:val="20"/>
                <w:szCs w:val="20"/>
                <w:color w:val="auto"/>
              </w:rPr>
            </w:pPr>
            <w:r>
              <w:rPr>
                <w:rFonts w:ascii="Arial" w:cs="Arial" w:eastAsia="Arial" w:hAnsi="Arial"/>
                <w:sz w:val="17"/>
                <w:szCs w:val="17"/>
                <w:color w:val="auto"/>
                <w:w w:val="92"/>
              </w:rPr>
              <w:t>and new hire equity</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60" w:type="dxa"/>
            <w:vAlign w:val="bottom"/>
            <w:tcBorders>
              <w:left w:val="single" w:sz="8" w:color="auto"/>
              <w:bottom w:val="single" w:sz="8" w:color="auto"/>
            </w:tcBorders>
            <w:shd w:val="clear" w:color="auto" w:fill="EAEFEF"/>
          </w:tcPr>
          <w:p>
            <w:pPr>
              <w:spacing w:after="0"/>
              <w:rPr>
                <w:sz w:val="9"/>
                <w:szCs w:val="9"/>
                <w:color w:val="auto"/>
              </w:rPr>
            </w:pPr>
          </w:p>
        </w:tc>
        <w:tc>
          <w:tcPr>
            <w:tcW w:w="2240" w:type="dxa"/>
            <w:vAlign w:val="bottom"/>
            <w:tcBorders>
              <w:bottom w:val="single" w:sz="8" w:color="auto"/>
            </w:tcBorders>
            <w:shd w:val="clear" w:color="auto" w:fill="EAEFEF"/>
          </w:tcPr>
          <w:p>
            <w:pPr>
              <w:spacing w:after="0"/>
              <w:rPr>
                <w:sz w:val="9"/>
                <w:szCs w:val="9"/>
                <w:color w:val="auto"/>
              </w:rPr>
            </w:pPr>
          </w:p>
        </w:tc>
        <w:tc>
          <w:tcPr>
            <w:tcW w:w="400" w:type="dxa"/>
            <w:vAlign w:val="bottom"/>
            <w:tcBorders>
              <w:bottom w:val="single" w:sz="8" w:color="auto"/>
            </w:tcBorders>
            <w:shd w:val="clear" w:color="auto" w:fill="EAEFEF"/>
          </w:tcPr>
          <w:p>
            <w:pPr>
              <w:spacing w:after="0"/>
              <w:rPr>
                <w:sz w:val="9"/>
                <w:szCs w:val="9"/>
                <w:color w:val="auto"/>
              </w:rPr>
            </w:pPr>
          </w:p>
        </w:tc>
        <w:tc>
          <w:tcPr>
            <w:tcW w:w="140" w:type="dxa"/>
            <w:vAlign w:val="bottom"/>
            <w:tcBorders>
              <w:bottom w:val="single" w:sz="8" w:color="auto"/>
              <w:right w:val="single" w:sz="8" w:color="auto"/>
            </w:tcBorders>
            <w:shd w:val="clear" w:color="auto" w:fill="EAEFEF"/>
          </w:tcPr>
          <w:p>
            <w:pPr>
              <w:spacing w:after="0"/>
              <w:rPr>
                <w:sz w:val="9"/>
                <w:szCs w:val="9"/>
                <w:color w:val="auto"/>
              </w:rPr>
            </w:pPr>
          </w:p>
        </w:tc>
        <w:tc>
          <w:tcPr>
            <w:tcW w:w="3640" w:type="dxa"/>
            <w:vAlign w:val="bottom"/>
            <w:tcBorders>
              <w:bottom w:val="single" w:sz="8" w:color="auto"/>
              <w:right w:val="single" w:sz="8" w:color="auto"/>
            </w:tcBorders>
            <w:gridSpan w:val="4"/>
            <w:vMerge w:val="continue"/>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500" w:type="dxa"/>
            <w:vAlign w:val="bottom"/>
            <w:tcBorders>
              <w:left w:val="single" w:sz="8" w:color="auto"/>
              <w:bottom w:val="single" w:sz="8" w:color="auto"/>
            </w:tcBorders>
            <w:gridSpan w:val="3"/>
            <w:shd w:val="clear" w:color="auto" w:fill="EAEFEF"/>
          </w:tcPr>
          <w:p>
            <w:pPr>
              <w:ind w:left="160"/>
              <w:spacing w:after="0"/>
              <w:rPr>
                <w:sz w:val="20"/>
                <w:szCs w:val="20"/>
                <w:color w:val="auto"/>
              </w:rPr>
            </w:pPr>
            <w:r>
              <w:rPr>
                <w:rFonts w:ascii="Arial" w:cs="Arial" w:eastAsia="Arial" w:hAnsi="Arial"/>
                <w:sz w:val="17"/>
                <w:szCs w:val="17"/>
                <w:b w:val="1"/>
                <w:bCs w:val="1"/>
                <w:color w:val="auto"/>
              </w:rPr>
              <w:t>Net Burn Rate</w:t>
            </w:r>
          </w:p>
        </w:tc>
        <w:tc>
          <w:tcPr>
            <w:tcW w:w="140" w:type="dxa"/>
            <w:vAlign w:val="bottom"/>
            <w:tcBorders>
              <w:bottom w:val="single" w:sz="8" w:color="auto"/>
              <w:right w:val="single" w:sz="8" w:color="auto"/>
            </w:tcBorders>
            <w:shd w:val="clear" w:color="auto" w:fill="EAEFEF"/>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92"/>
              </w:rPr>
              <w:t>1.5%</w:t>
            </w:r>
          </w:p>
        </w:tc>
        <w:tc>
          <w:tcPr>
            <w:tcW w:w="14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7"/>
                <w:szCs w:val="17"/>
                <w:color w:val="auto"/>
                <w:w w:val="89"/>
              </w:rPr>
              <w:t>-2.5%</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4"/>
              </w:rPr>
              <w:t>This year we have already substantially offset the dilutive effect of our annual bonus equity awards granted in 2020 through our share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1"/>
              </w:rPr>
              <w:t>repurchase program. We remain committed to carefully managing our shares by offsetting the dilutive effect of such awards through share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4"/>
              </w:rPr>
              <w:t>repurchases, including through net settlement of outstanding awards, subject to our future earnings and our need to maintain a strong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rPr>
              <w:t>liquidity position and reserve the necessary flexibility to address unusual circumstances that may arise.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1"/>
              </w:rPr>
              <w:t>We believe that our careful use of equity compensation is further evidenced by an analysis of our 2017-2019 average stock compensation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2"/>
              </w:rPr>
              <w:t>expense as a percentage of various three-year average operating measures, as compared to those of our IAF public peers who disclose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1"/>
              </w:rPr>
              <w:t>equity-only compensation expense. Our public IAF peers share our human capital-intensive business model, and are a better comparison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60" w:type="dxa"/>
            <w:vAlign w:val="bottom"/>
            <w:gridSpan w:val="11"/>
          </w:tcPr>
          <w:p>
            <w:pPr>
              <w:ind w:left="120"/>
              <w:spacing w:after="0"/>
              <w:rPr>
                <w:sz w:val="20"/>
                <w:szCs w:val="20"/>
                <w:color w:val="auto"/>
              </w:rPr>
            </w:pPr>
            <w:r>
              <w:rPr>
                <w:rFonts w:ascii="Arial" w:cs="Arial" w:eastAsia="Arial" w:hAnsi="Arial"/>
                <w:sz w:val="18"/>
                <w:szCs w:val="18"/>
                <w:color w:val="auto"/>
                <w:w w:val="93"/>
              </w:rPr>
              <w:t>for equity compensation program purposes than certain members of our broader financial services peer group, which generate revenue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7040" w:type="dxa"/>
            <w:vAlign w:val="bottom"/>
            <w:gridSpan w:val="8"/>
          </w:tcPr>
          <w:p>
            <w:pPr>
              <w:ind w:left="120"/>
              <w:spacing w:after="0"/>
              <w:rPr>
                <w:sz w:val="20"/>
                <w:szCs w:val="20"/>
                <w:color w:val="auto"/>
              </w:rPr>
            </w:pPr>
            <w:r>
              <w:rPr>
                <w:rFonts w:ascii="Arial" w:cs="Arial" w:eastAsia="Arial" w:hAnsi="Arial"/>
                <w:sz w:val="18"/>
                <w:szCs w:val="18"/>
                <w:color w:val="auto"/>
              </w:rPr>
              <w:t>from other capital. Please see page 77 for additional information and methodology.</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Borders>
              <w:left w:val="single" w:sz="8" w:color="E0FCF9"/>
              <w:bottom w:val="single" w:sz="8" w:color="E0FCF9"/>
            </w:tcBorders>
            <w:shd w:val="clear" w:color="auto" w:fill="E0FCF9"/>
          </w:tcPr>
          <w:p>
            <w:pPr>
              <w:spacing w:after="0"/>
              <w:rPr>
                <w:sz w:val="19"/>
                <w:szCs w:val="19"/>
                <w:color w:val="auto"/>
              </w:rPr>
            </w:pPr>
          </w:p>
        </w:tc>
        <w:tc>
          <w:tcPr>
            <w:tcW w:w="2240" w:type="dxa"/>
            <w:vAlign w:val="bottom"/>
            <w:tcBorders>
              <w:bottom w:val="single" w:sz="8" w:color="E0FCF9"/>
            </w:tcBorders>
            <w:shd w:val="clear" w:color="auto" w:fill="E0FCF9"/>
          </w:tcPr>
          <w:p>
            <w:pPr>
              <w:spacing w:after="0"/>
              <w:rPr>
                <w:sz w:val="19"/>
                <w:szCs w:val="19"/>
                <w:color w:val="auto"/>
              </w:rPr>
            </w:pPr>
          </w:p>
        </w:tc>
        <w:tc>
          <w:tcPr>
            <w:tcW w:w="400" w:type="dxa"/>
            <w:vAlign w:val="bottom"/>
            <w:tcBorders>
              <w:bottom w:val="single" w:sz="8" w:color="auto"/>
            </w:tcBorders>
            <w:shd w:val="clear" w:color="auto" w:fill="E0FCF9"/>
          </w:tcPr>
          <w:p>
            <w:pPr>
              <w:spacing w:after="0"/>
              <w:rPr>
                <w:sz w:val="19"/>
                <w:szCs w:val="19"/>
                <w:color w:val="auto"/>
              </w:rPr>
            </w:pPr>
          </w:p>
        </w:tc>
        <w:tc>
          <w:tcPr>
            <w:tcW w:w="140" w:type="dxa"/>
            <w:vAlign w:val="bottom"/>
            <w:tcBorders>
              <w:bottom w:val="single" w:sz="8" w:color="auto"/>
              <w:right w:val="single" w:sz="8" w:color="E0FCF9"/>
            </w:tcBorders>
            <w:shd w:val="clear" w:color="auto" w:fill="E0FCF9"/>
          </w:tcPr>
          <w:p>
            <w:pPr>
              <w:spacing w:after="0"/>
              <w:rPr>
                <w:sz w:val="19"/>
                <w:szCs w:val="19"/>
                <w:color w:val="auto"/>
              </w:rPr>
            </w:pPr>
          </w:p>
        </w:tc>
        <w:tc>
          <w:tcPr>
            <w:tcW w:w="7380" w:type="dxa"/>
            <w:vAlign w:val="bottom"/>
            <w:tcBorders>
              <w:bottom w:val="single" w:sz="8" w:color="auto"/>
            </w:tcBorders>
            <w:gridSpan w:val="8"/>
            <w:shd w:val="clear" w:color="auto" w:fill="E0FCF9"/>
          </w:tcPr>
          <w:p>
            <w:pPr>
              <w:ind w:left="1380"/>
              <w:spacing w:after="0"/>
              <w:rPr>
                <w:sz w:val="20"/>
                <w:szCs w:val="20"/>
                <w:color w:val="auto"/>
              </w:rPr>
            </w:pPr>
            <w:r>
              <w:rPr>
                <w:rFonts w:ascii="Arial" w:cs="Arial" w:eastAsia="Arial" w:hAnsi="Arial"/>
                <w:sz w:val="18"/>
                <w:szCs w:val="18"/>
                <w:b w:val="1"/>
                <w:bCs w:val="1"/>
                <w:color w:val="0A26FF"/>
              </w:rPr>
              <w:t>Three-Year Average of Stock Compensation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60" w:type="dxa"/>
            <w:vAlign w:val="bottom"/>
            <w:tcBorders>
              <w:left w:val="single" w:sz="8" w:color="E0FCF9"/>
            </w:tcBorders>
            <w:shd w:val="clear" w:color="auto" w:fill="E0FCF9"/>
          </w:tcPr>
          <w:p>
            <w:pPr>
              <w:spacing w:after="0"/>
              <w:rPr>
                <w:sz w:val="16"/>
                <w:szCs w:val="16"/>
                <w:color w:val="auto"/>
              </w:rPr>
            </w:pPr>
          </w:p>
        </w:tc>
        <w:tc>
          <w:tcPr>
            <w:tcW w:w="2240" w:type="dxa"/>
            <w:vAlign w:val="bottom"/>
            <w:shd w:val="clear" w:color="auto" w:fill="E0FCF9"/>
          </w:tcPr>
          <w:p>
            <w:pPr>
              <w:spacing w:after="0"/>
              <w:rPr>
                <w:sz w:val="16"/>
                <w:szCs w:val="16"/>
                <w:color w:val="auto"/>
              </w:rPr>
            </w:pPr>
          </w:p>
        </w:tc>
        <w:tc>
          <w:tcPr>
            <w:tcW w:w="400" w:type="dxa"/>
            <w:vAlign w:val="bottom"/>
            <w:shd w:val="clear" w:color="auto" w:fill="E0FCF9"/>
          </w:tcPr>
          <w:p>
            <w:pPr>
              <w:spacing w:after="0"/>
              <w:rPr>
                <w:sz w:val="16"/>
                <w:szCs w:val="16"/>
                <w:color w:val="auto"/>
              </w:rPr>
            </w:pPr>
          </w:p>
        </w:tc>
        <w:tc>
          <w:tcPr>
            <w:tcW w:w="1740" w:type="dxa"/>
            <w:vAlign w:val="bottom"/>
            <w:gridSpan w:val="2"/>
            <w:shd w:val="clear" w:color="auto" w:fill="E0FCF9"/>
          </w:tcPr>
          <w:p>
            <w:pPr>
              <w:jc w:val="center"/>
              <w:spacing w:after="0" w:line="191" w:lineRule="exact"/>
              <w:rPr>
                <w:sz w:val="20"/>
                <w:szCs w:val="20"/>
                <w:color w:val="auto"/>
              </w:rPr>
            </w:pPr>
            <w:r>
              <w:rPr>
                <w:rFonts w:ascii="Arial" w:cs="Arial" w:eastAsia="Arial" w:hAnsi="Arial"/>
                <w:sz w:val="18"/>
                <w:szCs w:val="18"/>
                <w:b w:val="1"/>
                <w:bCs w:val="1"/>
                <w:color w:val="0A26FF"/>
                <w:w w:val="90"/>
              </w:rPr>
              <w:t>Three-Year Average</w:t>
            </w:r>
          </w:p>
        </w:tc>
        <w:tc>
          <w:tcPr>
            <w:tcW w:w="400" w:type="dxa"/>
            <w:vAlign w:val="bottom"/>
            <w:shd w:val="clear" w:color="auto" w:fill="E0FCF9"/>
          </w:tcPr>
          <w:p>
            <w:pPr>
              <w:spacing w:after="0"/>
              <w:rPr>
                <w:sz w:val="16"/>
                <w:szCs w:val="16"/>
                <w:color w:val="auto"/>
              </w:rPr>
            </w:pPr>
          </w:p>
        </w:tc>
        <w:tc>
          <w:tcPr>
            <w:tcW w:w="220" w:type="dxa"/>
            <w:vAlign w:val="bottom"/>
            <w:shd w:val="clear" w:color="auto" w:fill="E0FCF9"/>
          </w:tcPr>
          <w:p>
            <w:pPr>
              <w:spacing w:after="0"/>
              <w:rPr>
                <w:sz w:val="16"/>
                <w:szCs w:val="16"/>
                <w:color w:val="auto"/>
              </w:rPr>
            </w:pPr>
          </w:p>
        </w:tc>
        <w:tc>
          <w:tcPr>
            <w:tcW w:w="1420" w:type="dxa"/>
            <w:vAlign w:val="bottom"/>
            <w:tcBorders>
              <w:right w:val="single" w:sz="8" w:color="E0FCF9"/>
            </w:tcBorders>
            <w:shd w:val="clear" w:color="auto" w:fill="E0FCF9"/>
          </w:tcPr>
          <w:p>
            <w:pPr>
              <w:spacing w:after="0"/>
              <w:rPr>
                <w:sz w:val="16"/>
                <w:szCs w:val="16"/>
                <w:color w:val="auto"/>
              </w:rPr>
            </w:pPr>
          </w:p>
        </w:tc>
        <w:tc>
          <w:tcPr>
            <w:tcW w:w="620" w:type="dxa"/>
            <w:vAlign w:val="bottom"/>
            <w:shd w:val="clear" w:color="auto" w:fill="E0FCF9"/>
          </w:tcPr>
          <w:p>
            <w:pPr>
              <w:spacing w:after="0"/>
              <w:rPr>
                <w:sz w:val="16"/>
                <w:szCs w:val="16"/>
                <w:color w:val="auto"/>
              </w:rPr>
            </w:pPr>
          </w:p>
        </w:tc>
        <w:tc>
          <w:tcPr>
            <w:tcW w:w="480" w:type="dxa"/>
            <w:vAlign w:val="bottom"/>
            <w:shd w:val="clear" w:color="auto" w:fill="E0FCF9"/>
          </w:tcPr>
          <w:p>
            <w:pPr>
              <w:spacing w:after="0"/>
              <w:rPr>
                <w:sz w:val="16"/>
                <w:szCs w:val="16"/>
                <w:color w:val="auto"/>
              </w:rPr>
            </w:pPr>
          </w:p>
        </w:tc>
        <w:tc>
          <w:tcPr>
            <w:tcW w:w="220" w:type="dxa"/>
            <w:vAlign w:val="bottom"/>
            <w:shd w:val="clear" w:color="auto" w:fill="E0FCF9"/>
          </w:tcPr>
          <w:p>
            <w:pPr>
              <w:spacing w:after="0"/>
              <w:rPr>
                <w:sz w:val="16"/>
                <w:szCs w:val="16"/>
                <w:color w:val="auto"/>
              </w:rPr>
            </w:pPr>
          </w:p>
        </w:tc>
        <w:tc>
          <w:tcPr>
            <w:tcW w:w="2420" w:type="dxa"/>
            <w:vAlign w:val="bottom"/>
            <w:shd w:val="clear" w:color="auto" w:fill="E0FC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E0FCF9"/>
            </w:tcBorders>
            <w:shd w:val="clear" w:color="auto" w:fill="E0FCF9"/>
          </w:tcPr>
          <w:p>
            <w:pPr>
              <w:spacing w:after="0"/>
              <w:rPr>
                <w:sz w:val="18"/>
                <w:szCs w:val="18"/>
                <w:color w:val="auto"/>
              </w:rPr>
            </w:pPr>
          </w:p>
        </w:tc>
        <w:tc>
          <w:tcPr>
            <w:tcW w:w="2240" w:type="dxa"/>
            <w:vAlign w:val="bottom"/>
            <w:shd w:val="clear" w:color="auto" w:fill="E0FCF9"/>
          </w:tcPr>
          <w:p>
            <w:pPr>
              <w:spacing w:after="0"/>
              <w:rPr>
                <w:sz w:val="18"/>
                <w:szCs w:val="18"/>
                <w:color w:val="auto"/>
              </w:rPr>
            </w:pPr>
          </w:p>
        </w:tc>
        <w:tc>
          <w:tcPr>
            <w:tcW w:w="400" w:type="dxa"/>
            <w:vAlign w:val="bottom"/>
            <w:shd w:val="clear" w:color="auto" w:fill="E0FCF9"/>
          </w:tcPr>
          <w:p>
            <w:pPr>
              <w:spacing w:after="0"/>
              <w:rPr>
                <w:sz w:val="18"/>
                <w:szCs w:val="18"/>
                <w:color w:val="auto"/>
              </w:rPr>
            </w:pPr>
          </w:p>
        </w:tc>
        <w:tc>
          <w:tcPr>
            <w:tcW w:w="1740" w:type="dxa"/>
            <w:vAlign w:val="bottom"/>
            <w:gridSpan w:val="2"/>
            <w:shd w:val="clear" w:color="auto" w:fill="E0FCF9"/>
          </w:tcPr>
          <w:p>
            <w:pPr>
              <w:jc w:val="center"/>
              <w:spacing w:after="0"/>
              <w:rPr>
                <w:sz w:val="20"/>
                <w:szCs w:val="20"/>
                <w:color w:val="auto"/>
              </w:rPr>
            </w:pPr>
            <w:r>
              <w:rPr>
                <w:rFonts w:ascii="Arial" w:cs="Arial" w:eastAsia="Arial" w:hAnsi="Arial"/>
                <w:sz w:val="18"/>
                <w:szCs w:val="18"/>
                <w:b w:val="1"/>
                <w:bCs w:val="1"/>
                <w:color w:val="0A26FF"/>
                <w:w w:val="88"/>
              </w:rPr>
              <w:t>Stock Compensation</w:t>
            </w:r>
          </w:p>
        </w:tc>
        <w:tc>
          <w:tcPr>
            <w:tcW w:w="400" w:type="dxa"/>
            <w:vAlign w:val="bottom"/>
            <w:shd w:val="clear" w:color="auto" w:fill="E0FCF9"/>
          </w:tcPr>
          <w:p>
            <w:pPr>
              <w:spacing w:after="0"/>
              <w:rPr>
                <w:sz w:val="18"/>
                <w:szCs w:val="18"/>
                <w:color w:val="auto"/>
              </w:rPr>
            </w:pPr>
          </w:p>
        </w:tc>
        <w:tc>
          <w:tcPr>
            <w:tcW w:w="220" w:type="dxa"/>
            <w:vAlign w:val="bottom"/>
            <w:shd w:val="clear" w:color="auto" w:fill="E0FCF9"/>
          </w:tcPr>
          <w:p>
            <w:pPr>
              <w:spacing w:after="0"/>
              <w:rPr>
                <w:sz w:val="18"/>
                <w:szCs w:val="18"/>
                <w:color w:val="auto"/>
              </w:rPr>
            </w:pPr>
          </w:p>
        </w:tc>
        <w:tc>
          <w:tcPr>
            <w:tcW w:w="2040" w:type="dxa"/>
            <w:vAlign w:val="bottom"/>
            <w:gridSpan w:val="2"/>
            <w:shd w:val="clear" w:color="auto" w:fill="E0FCF9"/>
          </w:tcPr>
          <w:p>
            <w:pPr>
              <w:jc w:val="center"/>
              <w:ind w:left="370"/>
              <w:spacing w:after="0"/>
              <w:rPr>
                <w:sz w:val="20"/>
                <w:szCs w:val="20"/>
                <w:color w:val="auto"/>
              </w:rPr>
            </w:pPr>
            <w:r>
              <w:rPr>
                <w:rFonts w:ascii="Arial" w:cs="Arial" w:eastAsia="Arial" w:hAnsi="Arial"/>
                <w:sz w:val="18"/>
                <w:szCs w:val="18"/>
                <w:b w:val="1"/>
                <w:bCs w:val="1"/>
                <w:color w:val="0A26FF"/>
                <w:w w:val="87"/>
              </w:rPr>
              <w:t>As a Percentage of</w:t>
            </w:r>
          </w:p>
        </w:tc>
        <w:tc>
          <w:tcPr>
            <w:tcW w:w="480" w:type="dxa"/>
            <w:vAlign w:val="bottom"/>
            <w:shd w:val="clear" w:color="auto" w:fill="E0FCF9"/>
          </w:tcPr>
          <w:p>
            <w:pPr>
              <w:spacing w:after="0"/>
              <w:rPr>
                <w:sz w:val="18"/>
                <w:szCs w:val="18"/>
                <w:color w:val="auto"/>
              </w:rPr>
            </w:pPr>
          </w:p>
        </w:tc>
        <w:tc>
          <w:tcPr>
            <w:tcW w:w="220" w:type="dxa"/>
            <w:vAlign w:val="bottom"/>
            <w:shd w:val="clear" w:color="auto" w:fill="E0FCF9"/>
          </w:tcPr>
          <w:p>
            <w:pPr>
              <w:spacing w:after="0"/>
              <w:rPr>
                <w:sz w:val="18"/>
                <w:szCs w:val="18"/>
                <w:color w:val="auto"/>
              </w:rPr>
            </w:pPr>
          </w:p>
        </w:tc>
        <w:tc>
          <w:tcPr>
            <w:tcW w:w="2420" w:type="dxa"/>
            <w:vAlign w:val="bottom"/>
            <w:shd w:val="clear" w:color="auto" w:fill="E0FC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0" w:type="dxa"/>
            <w:vAlign w:val="bottom"/>
            <w:tcBorders>
              <w:left w:val="single" w:sz="8" w:color="E0FCF9"/>
            </w:tcBorders>
            <w:shd w:val="clear" w:color="auto" w:fill="E0FCF9"/>
          </w:tcPr>
          <w:p>
            <w:pPr>
              <w:spacing w:after="0"/>
              <w:rPr>
                <w:sz w:val="21"/>
                <w:szCs w:val="21"/>
                <w:color w:val="auto"/>
              </w:rPr>
            </w:pPr>
          </w:p>
        </w:tc>
        <w:tc>
          <w:tcPr>
            <w:tcW w:w="2240" w:type="dxa"/>
            <w:vAlign w:val="bottom"/>
            <w:shd w:val="clear" w:color="auto" w:fill="E0FCF9"/>
          </w:tcPr>
          <w:p>
            <w:pPr>
              <w:spacing w:after="0"/>
              <w:rPr>
                <w:sz w:val="21"/>
                <w:szCs w:val="21"/>
                <w:color w:val="auto"/>
              </w:rPr>
            </w:pPr>
          </w:p>
        </w:tc>
        <w:tc>
          <w:tcPr>
            <w:tcW w:w="400" w:type="dxa"/>
            <w:vAlign w:val="bottom"/>
            <w:tcBorders>
              <w:bottom w:val="single" w:sz="8" w:color="auto"/>
            </w:tcBorders>
            <w:shd w:val="clear" w:color="auto" w:fill="E0FCF9"/>
          </w:tcPr>
          <w:p>
            <w:pPr>
              <w:spacing w:after="0"/>
              <w:rPr>
                <w:sz w:val="21"/>
                <w:szCs w:val="21"/>
                <w:color w:val="auto"/>
              </w:rPr>
            </w:pPr>
          </w:p>
        </w:tc>
        <w:tc>
          <w:tcPr>
            <w:tcW w:w="140" w:type="dxa"/>
            <w:vAlign w:val="bottom"/>
            <w:tcBorders>
              <w:bottom w:val="single" w:sz="8" w:color="auto"/>
              <w:right w:val="single" w:sz="8" w:color="E0FCF9"/>
            </w:tcBorders>
            <w:shd w:val="clear" w:color="auto" w:fill="E0FCF9"/>
          </w:tcPr>
          <w:p>
            <w:pPr>
              <w:spacing w:after="0"/>
              <w:rPr>
                <w:sz w:val="21"/>
                <w:szCs w:val="21"/>
                <w:color w:val="auto"/>
              </w:rPr>
            </w:pPr>
          </w:p>
        </w:tc>
        <w:tc>
          <w:tcPr>
            <w:tcW w:w="1600" w:type="dxa"/>
            <w:vAlign w:val="bottom"/>
            <w:tcBorders>
              <w:bottom w:val="single" w:sz="8" w:color="auto"/>
            </w:tcBorders>
            <w:shd w:val="clear" w:color="auto" w:fill="E0FCF9"/>
          </w:tcPr>
          <w:p>
            <w:pPr>
              <w:jc w:val="center"/>
              <w:ind w:right="53"/>
              <w:spacing w:after="0"/>
              <w:rPr>
                <w:sz w:val="20"/>
                <w:szCs w:val="20"/>
                <w:color w:val="auto"/>
              </w:rPr>
            </w:pPr>
            <w:r>
              <w:rPr>
                <w:rFonts w:ascii="Arial" w:cs="Arial" w:eastAsia="Arial" w:hAnsi="Arial"/>
                <w:sz w:val="18"/>
                <w:szCs w:val="18"/>
                <w:b w:val="1"/>
                <w:bCs w:val="1"/>
                <w:color w:val="0A26FF"/>
                <w:w w:val="87"/>
              </w:rPr>
              <w:t>Expense (in 000’s)</w:t>
            </w:r>
          </w:p>
        </w:tc>
        <w:tc>
          <w:tcPr>
            <w:tcW w:w="400" w:type="dxa"/>
            <w:vAlign w:val="bottom"/>
            <w:tcBorders>
              <w:bottom w:val="single" w:sz="8" w:color="auto"/>
            </w:tcBorders>
            <w:shd w:val="clear" w:color="auto" w:fill="E0FCF9"/>
          </w:tcPr>
          <w:p>
            <w:pPr>
              <w:spacing w:after="0"/>
              <w:rPr>
                <w:sz w:val="21"/>
                <w:szCs w:val="21"/>
                <w:color w:val="auto"/>
              </w:rPr>
            </w:pPr>
          </w:p>
        </w:tc>
        <w:tc>
          <w:tcPr>
            <w:tcW w:w="220" w:type="dxa"/>
            <w:vAlign w:val="bottom"/>
            <w:shd w:val="clear" w:color="auto" w:fill="E0FCF9"/>
          </w:tcPr>
          <w:p>
            <w:pPr>
              <w:spacing w:after="0"/>
              <w:rPr>
                <w:sz w:val="21"/>
                <w:szCs w:val="21"/>
                <w:color w:val="auto"/>
              </w:rPr>
            </w:pPr>
          </w:p>
        </w:tc>
        <w:tc>
          <w:tcPr>
            <w:tcW w:w="2040" w:type="dxa"/>
            <w:vAlign w:val="bottom"/>
            <w:tcBorders>
              <w:bottom w:val="single" w:sz="8" w:color="auto"/>
            </w:tcBorders>
            <w:gridSpan w:val="2"/>
            <w:shd w:val="clear" w:color="auto" w:fill="E0FCF9"/>
          </w:tcPr>
          <w:p>
            <w:pPr>
              <w:jc w:val="center"/>
              <w:ind w:left="390"/>
              <w:spacing w:after="0"/>
              <w:rPr>
                <w:sz w:val="20"/>
                <w:szCs w:val="20"/>
                <w:color w:val="auto"/>
              </w:rPr>
            </w:pPr>
            <w:r>
              <w:rPr>
                <w:rFonts w:ascii="Arial" w:cs="Arial" w:eastAsia="Arial" w:hAnsi="Arial"/>
                <w:sz w:val="18"/>
                <w:szCs w:val="18"/>
                <w:b w:val="1"/>
                <w:bCs w:val="1"/>
                <w:color w:val="0A26FF"/>
                <w:w w:val="91"/>
              </w:rPr>
              <w:t>GAAP Net Revenue</w:t>
            </w:r>
          </w:p>
        </w:tc>
        <w:tc>
          <w:tcPr>
            <w:tcW w:w="480" w:type="dxa"/>
            <w:vAlign w:val="bottom"/>
            <w:tcBorders>
              <w:bottom w:val="single" w:sz="8" w:color="auto"/>
            </w:tcBorders>
            <w:shd w:val="clear" w:color="auto" w:fill="E0FCF9"/>
          </w:tcPr>
          <w:p>
            <w:pPr>
              <w:spacing w:after="0"/>
              <w:rPr>
                <w:sz w:val="21"/>
                <w:szCs w:val="21"/>
                <w:color w:val="auto"/>
              </w:rPr>
            </w:pPr>
          </w:p>
        </w:tc>
        <w:tc>
          <w:tcPr>
            <w:tcW w:w="220" w:type="dxa"/>
            <w:vAlign w:val="bottom"/>
            <w:shd w:val="clear" w:color="auto" w:fill="E0FCF9"/>
          </w:tcPr>
          <w:p>
            <w:pPr>
              <w:spacing w:after="0"/>
              <w:rPr>
                <w:sz w:val="21"/>
                <w:szCs w:val="21"/>
                <w:color w:val="auto"/>
              </w:rPr>
            </w:pPr>
          </w:p>
        </w:tc>
        <w:tc>
          <w:tcPr>
            <w:tcW w:w="2420" w:type="dxa"/>
            <w:vAlign w:val="bottom"/>
            <w:tcBorders>
              <w:bottom w:val="single" w:sz="8" w:color="auto"/>
            </w:tcBorders>
            <w:shd w:val="clear" w:color="auto" w:fill="E0FCF9"/>
          </w:tcPr>
          <w:p>
            <w:pPr>
              <w:ind w:left="660"/>
              <w:spacing w:after="0"/>
              <w:rPr>
                <w:sz w:val="20"/>
                <w:szCs w:val="20"/>
                <w:color w:val="auto"/>
              </w:rPr>
            </w:pPr>
            <w:r>
              <w:rPr>
                <w:rFonts w:ascii="Arial" w:cs="Arial" w:eastAsia="Arial" w:hAnsi="Arial"/>
                <w:sz w:val="18"/>
                <w:szCs w:val="18"/>
                <w:b w:val="1"/>
                <w:bCs w:val="1"/>
                <w:color w:val="0A26FF"/>
              </w:rPr>
              <w:t>Per Employee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line="191" w:lineRule="exact"/>
              <w:rPr>
                <w:sz w:val="20"/>
                <w:szCs w:val="20"/>
                <w:color w:val="auto"/>
              </w:rPr>
            </w:pPr>
            <w:r>
              <w:rPr>
                <w:rFonts w:ascii="Arial" w:cs="Arial" w:eastAsia="Arial" w:hAnsi="Arial"/>
                <w:sz w:val="18"/>
                <w:szCs w:val="18"/>
                <w:b w:val="1"/>
                <w:bCs w:val="1"/>
                <w:color w:val="auto"/>
              </w:rPr>
              <w:t>Evercore</w:t>
            </w:r>
          </w:p>
        </w:tc>
        <w:tc>
          <w:tcPr>
            <w:tcW w:w="2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180,527</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left="1010"/>
              <w:spacing w:after="0" w:line="191" w:lineRule="exact"/>
              <w:rPr>
                <w:sz w:val="20"/>
                <w:szCs w:val="20"/>
                <w:color w:val="auto"/>
              </w:rPr>
            </w:pPr>
            <w:r>
              <w:rPr>
                <w:rFonts w:ascii="Arial" w:cs="Arial" w:eastAsia="Arial" w:hAnsi="Arial"/>
                <w:sz w:val="18"/>
                <w:szCs w:val="18"/>
                <w:b w:val="1"/>
                <w:bCs w:val="1"/>
                <w:color w:val="auto"/>
              </w:rPr>
              <w:t>9%</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$104,150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Lazard</w:t>
            </w: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9"/>
              </w:rPr>
              <w:t>264,607</w:t>
            </w:r>
          </w:p>
        </w:tc>
        <w:tc>
          <w:tcPr>
            <w:tcW w:w="2660" w:type="dxa"/>
            <w:vAlign w:val="bottom"/>
            <w:gridSpan w:val="4"/>
          </w:tcPr>
          <w:p>
            <w:pPr>
              <w:jc w:val="center"/>
              <w:ind w:left="1011"/>
              <w:spacing w:after="0"/>
              <w:rPr>
                <w:sz w:val="20"/>
                <w:szCs w:val="20"/>
                <w:color w:val="auto"/>
              </w:rPr>
            </w:pPr>
            <w:r>
              <w:rPr>
                <w:rFonts w:ascii="Arial" w:cs="Arial" w:eastAsia="Arial" w:hAnsi="Arial"/>
                <w:sz w:val="18"/>
                <w:szCs w:val="18"/>
                <w:color w:val="auto"/>
                <w:w w:val="88"/>
              </w:rPr>
              <w:t>10%</w:t>
            </w:r>
          </w:p>
        </w:tc>
        <w:tc>
          <w:tcPr>
            <w:tcW w:w="3120" w:type="dxa"/>
            <w:vAlign w:val="bottom"/>
            <w:gridSpan w:val="3"/>
          </w:tcPr>
          <w:p>
            <w:pPr>
              <w:jc w:val="center"/>
              <w:ind w:left="612"/>
              <w:spacing w:after="0"/>
              <w:rPr>
                <w:sz w:val="20"/>
                <w:szCs w:val="20"/>
                <w:color w:val="auto"/>
              </w:rPr>
            </w:pPr>
            <w:r>
              <w:rPr>
                <w:rFonts w:ascii="Arial" w:cs="Arial" w:eastAsia="Arial" w:hAnsi="Arial"/>
                <w:sz w:val="18"/>
                <w:szCs w:val="18"/>
                <w:color w:val="auto"/>
                <w:w w:val="89"/>
              </w:rPr>
              <w:t>$89,627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Moelis</w:t>
            </w: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9"/>
              </w:rPr>
              <w:t>111,668</w:t>
            </w:r>
          </w:p>
        </w:tc>
        <w:tc>
          <w:tcPr>
            <w:tcW w:w="2660" w:type="dxa"/>
            <w:vAlign w:val="bottom"/>
            <w:gridSpan w:val="4"/>
          </w:tcPr>
          <w:p>
            <w:pPr>
              <w:jc w:val="center"/>
              <w:ind w:left="1011"/>
              <w:spacing w:after="0"/>
              <w:rPr>
                <w:sz w:val="20"/>
                <w:szCs w:val="20"/>
                <w:color w:val="auto"/>
              </w:rPr>
            </w:pPr>
            <w:r>
              <w:rPr>
                <w:rFonts w:ascii="Arial" w:cs="Arial" w:eastAsia="Arial" w:hAnsi="Arial"/>
                <w:sz w:val="18"/>
                <w:szCs w:val="18"/>
                <w:color w:val="auto"/>
                <w:w w:val="88"/>
              </w:rPr>
              <w:t>14%</w:t>
            </w:r>
          </w:p>
        </w:tc>
        <w:tc>
          <w:tcPr>
            <w:tcW w:w="312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$135,575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PJT Partners</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9"/>
              </w:rPr>
              <w:t>115,162</w:t>
            </w:r>
          </w:p>
        </w:tc>
        <w:tc>
          <w:tcPr>
            <w:tcW w:w="2660" w:type="dxa"/>
            <w:vAlign w:val="bottom"/>
            <w:gridSpan w:val="4"/>
          </w:tcPr>
          <w:p>
            <w:pPr>
              <w:jc w:val="center"/>
              <w:ind w:left="1011"/>
              <w:spacing w:after="0"/>
              <w:rPr>
                <w:sz w:val="20"/>
                <w:szCs w:val="20"/>
                <w:color w:val="auto"/>
              </w:rPr>
            </w:pPr>
            <w:r>
              <w:rPr>
                <w:rFonts w:ascii="Arial" w:cs="Arial" w:eastAsia="Arial" w:hAnsi="Arial"/>
                <w:sz w:val="18"/>
                <w:szCs w:val="18"/>
                <w:color w:val="auto"/>
                <w:w w:val="88"/>
              </w:rPr>
              <w:t>19%</w:t>
            </w:r>
          </w:p>
        </w:tc>
        <w:tc>
          <w:tcPr>
            <w:tcW w:w="312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$198,442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Greenhill</w:t>
            </w: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41,467</w:t>
            </w:r>
          </w:p>
        </w:tc>
        <w:tc>
          <w:tcPr>
            <w:tcW w:w="2660" w:type="dxa"/>
            <w:vAlign w:val="bottom"/>
            <w:gridSpan w:val="4"/>
          </w:tcPr>
          <w:p>
            <w:pPr>
              <w:jc w:val="center"/>
              <w:ind w:left="1011"/>
              <w:spacing w:after="0"/>
              <w:rPr>
                <w:sz w:val="20"/>
                <w:szCs w:val="20"/>
                <w:color w:val="auto"/>
              </w:rPr>
            </w:pPr>
            <w:r>
              <w:rPr>
                <w:rFonts w:ascii="Arial" w:cs="Arial" w:eastAsia="Arial" w:hAnsi="Arial"/>
                <w:sz w:val="18"/>
                <w:szCs w:val="18"/>
                <w:color w:val="auto"/>
                <w:w w:val="88"/>
              </w:rPr>
              <w:t>14%</w:t>
            </w:r>
          </w:p>
        </w:tc>
        <w:tc>
          <w:tcPr>
            <w:tcW w:w="312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$111,470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jc w:val="center"/>
              <w:ind w:left="31"/>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FFFFFF"/>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right="80" w:firstLine="1745"/>
        <w:spacing w:after="0" w:line="311" w:lineRule="auto"/>
        <w:rPr>
          <w:sz w:val="20"/>
          <w:szCs w:val="20"/>
          <w:color w:val="auto"/>
        </w:rPr>
      </w:pPr>
      <w:r>
        <w:rPr>
          <w:rFonts w:ascii="Arial" w:cs="Arial" w:eastAsia="Arial" w:hAnsi="Arial"/>
          <w:sz w:val="16"/>
          <w:szCs w:val="16"/>
          <w:color w:val="auto"/>
        </w:rPr>
        <w:t>We believe that an integrated approach to business, strategy, corporate governance and corporate responsibility, including environmental, social and governance matters, is essential to operating our business and ultimately creating long term value for our shareholders. This approach manifests itself every day in our workplace environment and creates a positive impact on the communities where we operate.</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72" w:lineRule="exact"/>
        <w:rPr>
          <w:sz w:val="20"/>
          <w:szCs w:val="20"/>
          <w:color w:val="auto"/>
        </w:rPr>
      </w:pPr>
    </w:p>
    <w:p>
      <w:pPr>
        <w:ind w:left="220" w:right="100" w:firstLine="1745"/>
        <w:spacing w:after="0" w:line="259" w:lineRule="auto"/>
        <w:rPr>
          <w:sz w:val="20"/>
          <w:szCs w:val="20"/>
          <w:color w:val="auto"/>
        </w:rPr>
      </w:pPr>
      <w:r>
        <w:rPr>
          <w:rFonts w:ascii="Arial" w:cs="Arial" w:eastAsia="Arial" w:hAnsi="Arial"/>
          <w:sz w:val="18"/>
          <w:szCs w:val="18"/>
          <w:color w:val="auto"/>
        </w:rPr>
        <w:t>As a human capital intensive business, we are deeply committed to being one of the top places to work for the most talented professionals in the industry. Accordingly, we make a significant investment of time and resources into hiring, training, developing and mentoring our people. We believe that diversity of experience and background improves our organizational culture and performance, and better positions us to serve our clients and ultimately grow our business over the long term.</w:t>
      </w:r>
    </w:p>
    <w:p>
      <w:pPr>
        <w:spacing w:after="0" w:line="183" w:lineRule="exact"/>
        <w:rPr>
          <w:sz w:val="20"/>
          <w:szCs w:val="20"/>
          <w:color w:val="auto"/>
        </w:rPr>
      </w:pPr>
    </w:p>
    <w:p>
      <w:pPr>
        <w:ind w:left="1100" w:hanging="876"/>
        <w:spacing w:after="0"/>
        <w:tabs>
          <w:tab w:leader="none" w:pos="11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0016FF"/>
        </w:rPr>
        <w:t>Employee Training and Development, Recruitment, Work Environment and Employee Benefits.</w:t>
      </w:r>
    </w:p>
    <w:p>
      <w:pPr>
        <w:spacing w:after="0" w:line="225" w:lineRule="exact"/>
        <w:rPr>
          <w:rFonts w:ascii="MS PGothic" w:cs="MS PGothic" w:eastAsia="MS PGothic" w:hAnsi="MS PGothic"/>
          <w:sz w:val="18"/>
          <w:szCs w:val="18"/>
          <w:color w:val="auto"/>
        </w:rPr>
      </w:pPr>
    </w:p>
    <w:p>
      <w:pPr>
        <w:ind w:left="1420" w:hanging="319"/>
        <w:spacing w:after="0" w:line="261" w:lineRule="auto"/>
        <w:tabs>
          <w:tab w:leader="none" w:pos="1420" w:val="left"/>
        </w:tabs>
        <w:numPr>
          <w:ilvl w:val="1"/>
          <w:numId w:val="16"/>
        </w:numPr>
        <w:rPr>
          <w:rFonts w:ascii="Arial" w:cs="Arial" w:eastAsia="Arial" w:hAnsi="Arial"/>
          <w:sz w:val="18"/>
          <w:szCs w:val="18"/>
          <w:color w:val="0A26FF"/>
        </w:rPr>
      </w:pPr>
      <w:r>
        <w:rPr>
          <w:rFonts w:ascii="Arial" w:cs="Arial" w:eastAsia="Arial" w:hAnsi="Arial"/>
          <w:sz w:val="18"/>
          <w:szCs w:val="18"/>
          <w:b w:val="1"/>
          <w:bCs w:val="1"/>
          <w:color w:val="auto"/>
        </w:rPr>
        <w:t xml:space="preserve">Employee Training and Development: </w:t>
      </w:r>
      <w:r>
        <w:rPr>
          <w:rFonts w:ascii="Arial" w:cs="Arial" w:eastAsia="Arial" w:hAnsi="Arial"/>
          <w:sz w:val="18"/>
          <w:szCs w:val="18"/>
          <w:color w:val="auto"/>
        </w:rPr>
        <w:t>Our highly-respected training framework involves ongoing development at multiple stages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employees’ careers, including on-the-job training and extensive mentorship. Our senior professionals play a central role in teaching our programs. We also engage in a comprehensive evaluation process designed to provide our employees with the feedback necessary for their professional development.</w:t>
      </w:r>
    </w:p>
    <w:p>
      <w:pPr>
        <w:spacing w:after="0" w:line="179" w:lineRule="exact"/>
        <w:rPr>
          <w:rFonts w:ascii="Arial" w:cs="Arial" w:eastAsia="Arial" w:hAnsi="Arial"/>
          <w:sz w:val="18"/>
          <w:szCs w:val="18"/>
          <w:color w:val="0A26FF"/>
        </w:rPr>
      </w:pPr>
    </w:p>
    <w:p>
      <w:pPr>
        <w:ind w:left="1420" w:hanging="319"/>
        <w:spacing w:after="0"/>
        <w:tabs>
          <w:tab w:leader="none" w:pos="1420" w:val="left"/>
        </w:tabs>
        <w:numPr>
          <w:ilvl w:val="1"/>
          <w:numId w:val="16"/>
        </w:numPr>
        <w:rPr>
          <w:rFonts w:ascii="Arial" w:cs="Arial" w:eastAsia="Arial" w:hAnsi="Arial"/>
          <w:sz w:val="18"/>
          <w:szCs w:val="18"/>
          <w:color w:val="0A26FF"/>
        </w:rPr>
      </w:pPr>
      <w:r>
        <w:rPr>
          <w:rFonts w:ascii="Arial" w:cs="Arial" w:eastAsia="Arial" w:hAnsi="Arial"/>
          <w:sz w:val="18"/>
          <w:szCs w:val="18"/>
          <w:b w:val="1"/>
          <w:bCs w:val="1"/>
          <w:color w:val="auto"/>
        </w:rPr>
        <w:t xml:space="preserve">Recruitment: </w:t>
      </w:r>
      <w:r>
        <w:rPr>
          <w:rFonts w:ascii="Arial" w:cs="Arial" w:eastAsia="Arial" w:hAnsi="Arial"/>
          <w:sz w:val="18"/>
          <w:szCs w:val="18"/>
          <w:color w:val="auto"/>
        </w:rPr>
        <w:t>We invest substantial time and resources in the recruitment of people who will fit and improve our culture.</w:t>
      </w:r>
    </w:p>
    <w:p>
      <w:pPr>
        <w:spacing w:after="0" w:line="225" w:lineRule="exact"/>
        <w:rPr>
          <w:rFonts w:ascii="Arial" w:cs="Arial" w:eastAsia="Arial" w:hAnsi="Arial"/>
          <w:sz w:val="18"/>
          <w:szCs w:val="18"/>
          <w:color w:val="0A26FF"/>
        </w:rPr>
      </w:pPr>
    </w:p>
    <w:p>
      <w:pPr>
        <w:ind w:left="1420" w:right="160" w:hanging="319"/>
        <w:spacing w:after="0" w:line="282" w:lineRule="auto"/>
        <w:tabs>
          <w:tab w:leader="none" w:pos="1420" w:val="left"/>
        </w:tabs>
        <w:numPr>
          <w:ilvl w:val="1"/>
          <w:numId w:val="16"/>
        </w:numPr>
        <w:rPr>
          <w:rFonts w:ascii="Arial" w:cs="Arial" w:eastAsia="Arial" w:hAnsi="Arial"/>
          <w:sz w:val="18"/>
          <w:szCs w:val="18"/>
          <w:color w:val="0A26FF"/>
        </w:rPr>
      </w:pPr>
      <w:r>
        <w:rPr>
          <w:rFonts w:ascii="Arial" w:cs="Arial" w:eastAsia="Arial" w:hAnsi="Arial"/>
          <w:sz w:val="18"/>
          <w:szCs w:val="18"/>
          <w:b w:val="1"/>
          <w:bCs w:val="1"/>
          <w:color w:val="auto"/>
        </w:rPr>
        <w:t xml:space="preserve">Work Environment: </w:t>
      </w:r>
      <w:r>
        <w:rPr>
          <w:rFonts w:ascii="Arial" w:cs="Arial" w:eastAsia="Arial" w:hAnsi="Arial"/>
          <w:sz w:val="18"/>
          <w:szCs w:val="18"/>
          <w:color w:val="auto"/>
        </w:rPr>
        <w:t>We conduct employee surveys and take action on the results, implementing employee feedback in our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practices.</w:t>
      </w:r>
    </w:p>
    <w:p>
      <w:pPr>
        <w:spacing w:after="0" w:line="161" w:lineRule="exact"/>
        <w:rPr>
          <w:rFonts w:ascii="Arial" w:cs="Arial" w:eastAsia="Arial" w:hAnsi="Arial"/>
          <w:sz w:val="18"/>
          <w:szCs w:val="18"/>
          <w:color w:val="0A26FF"/>
        </w:rPr>
      </w:pPr>
    </w:p>
    <w:p>
      <w:pPr>
        <w:ind w:left="1420" w:right="80" w:hanging="319"/>
        <w:spacing w:after="0" w:line="258" w:lineRule="auto"/>
        <w:tabs>
          <w:tab w:leader="none" w:pos="1420" w:val="left"/>
        </w:tabs>
        <w:numPr>
          <w:ilvl w:val="1"/>
          <w:numId w:val="16"/>
        </w:numPr>
        <w:rPr>
          <w:rFonts w:ascii="Arial" w:cs="Arial" w:eastAsia="Arial" w:hAnsi="Arial"/>
          <w:sz w:val="18"/>
          <w:szCs w:val="18"/>
          <w:color w:val="0A26FF"/>
        </w:rPr>
      </w:pPr>
      <w:r>
        <w:rPr>
          <w:rFonts w:ascii="Arial" w:cs="Arial" w:eastAsia="Arial" w:hAnsi="Arial"/>
          <w:sz w:val="18"/>
          <w:szCs w:val="18"/>
          <w:b w:val="1"/>
          <w:bCs w:val="1"/>
          <w:color w:val="auto"/>
        </w:rPr>
        <w:t xml:space="preserve">Comprehensive Benefits: </w:t>
      </w:r>
      <w:r>
        <w:rPr>
          <w:rFonts w:ascii="Arial" w:cs="Arial" w:eastAsia="Arial" w:hAnsi="Arial"/>
          <w:sz w:val="18"/>
          <w:szCs w:val="18"/>
          <w:color w:val="auto"/>
        </w:rPr>
        <w:t>Our benefits for eligible employees include the following: paid holidays, vacation days, personal days and</w:t>
      </w:r>
      <w:r>
        <w:rPr>
          <w:rFonts w:ascii="Arial" w:cs="Arial" w:eastAsia="Arial" w:hAnsi="Arial"/>
          <w:sz w:val="18"/>
          <w:szCs w:val="18"/>
          <w:b w:val="1"/>
          <w:bCs w:val="1"/>
          <w:color w:val="auto"/>
        </w:rPr>
        <w:t xml:space="preserve"> </w:t>
      </w:r>
      <w:r>
        <w:rPr>
          <w:rFonts w:ascii="Arial" w:cs="Arial" w:eastAsia="Arial" w:hAnsi="Arial"/>
          <w:sz w:val="18"/>
          <w:szCs w:val="18"/>
          <w:color w:val="auto"/>
        </w:rPr>
        <w:t>sick days; paid parental leave; women’s and family healthcare services; flexible work; back-up child care; paid marriage and bereavement leave; medical, dental, prescription drug and vision insurance; life and disability insurance; enhanced healthcare navigation and claims advocacy; retirement benefits; commuter benefits; health club membership discounts; identity theft protection; and other corporate benefits.</w:t>
      </w:r>
    </w:p>
    <w:p>
      <w:pPr>
        <w:spacing w:after="0" w:line="183" w:lineRule="exact"/>
        <w:rPr>
          <w:rFonts w:ascii="Arial" w:cs="Arial" w:eastAsia="Arial" w:hAnsi="Arial"/>
          <w:sz w:val="18"/>
          <w:szCs w:val="18"/>
          <w:color w:val="0A26FF"/>
        </w:rPr>
      </w:pPr>
    </w:p>
    <w:p>
      <w:pPr>
        <w:ind w:left="1420" w:hanging="319"/>
        <w:spacing w:after="0" w:line="266" w:lineRule="auto"/>
        <w:tabs>
          <w:tab w:leader="none" w:pos="1420" w:val="left"/>
        </w:tabs>
        <w:numPr>
          <w:ilvl w:val="1"/>
          <w:numId w:val="16"/>
        </w:numPr>
        <w:rPr>
          <w:rFonts w:ascii="Arial" w:cs="Arial" w:eastAsia="Arial" w:hAnsi="Arial"/>
          <w:sz w:val="18"/>
          <w:szCs w:val="18"/>
          <w:color w:val="0A26FF"/>
        </w:rPr>
      </w:pPr>
      <w:r>
        <w:rPr>
          <w:rFonts w:ascii="Arial" w:cs="Arial" w:eastAsia="Arial" w:hAnsi="Arial"/>
          <w:sz w:val="18"/>
          <w:szCs w:val="18"/>
          <w:b w:val="1"/>
          <w:bCs w:val="1"/>
          <w:color w:val="auto"/>
        </w:rPr>
        <w:t xml:space="preserve">EverWELL Wellness Program: </w:t>
      </w:r>
      <w:r>
        <w:rPr>
          <w:rFonts w:ascii="Arial" w:cs="Arial" w:eastAsia="Arial" w:hAnsi="Arial"/>
          <w:sz w:val="18"/>
          <w:szCs w:val="18"/>
          <w:color w:val="auto"/>
        </w:rPr>
        <w:t>We promote wellness education and encourage our employees to take a mindful and active approach</w:t>
      </w:r>
      <w:r>
        <w:rPr>
          <w:rFonts w:ascii="Arial" w:cs="Arial" w:eastAsia="Arial" w:hAnsi="Arial"/>
          <w:sz w:val="18"/>
          <w:szCs w:val="18"/>
          <w:b w:val="1"/>
          <w:bCs w:val="1"/>
          <w:color w:val="auto"/>
        </w:rPr>
        <w:t xml:space="preserve"> </w:t>
      </w:r>
      <w:r>
        <w:rPr>
          <w:rFonts w:ascii="Arial" w:cs="Arial" w:eastAsia="Arial" w:hAnsi="Arial"/>
          <w:sz w:val="18"/>
          <w:szCs w:val="18"/>
          <w:color w:val="auto"/>
        </w:rPr>
        <w:t>to their overall well-being. We offer various resources and seminars related to different aspects of healthy living, including a focus on employees’ health, welfare, nutrition, stress management and financial wellness.</w:t>
      </w:r>
    </w:p>
    <w:p>
      <w:pPr>
        <w:spacing w:after="0" w:line="175" w:lineRule="exact"/>
        <w:rPr>
          <w:rFonts w:ascii="Arial" w:cs="Arial" w:eastAsia="Arial" w:hAnsi="Arial"/>
          <w:sz w:val="18"/>
          <w:szCs w:val="18"/>
          <w:color w:val="0A26FF"/>
        </w:rPr>
      </w:pPr>
    </w:p>
    <w:p>
      <w:pPr>
        <w:ind w:left="1100" w:hanging="876"/>
        <w:spacing w:after="0"/>
        <w:tabs>
          <w:tab w:leader="none" w:pos="11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0016FF"/>
        </w:rPr>
        <w:t>Diversity and Inclusion.</w:t>
      </w:r>
    </w:p>
    <w:p>
      <w:pPr>
        <w:spacing w:after="0" w:line="225" w:lineRule="exact"/>
        <w:rPr>
          <w:rFonts w:ascii="MS PGothic" w:cs="MS PGothic" w:eastAsia="MS PGothic" w:hAnsi="MS PGothic"/>
          <w:sz w:val="18"/>
          <w:szCs w:val="18"/>
          <w:color w:val="auto"/>
        </w:rPr>
      </w:pPr>
    </w:p>
    <w:p>
      <w:pPr>
        <w:jc w:val="both"/>
        <w:ind w:left="1420" w:right="100" w:hanging="319"/>
        <w:spacing w:after="0" w:line="289" w:lineRule="auto"/>
        <w:tabs>
          <w:tab w:leader="none" w:pos="1420" w:val="left"/>
        </w:tabs>
        <w:numPr>
          <w:ilvl w:val="1"/>
          <w:numId w:val="16"/>
        </w:numPr>
        <w:rPr>
          <w:rFonts w:ascii="Arial" w:cs="Arial" w:eastAsia="Arial" w:hAnsi="Arial"/>
          <w:sz w:val="17"/>
          <w:szCs w:val="17"/>
          <w:color w:val="0A26FF"/>
        </w:rPr>
      </w:pPr>
      <w:r>
        <w:rPr>
          <w:rFonts w:ascii="Arial" w:cs="Arial" w:eastAsia="Arial" w:hAnsi="Arial"/>
          <w:sz w:val="17"/>
          <w:szCs w:val="17"/>
          <w:b w:val="1"/>
          <w:bCs w:val="1"/>
          <w:color w:val="auto"/>
        </w:rPr>
        <w:t xml:space="preserve">Diversity Networks: </w:t>
      </w:r>
      <w:r>
        <w:rPr>
          <w:rFonts w:ascii="Arial" w:cs="Arial" w:eastAsia="Arial" w:hAnsi="Arial"/>
          <w:sz w:val="17"/>
          <w:szCs w:val="17"/>
          <w:color w:val="auto"/>
        </w:rPr>
        <w:t>In 2019 we launched four employee networks – Women, Underrepresented Minorities, Veterans and LGBTQ+.</w:t>
      </w:r>
      <w:r>
        <w:rPr>
          <w:rFonts w:ascii="Arial" w:cs="Arial" w:eastAsia="Arial" w:hAnsi="Arial"/>
          <w:sz w:val="17"/>
          <w:szCs w:val="17"/>
          <w:b w:val="1"/>
          <w:bCs w:val="1"/>
          <w:color w:val="auto"/>
        </w:rPr>
        <w:t xml:space="preserve"> </w:t>
      </w:r>
      <w:r>
        <w:rPr>
          <w:rFonts w:ascii="Arial" w:cs="Arial" w:eastAsia="Arial" w:hAnsi="Arial"/>
          <w:sz w:val="17"/>
          <w:szCs w:val="17"/>
          <w:color w:val="auto"/>
        </w:rPr>
        <w:t>Each network is responsible for developing relevant events and programs for its members and allies. More than 300 employees have signed up to join these groups, and another 300 employees have signed up as supporters, or “allies.”</w:t>
      </w:r>
    </w:p>
    <w:p>
      <w:pPr>
        <w:spacing w:after="0" w:line="157" w:lineRule="exact"/>
        <w:rPr>
          <w:rFonts w:ascii="Arial" w:cs="Arial" w:eastAsia="Arial" w:hAnsi="Arial"/>
          <w:sz w:val="17"/>
          <w:szCs w:val="17"/>
          <w:color w:val="0A26FF"/>
        </w:rPr>
      </w:pPr>
    </w:p>
    <w:p>
      <w:pPr>
        <w:ind w:left="1420" w:right="240" w:hanging="319"/>
        <w:spacing w:after="0" w:line="347" w:lineRule="auto"/>
        <w:tabs>
          <w:tab w:leader="none" w:pos="1420" w:val="left"/>
        </w:tabs>
        <w:numPr>
          <w:ilvl w:val="1"/>
          <w:numId w:val="16"/>
        </w:numPr>
        <w:rPr>
          <w:rFonts w:ascii="Arial" w:cs="Arial" w:eastAsia="Arial" w:hAnsi="Arial"/>
          <w:sz w:val="16"/>
          <w:szCs w:val="16"/>
          <w:color w:val="0A26FF"/>
        </w:rPr>
      </w:pPr>
      <w:r>
        <w:rPr>
          <w:rFonts w:ascii="Arial" w:cs="Arial" w:eastAsia="Arial" w:hAnsi="Arial"/>
          <w:sz w:val="16"/>
          <w:szCs w:val="16"/>
          <w:b w:val="1"/>
          <w:bCs w:val="1"/>
          <w:color w:val="auto"/>
        </w:rPr>
        <w:t xml:space="preserve">Recruitment and Development: </w:t>
      </w:r>
      <w:r>
        <w:rPr>
          <w:rFonts w:ascii="Arial" w:cs="Arial" w:eastAsia="Arial" w:hAnsi="Arial"/>
          <w:sz w:val="16"/>
          <w:szCs w:val="16"/>
          <w:color w:val="auto"/>
        </w:rPr>
        <w:t>We maintain an internal diversity recruiting team, partner with several external organizations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sponsor a diversity scholarship program. We also offer formal mentorship and sponsorship programs for diverse employees.</w:t>
      </w:r>
    </w:p>
    <w:p>
      <w:pPr>
        <w:spacing w:after="0" w:line="119" w:lineRule="exact"/>
        <w:rPr>
          <w:rFonts w:ascii="Arial" w:cs="Arial" w:eastAsia="Arial" w:hAnsi="Arial"/>
          <w:sz w:val="16"/>
          <w:szCs w:val="16"/>
          <w:color w:val="0A26FF"/>
        </w:rPr>
      </w:pPr>
    </w:p>
    <w:p>
      <w:pPr>
        <w:ind w:left="1420" w:hanging="319"/>
        <w:spacing w:after="0"/>
        <w:tabs>
          <w:tab w:leader="none" w:pos="1420" w:val="left"/>
        </w:tabs>
        <w:numPr>
          <w:ilvl w:val="1"/>
          <w:numId w:val="16"/>
        </w:numPr>
        <w:rPr>
          <w:rFonts w:ascii="Arial" w:cs="Arial" w:eastAsia="Arial" w:hAnsi="Arial"/>
          <w:sz w:val="18"/>
          <w:szCs w:val="18"/>
          <w:color w:val="0A26FF"/>
        </w:rPr>
      </w:pPr>
      <w:r>
        <w:rPr>
          <w:rFonts w:ascii="Arial" w:cs="Arial" w:eastAsia="Arial" w:hAnsi="Arial"/>
          <w:sz w:val="18"/>
          <w:szCs w:val="18"/>
          <w:color w:val="auto"/>
        </w:rPr>
        <w:t>Board of Directors: 40% of our independent directors are women.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20" w:right="420" w:hanging="319"/>
        <w:spacing w:after="0" w:line="312" w:lineRule="auto"/>
        <w:tabs>
          <w:tab w:leader="none" w:pos="1420" w:val="left"/>
        </w:tabs>
        <w:numPr>
          <w:ilvl w:val="1"/>
          <w:numId w:val="17"/>
        </w:numPr>
        <w:rPr>
          <w:rFonts w:ascii="Arial" w:cs="Arial" w:eastAsia="Arial" w:hAnsi="Arial"/>
          <w:sz w:val="17"/>
          <w:szCs w:val="17"/>
          <w:color w:val="0A26FF"/>
        </w:rPr>
      </w:pPr>
      <w:r>
        <w:rPr>
          <w:rFonts w:ascii="Arial" w:cs="Arial" w:eastAsia="Arial" w:hAnsi="Arial"/>
          <w:sz w:val="17"/>
          <w:szCs w:val="17"/>
          <w:b w:val="1"/>
          <w:bCs w:val="1"/>
          <w:color w:val="auto"/>
        </w:rPr>
        <w:t xml:space="preserve">Vault Rankings: </w:t>
      </w:r>
      <w:r>
        <w:rPr>
          <w:rFonts w:ascii="Arial" w:cs="Arial" w:eastAsia="Arial" w:hAnsi="Arial"/>
          <w:sz w:val="17"/>
          <w:szCs w:val="17"/>
          <w:color w:val="auto"/>
        </w:rPr>
        <w:t>In the Vault 2020 Rankings, we have maintained top rankings in Overall Diversity (currently #2), Diversity for</w:t>
      </w:r>
      <w:r>
        <w:rPr>
          <w:rFonts w:ascii="Arial" w:cs="Arial" w:eastAsia="Arial" w:hAnsi="Arial"/>
          <w:sz w:val="17"/>
          <w:szCs w:val="17"/>
          <w:b w:val="1"/>
          <w:bCs w:val="1"/>
          <w:color w:val="auto"/>
        </w:rPr>
        <w:t xml:space="preserve"> </w:t>
      </w:r>
      <w:r>
        <w:rPr>
          <w:rFonts w:ascii="Arial" w:cs="Arial" w:eastAsia="Arial" w:hAnsi="Arial"/>
          <w:sz w:val="17"/>
          <w:szCs w:val="17"/>
          <w:color w:val="auto"/>
        </w:rPr>
        <w:t>Women (currently #1), Diversity for Minorities (currently #2) and Diversity for LGBTQ Individuals (currently #2).</w:t>
      </w:r>
    </w:p>
    <w:p>
      <w:pPr>
        <w:spacing w:after="0" w:line="139" w:lineRule="exact"/>
        <w:rPr>
          <w:rFonts w:ascii="Arial" w:cs="Arial" w:eastAsia="Arial" w:hAnsi="Arial"/>
          <w:sz w:val="17"/>
          <w:szCs w:val="17"/>
          <w:color w:val="0A26FF"/>
        </w:rPr>
      </w:pPr>
    </w:p>
    <w:p>
      <w:pPr>
        <w:ind w:left="1100" w:hanging="876"/>
        <w:spacing w:after="0"/>
        <w:tabs>
          <w:tab w:leader="none" w:pos="1100" w:val="left"/>
        </w:tabs>
        <w:numPr>
          <w:ilvl w:val="0"/>
          <w:numId w:val="17"/>
        </w:numPr>
        <w:rPr>
          <w:rFonts w:ascii="MS PGothic" w:cs="MS PGothic" w:eastAsia="MS PGothic" w:hAnsi="MS PGothic"/>
          <w:sz w:val="18"/>
          <w:szCs w:val="18"/>
          <w:color w:val="auto"/>
        </w:rPr>
      </w:pPr>
      <w:r>
        <w:rPr>
          <w:rFonts w:ascii="Arial" w:cs="Arial" w:eastAsia="Arial" w:hAnsi="Arial"/>
          <w:sz w:val="18"/>
          <w:szCs w:val="18"/>
          <w:b w:val="1"/>
          <w:bCs w:val="1"/>
          <w:color w:val="0016FF"/>
        </w:rPr>
        <w:t>Community.</w:t>
      </w:r>
    </w:p>
    <w:p>
      <w:pPr>
        <w:spacing w:after="0" w:line="225" w:lineRule="exact"/>
        <w:rPr>
          <w:rFonts w:ascii="MS PGothic" w:cs="MS PGothic" w:eastAsia="MS PGothic" w:hAnsi="MS PGothic"/>
          <w:sz w:val="18"/>
          <w:szCs w:val="18"/>
          <w:color w:val="auto"/>
        </w:rPr>
      </w:pPr>
    </w:p>
    <w:p>
      <w:pPr>
        <w:ind w:left="1420" w:right="120" w:hanging="319"/>
        <w:spacing w:after="0" w:line="347" w:lineRule="auto"/>
        <w:tabs>
          <w:tab w:leader="none" w:pos="1420" w:val="left"/>
        </w:tabs>
        <w:numPr>
          <w:ilvl w:val="1"/>
          <w:numId w:val="17"/>
        </w:numPr>
        <w:rPr>
          <w:rFonts w:ascii="Arial" w:cs="Arial" w:eastAsia="Arial" w:hAnsi="Arial"/>
          <w:sz w:val="16"/>
          <w:szCs w:val="16"/>
          <w:color w:val="0A26FF"/>
        </w:rPr>
      </w:pPr>
      <w:r>
        <w:rPr>
          <w:rFonts w:ascii="Arial" w:cs="Arial" w:eastAsia="Arial" w:hAnsi="Arial"/>
          <w:sz w:val="16"/>
          <w:szCs w:val="16"/>
          <w:b w:val="1"/>
          <w:bCs w:val="1"/>
          <w:color w:val="auto"/>
        </w:rPr>
        <w:t xml:space="preserve">Evercore Volunteers: </w:t>
      </w:r>
      <w:r>
        <w:rPr>
          <w:rFonts w:ascii="Arial" w:cs="Arial" w:eastAsia="Arial" w:hAnsi="Arial"/>
          <w:sz w:val="16"/>
          <w:szCs w:val="16"/>
          <w:color w:val="auto"/>
        </w:rPr>
        <w:t>We have continued our firm-wide community service initiatives through Evercore Volunteers, which connects</w:t>
      </w:r>
      <w:r>
        <w:rPr>
          <w:rFonts w:ascii="Arial" w:cs="Arial" w:eastAsia="Arial" w:hAnsi="Arial"/>
          <w:sz w:val="16"/>
          <w:szCs w:val="16"/>
          <w:b w:val="1"/>
          <w:bCs w:val="1"/>
          <w:color w:val="auto"/>
        </w:rPr>
        <w:t xml:space="preserve"> </w:t>
      </w:r>
      <w:r>
        <w:rPr>
          <w:rFonts w:ascii="Arial" w:cs="Arial" w:eastAsia="Arial" w:hAnsi="Arial"/>
          <w:sz w:val="16"/>
          <w:szCs w:val="16"/>
          <w:color w:val="auto"/>
        </w:rPr>
        <w:t>our employees with our community partners in order to address immediate needs, support education and improve public spaces.</w:t>
      </w:r>
    </w:p>
    <w:p>
      <w:pPr>
        <w:spacing w:after="0" w:line="115" w:lineRule="exact"/>
        <w:rPr>
          <w:rFonts w:ascii="Arial" w:cs="Arial" w:eastAsia="Arial" w:hAnsi="Arial"/>
          <w:sz w:val="16"/>
          <w:szCs w:val="16"/>
          <w:color w:val="0A26FF"/>
        </w:rPr>
      </w:pPr>
    </w:p>
    <w:p>
      <w:pPr>
        <w:ind w:left="1420" w:hanging="319"/>
        <w:spacing w:after="0" w:line="282" w:lineRule="auto"/>
        <w:tabs>
          <w:tab w:leader="none" w:pos="1420" w:val="left"/>
        </w:tabs>
        <w:numPr>
          <w:ilvl w:val="1"/>
          <w:numId w:val="17"/>
        </w:numPr>
        <w:rPr>
          <w:rFonts w:ascii="Arial" w:cs="Arial" w:eastAsia="Arial" w:hAnsi="Arial"/>
          <w:sz w:val="18"/>
          <w:szCs w:val="18"/>
          <w:color w:val="0A26FF"/>
        </w:rPr>
      </w:pPr>
      <w:r>
        <w:rPr>
          <w:rFonts w:ascii="Arial" w:cs="Arial" w:eastAsia="Arial" w:hAnsi="Arial"/>
          <w:sz w:val="18"/>
          <w:szCs w:val="18"/>
          <w:b w:val="1"/>
          <w:bCs w:val="1"/>
          <w:color w:val="auto"/>
        </w:rPr>
        <w:t xml:space="preserve">Partnerships: </w:t>
      </w:r>
      <w:r>
        <w:rPr>
          <w:rFonts w:ascii="Arial" w:cs="Arial" w:eastAsia="Arial" w:hAnsi="Arial"/>
          <w:sz w:val="18"/>
          <w:szCs w:val="18"/>
          <w:color w:val="auto"/>
        </w:rPr>
        <w:t>We are proud to partner with New York Cares and its network of over 1,200 charities, The Fuller Center for Housing of</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New York City and other community organizations. We also facilitate charitable fundraising.</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right="360" w:firstLine="1745"/>
        <w:spacing w:after="0" w:line="277" w:lineRule="auto"/>
        <w:rPr>
          <w:sz w:val="20"/>
          <w:szCs w:val="20"/>
          <w:color w:val="auto"/>
        </w:rPr>
      </w:pPr>
      <w:r>
        <w:rPr>
          <w:rFonts w:ascii="Arial" w:cs="Arial" w:eastAsia="Arial" w:hAnsi="Arial"/>
          <w:sz w:val="18"/>
          <w:szCs w:val="18"/>
          <w:color w:val="auto"/>
        </w:rPr>
        <w:t>Environmental, social and governance matters have had a growing impact on company performance and investor decision making. Our services are helping our clients to understand and manage these issues.</w:t>
      </w:r>
    </w:p>
    <w:p>
      <w:pPr>
        <w:spacing w:after="0" w:line="166" w:lineRule="exact"/>
        <w:rPr>
          <w:sz w:val="20"/>
          <w:szCs w:val="20"/>
          <w:color w:val="auto"/>
        </w:rPr>
      </w:pPr>
    </w:p>
    <w:p>
      <w:pPr>
        <w:ind w:left="1100" w:right="720" w:hanging="876"/>
        <w:spacing w:after="0" w:line="312" w:lineRule="auto"/>
        <w:tabs>
          <w:tab w:leader="none" w:pos="1100" w:val="left"/>
        </w:tabs>
        <w:numPr>
          <w:ilvl w:val="0"/>
          <w:numId w:val="18"/>
        </w:numPr>
        <w:rPr>
          <w:rFonts w:ascii="MS PGothic" w:cs="MS PGothic" w:eastAsia="MS PGothic" w:hAnsi="MS PGothic"/>
          <w:sz w:val="17"/>
          <w:szCs w:val="17"/>
          <w:color w:val="auto"/>
        </w:rPr>
      </w:pPr>
      <w:r>
        <w:rPr>
          <w:rFonts w:ascii="Arial" w:cs="Arial" w:eastAsia="Arial" w:hAnsi="Arial"/>
          <w:sz w:val="17"/>
          <w:szCs w:val="17"/>
          <w:b w:val="1"/>
          <w:bCs w:val="1"/>
          <w:color w:val="0016FF"/>
        </w:rPr>
        <w:t xml:space="preserve">Global Advisory. </w:t>
      </w:r>
      <w:r>
        <w:rPr>
          <w:rFonts w:ascii="Arial" w:cs="Arial" w:eastAsia="Arial" w:hAnsi="Arial"/>
          <w:sz w:val="17"/>
          <w:szCs w:val="17"/>
          <w:color w:val="000000"/>
        </w:rPr>
        <w:t>As part of our corporate advisory business, ESG issues are a part of the strategic advice we offer to boards and</w:t>
      </w:r>
      <w:r>
        <w:rPr>
          <w:rFonts w:ascii="Arial" w:cs="Arial" w:eastAsia="Arial" w:hAnsi="Arial"/>
          <w:sz w:val="17"/>
          <w:szCs w:val="17"/>
          <w:b w:val="1"/>
          <w:bCs w:val="1"/>
          <w:color w:val="0016FF"/>
        </w:rPr>
        <w:t xml:space="preserve"> </w:t>
      </w:r>
      <w:r>
        <w:rPr>
          <w:rFonts w:ascii="Arial" w:cs="Arial" w:eastAsia="Arial" w:hAnsi="Arial"/>
          <w:sz w:val="17"/>
          <w:szCs w:val="17"/>
          <w:color w:val="000000"/>
        </w:rPr>
        <w:t>management teams on how to successfully develop relationships with their communities and shareholders.</w:t>
      </w:r>
    </w:p>
    <w:p>
      <w:pPr>
        <w:spacing w:after="0" w:line="139" w:lineRule="exact"/>
        <w:rPr>
          <w:rFonts w:ascii="MS PGothic" w:cs="MS PGothic" w:eastAsia="MS PGothic" w:hAnsi="MS PGothic"/>
          <w:sz w:val="17"/>
          <w:szCs w:val="17"/>
          <w:color w:val="auto"/>
        </w:rPr>
      </w:pPr>
    </w:p>
    <w:p>
      <w:pPr>
        <w:ind w:left="1100" w:right="180" w:hanging="876"/>
        <w:spacing w:after="0" w:line="261" w:lineRule="auto"/>
        <w:tabs>
          <w:tab w:leader="none" w:pos="1100" w:val="left"/>
        </w:tabs>
        <w:numPr>
          <w:ilvl w:val="0"/>
          <w:numId w:val="18"/>
        </w:numPr>
        <w:rPr>
          <w:rFonts w:ascii="MS PGothic" w:cs="MS PGothic" w:eastAsia="MS PGothic" w:hAnsi="MS PGothic"/>
          <w:sz w:val="18"/>
          <w:szCs w:val="18"/>
          <w:color w:val="auto"/>
        </w:rPr>
      </w:pPr>
      <w:r>
        <w:rPr>
          <w:rFonts w:ascii="Arial" w:cs="Arial" w:eastAsia="Arial" w:hAnsi="Arial"/>
          <w:sz w:val="18"/>
          <w:szCs w:val="18"/>
          <w:b w:val="1"/>
          <w:bCs w:val="1"/>
          <w:color w:val="0016FF"/>
        </w:rPr>
        <w:t xml:space="preserve">Evercore Wealth Management. </w:t>
      </w:r>
      <w:r>
        <w:rPr>
          <w:rFonts w:ascii="Arial" w:cs="Arial" w:eastAsia="Arial" w:hAnsi="Arial"/>
          <w:sz w:val="18"/>
          <w:szCs w:val="18"/>
          <w:color w:val="000000"/>
        </w:rPr>
        <w:t>Evercore Wealth Management, LLC (“EWM”), our registered investment advisor affiliate, has assisted</w:t>
      </w:r>
      <w:r>
        <w:rPr>
          <w:rFonts w:ascii="Arial" w:cs="Arial" w:eastAsia="Arial" w:hAnsi="Arial"/>
          <w:sz w:val="18"/>
          <w:szCs w:val="18"/>
          <w:b w:val="1"/>
          <w:bCs w:val="1"/>
          <w:color w:val="0016FF"/>
        </w:rPr>
        <w:t xml:space="preserve"> </w:t>
      </w:r>
      <w:r>
        <w:rPr>
          <w:rFonts w:ascii="Arial" w:cs="Arial" w:eastAsia="Arial" w:hAnsi="Arial"/>
          <w:sz w:val="18"/>
          <w:szCs w:val="18"/>
          <w:color w:val="000000"/>
        </w:rPr>
        <w:t>its clients with their growing interest in socially responsible investing and environmental, social and governance investment strategies. EWM works with carefully selected external managers to provide customized solutions for SRI/ESG investing that strive to deliver competitive rates of return to meet our clients’ impact investing goals.</w:t>
      </w:r>
    </w:p>
    <w:p>
      <w:pPr>
        <w:spacing w:after="0" w:line="18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FFFFFF"/>
        </w:rPr>
        <w:t>Governance and Leadership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68" w:lineRule="exact"/>
        <w:rPr>
          <w:sz w:val="20"/>
          <w:szCs w:val="20"/>
          <w:color w:val="auto"/>
        </w:rPr>
      </w:pPr>
    </w:p>
    <w:p>
      <w:pPr>
        <w:ind w:left="120" w:right="400" w:firstLine="1983"/>
        <w:spacing w:after="0" w:line="282" w:lineRule="auto"/>
        <w:rPr>
          <w:sz w:val="20"/>
          <w:szCs w:val="20"/>
          <w:color w:val="auto"/>
        </w:rPr>
      </w:pPr>
      <w:r>
        <w:rPr>
          <w:rFonts w:ascii="Arial" w:cs="Arial" w:eastAsia="Arial" w:hAnsi="Arial"/>
          <w:sz w:val="18"/>
          <w:szCs w:val="18"/>
          <w:color w:val="auto"/>
        </w:rPr>
        <w:t>The following are highlights of our governance and leadership practices, which are discussed further under “</w:t>
      </w:r>
      <w:r>
        <w:rPr>
          <w:rFonts w:ascii="Arial" w:cs="Arial" w:eastAsia="Arial" w:hAnsi="Arial"/>
          <w:sz w:val="18"/>
          <w:szCs w:val="18"/>
          <w:b w:val="1"/>
          <w:bCs w:val="1"/>
          <w:color w:val="auto"/>
        </w:rPr>
        <w:t>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Governance</w:t>
      </w:r>
      <w:r>
        <w:rPr>
          <w:rFonts w:ascii="Arial" w:cs="Arial" w:eastAsia="Arial" w:hAnsi="Arial"/>
          <w:sz w:val="18"/>
          <w:szCs w:val="18"/>
          <w:color w:val="auto"/>
        </w:rPr>
        <w:t>” and “</w:t>
      </w:r>
      <w:r>
        <w:rPr>
          <w:rFonts w:ascii="Arial" w:cs="Arial" w:eastAsia="Arial" w:hAnsi="Arial"/>
          <w:sz w:val="18"/>
          <w:szCs w:val="18"/>
          <w:b w:val="1"/>
          <w:bCs w:val="1"/>
          <w:color w:val="auto"/>
        </w:rPr>
        <w:t>Director Compensation</w:t>
      </w:r>
      <w:r>
        <w:rPr>
          <w:rFonts w:ascii="Arial" w:cs="Arial" w:eastAsia="Arial" w:hAnsi="Arial"/>
          <w:sz w:val="18"/>
          <w:szCs w:val="18"/>
          <w:color w:val="auto"/>
        </w:rPr>
        <w:t>” on pages 33 and 40, respectively.</w:t>
      </w:r>
    </w:p>
    <w:p>
      <w:pPr>
        <w:spacing w:after="0" w:line="162" w:lineRule="exact"/>
        <w:rPr>
          <w:sz w:val="20"/>
          <w:szCs w:val="20"/>
          <w:color w:val="auto"/>
        </w:rPr>
      </w:pPr>
    </w:p>
    <w:p>
      <w:pPr>
        <w:ind w:left="2020"/>
        <w:spacing w:after="0"/>
        <w:tabs>
          <w:tab w:leader="none" w:pos="7300" w:val="left"/>
        </w:tabs>
        <w:rPr>
          <w:sz w:val="20"/>
          <w:szCs w:val="20"/>
          <w:color w:val="auto"/>
        </w:rPr>
      </w:pPr>
      <w:r>
        <w:rPr>
          <w:rFonts w:ascii="Arial" w:cs="Arial" w:eastAsia="Arial" w:hAnsi="Arial"/>
          <w:sz w:val="18"/>
          <w:szCs w:val="18"/>
          <w:b w:val="1"/>
          <w:bCs w:val="1"/>
          <w:color w:val="0016FF"/>
        </w:rPr>
        <w:t>Director Nominee Tenure</w:t>
      </w:r>
      <w:r>
        <w:rPr>
          <w:sz w:val="20"/>
          <w:szCs w:val="20"/>
          <w:color w:val="auto"/>
        </w:rPr>
        <w:tab/>
      </w:r>
      <w:r>
        <w:rPr>
          <w:rFonts w:ascii="Arial" w:cs="Arial" w:eastAsia="Arial" w:hAnsi="Arial"/>
          <w:sz w:val="16"/>
          <w:szCs w:val="16"/>
          <w:b w:val="1"/>
          <w:bCs w:val="1"/>
          <w:color w:val="0016FF"/>
        </w:rPr>
        <w:t>Director Nominee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163195</wp:posOffset>
            </wp:positionV>
            <wp:extent cx="6060440" cy="1765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044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hanging="876"/>
        <w:spacing w:after="0"/>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xml:space="preserve"> who presides over meetings of our non-management directors.</w:t>
      </w:r>
    </w:p>
    <w:p>
      <w:pPr>
        <w:spacing w:after="0" w:line="225" w:lineRule="exact"/>
        <w:rPr>
          <w:rFonts w:ascii="MS PGothic" w:cs="MS PGothic" w:eastAsia="MS PGothic" w:hAnsi="MS PGothic"/>
          <w:sz w:val="18"/>
          <w:szCs w:val="18"/>
          <w:color w:val="auto"/>
        </w:rPr>
      </w:pPr>
    </w:p>
    <w:p>
      <w:pPr>
        <w:ind w:left="1100" w:right="80" w:hanging="876"/>
        <w:spacing w:after="0" w:line="282" w:lineRule="auto"/>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77% of our nominees for director have been determined to be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under the applicable NYSE rules and company guidance and 100% of our committee members are </w:t>
      </w:r>
      <w:r>
        <w:rPr>
          <w:rFonts w:ascii="Arial" w:cs="Arial" w:eastAsia="Arial" w:hAnsi="Arial"/>
          <w:sz w:val="18"/>
          <w:szCs w:val="18"/>
          <w:b w:val="1"/>
          <w:bCs w:val="1"/>
          <w:color w:val="auto"/>
        </w:rPr>
        <w:t>independent</w:t>
      </w:r>
      <w:r>
        <w:rPr>
          <w:rFonts w:ascii="Arial" w:cs="Arial" w:eastAsia="Arial" w:hAnsi="Arial"/>
          <w:sz w:val="18"/>
          <w:szCs w:val="18"/>
          <w:color w:val="auto"/>
        </w:rPr>
        <w:t>.</w:t>
      </w:r>
    </w:p>
    <w:p>
      <w:pPr>
        <w:spacing w:after="0" w:line="161" w:lineRule="exact"/>
        <w:rPr>
          <w:rFonts w:ascii="MS PGothic" w:cs="MS PGothic" w:eastAsia="MS PGothic" w:hAnsi="MS PGothic"/>
          <w:sz w:val="18"/>
          <w:szCs w:val="18"/>
          <w:color w:val="auto"/>
        </w:rPr>
      </w:pPr>
    </w:p>
    <w:p>
      <w:pPr>
        <w:ind w:left="1100" w:right="160" w:hanging="876"/>
        <w:spacing w:after="0" w:line="347" w:lineRule="auto"/>
        <w:tabs>
          <w:tab w:leader="none" w:pos="1100" w:val="left"/>
        </w:tabs>
        <w:numPr>
          <w:ilvl w:val="0"/>
          <w:numId w:val="19"/>
        </w:numPr>
        <w:rPr>
          <w:rFonts w:ascii="MS PGothic" w:cs="MS PGothic" w:eastAsia="MS PGothic" w:hAnsi="MS PGothic"/>
          <w:sz w:val="16"/>
          <w:szCs w:val="16"/>
          <w:color w:val="auto"/>
        </w:rPr>
      </w:pPr>
      <w:r>
        <w:rPr>
          <w:rFonts w:ascii="Arial" w:cs="Arial" w:eastAsia="Arial" w:hAnsi="Arial"/>
          <w:sz w:val="16"/>
          <w:szCs w:val="16"/>
          <w:color w:val="auto"/>
        </w:rPr>
        <w:t xml:space="preserve">We added </w:t>
      </w:r>
      <w:r>
        <w:rPr>
          <w:rFonts w:ascii="Arial" w:cs="Arial" w:eastAsia="Arial" w:hAnsi="Arial"/>
          <w:sz w:val="16"/>
          <w:szCs w:val="16"/>
          <w:b w:val="1"/>
          <w:bCs w:val="1"/>
          <w:color w:val="auto"/>
        </w:rPr>
        <w:t>one new director</w:t>
      </w:r>
      <w:r>
        <w:rPr>
          <w:rFonts w:ascii="Arial" w:cs="Arial" w:eastAsia="Arial" w:hAnsi="Arial"/>
          <w:sz w:val="16"/>
          <w:szCs w:val="16"/>
          <w:color w:val="auto"/>
        </w:rPr>
        <w:t xml:space="preserve"> in 2019, Pamela G. Carlton. Together with our three new directors added in 2018, we have benefitted from fresh investor-oriented perspectives that balance the experience and institutional knowledge of our longer tenured directors.</w:t>
      </w:r>
    </w:p>
    <w:p>
      <w:pPr>
        <w:spacing w:after="0" w:line="115" w:lineRule="exact"/>
        <w:rPr>
          <w:rFonts w:ascii="MS PGothic" w:cs="MS PGothic" w:eastAsia="MS PGothic" w:hAnsi="MS PGothic"/>
          <w:sz w:val="16"/>
          <w:szCs w:val="16"/>
          <w:color w:val="auto"/>
        </w:rPr>
      </w:pPr>
    </w:p>
    <w:p>
      <w:pPr>
        <w:ind w:left="1100" w:hanging="876"/>
        <w:spacing w:after="0"/>
        <w:tabs>
          <w:tab w:leader="none" w:pos="1100" w:val="left"/>
        </w:tabs>
        <w:numPr>
          <w:ilvl w:val="0"/>
          <w:numId w:val="19"/>
        </w:numPr>
        <w:rPr>
          <w:rFonts w:ascii="MS PGothic" w:cs="MS PGothic" w:eastAsia="MS PGothic" w:hAnsi="MS PGothic"/>
          <w:sz w:val="16"/>
          <w:szCs w:val="16"/>
          <w:color w:val="auto"/>
        </w:rPr>
      </w:pPr>
      <w:r>
        <w:rPr>
          <w:rFonts w:ascii="Arial" w:cs="Arial" w:eastAsia="Arial" w:hAnsi="Arial"/>
          <w:sz w:val="16"/>
          <w:szCs w:val="16"/>
          <w:color w:val="auto"/>
        </w:rPr>
        <w:t xml:space="preserve">Our average director nominee tenure is </w:t>
      </w:r>
      <w:r>
        <w:rPr>
          <w:rFonts w:ascii="Arial" w:cs="Arial" w:eastAsia="Arial" w:hAnsi="Arial"/>
          <w:sz w:val="16"/>
          <w:szCs w:val="16"/>
          <w:b w:val="1"/>
          <w:bCs w:val="1"/>
          <w:color w:val="auto"/>
        </w:rPr>
        <w:t>less than 6 years</w:t>
      </w:r>
      <w:r>
        <w:rPr>
          <w:rFonts w:ascii="Arial" w:cs="Arial" w:eastAsia="Arial" w:hAnsi="Arial"/>
          <w:sz w:val="16"/>
          <w:szCs w:val="16"/>
          <w:color w:val="auto"/>
        </w:rPr>
        <w:t xml:space="preserve"> and median director nominee tenure is </w:t>
      </w:r>
      <w:r>
        <w:rPr>
          <w:rFonts w:ascii="Arial" w:cs="Arial" w:eastAsia="Arial" w:hAnsi="Arial"/>
          <w:sz w:val="16"/>
          <w:szCs w:val="16"/>
          <w:b w:val="1"/>
          <w:bCs w:val="1"/>
          <w:color w:val="auto"/>
        </w:rPr>
        <w:t>4 years</w:t>
      </w:r>
      <w:r>
        <w:rPr>
          <w:rFonts w:ascii="Arial" w:cs="Arial" w:eastAsia="Arial" w:hAnsi="Arial"/>
          <w:sz w:val="16"/>
          <w:szCs w:val="16"/>
          <w:color w:val="auto"/>
        </w:rPr>
        <w:t>, based on annual meetings.</w:t>
      </w:r>
    </w:p>
    <w:p>
      <w:pPr>
        <w:spacing w:after="0" w:line="248" w:lineRule="exact"/>
        <w:rPr>
          <w:rFonts w:ascii="MS PGothic" w:cs="MS PGothic" w:eastAsia="MS PGothic" w:hAnsi="MS PGothic"/>
          <w:sz w:val="16"/>
          <w:szCs w:val="16"/>
          <w:color w:val="auto"/>
        </w:rPr>
      </w:pPr>
    </w:p>
    <w:p>
      <w:pPr>
        <w:ind w:left="1100" w:right="80" w:hanging="876"/>
        <w:spacing w:after="0" w:line="282" w:lineRule="auto"/>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Our Board performs an annual </w:t>
      </w:r>
      <w:r>
        <w:rPr>
          <w:rFonts w:ascii="Arial" w:cs="Arial" w:eastAsia="Arial" w:hAnsi="Arial"/>
          <w:sz w:val="18"/>
          <w:szCs w:val="18"/>
          <w:b w:val="1"/>
          <w:bCs w:val="1"/>
          <w:color w:val="auto"/>
        </w:rPr>
        <w:t>self-evaluation</w:t>
      </w:r>
      <w:r>
        <w:rPr>
          <w:rFonts w:ascii="Arial" w:cs="Arial" w:eastAsia="Arial" w:hAnsi="Arial"/>
          <w:sz w:val="18"/>
          <w:szCs w:val="18"/>
          <w:color w:val="auto"/>
        </w:rPr>
        <w:t>, during which it considers issues of structure, leadership and oversight needs and skills to guide the company in executing its long term strategic objectives.</w:t>
      </w:r>
    </w:p>
    <w:p>
      <w:pPr>
        <w:spacing w:after="0" w:line="161" w:lineRule="exact"/>
        <w:rPr>
          <w:rFonts w:ascii="MS PGothic" w:cs="MS PGothic" w:eastAsia="MS PGothic" w:hAnsi="MS PGothic"/>
          <w:sz w:val="18"/>
          <w:szCs w:val="18"/>
          <w:color w:val="auto"/>
        </w:rPr>
      </w:pPr>
    </w:p>
    <w:p>
      <w:pPr>
        <w:ind w:left="1100" w:hanging="876"/>
        <w:spacing w:after="0"/>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Our non-management directors </w:t>
      </w:r>
      <w:r>
        <w:rPr>
          <w:rFonts w:ascii="Arial" w:cs="Arial" w:eastAsia="Arial" w:hAnsi="Arial"/>
          <w:sz w:val="18"/>
          <w:szCs w:val="18"/>
          <w:b w:val="1"/>
          <w:bCs w:val="1"/>
          <w:color w:val="auto"/>
        </w:rPr>
        <w:t>meet regularly</w:t>
      </w:r>
      <w:r>
        <w:rPr>
          <w:rFonts w:ascii="Arial" w:cs="Arial" w:eastAsia="Arial" w:hAnsi="Arial"/>
          <w:sz w:val="18"/>
          <w:szCs w:val="18"/>
          <w:color w:val="auto"/>
        </w:rPr>
        <w:t xml:space="preserve"> without management present.</w:t>
      </w:r>
    </w:p>
    <w:p>
      <w:pPr>
        <w:spacing w:after="0" w:line="229" w:lineRule="exact"/>
        <w:rPr>
          <w:rFonts w:ascii="MS PGothic" w:cs="MS PGothic" w:eastAsia="MS PGothic" w:hAnsi="MS PGothic"/>
          <w:sz w:val="18"/>
          <w:szCs w:val="18"/>
          <w:color w:val="auto"/>
        </w:rPr>
      </w:pPr>
    </w:p>
    <w:p>
      <w:pPr>
        <w:ind w:left="1100" w:hanging="876"/>
        <w:spacing w:after="0"/>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Each of our directors attended over 90% of their combined Board and Committee meetings.</w:t>
      </w:r>
    </w:p>
    <w:p>
      <w:pPr>
        <w:spacing w:after="0" w:line="221" w:lineRule="exact"/>
        <w:rPr>
          <w:rFonts w:ascii="MS PGothic" w:cs="MS PGothic" w:eastAsia="MS PGothic" w:hAnsi="MS PGothic"/>
          <w:sz w:val="18"/>
          <w:szCs w:val="18"/>
          <w:color w:val="auto"/>
        </w:rPr>
      </w:pPr>
    </w:p>
    <w:p>
      <w:pPr>
        <w:ind w:left="1100" w:hanging="876"/>
        <w:spacing w:after="0"/>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A substantial portion of director compensation is </w:t>
      </w:r>
      <w:r>
        <w:rPr>
          <w:rFonts w:ascii="Arial" w:cs="Arial" w:eastAsia="Arial" w:hAnsi="Arial"/>
          <w:sz w:val="18"/>
          <w:szCs w:val="18"/>
          <w:b w:val="1"/>
          <w:bCs w:val="1"/>
          <w:color w:val="auto"/>
        </w:rPr>
        <w:t>paid in equity</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Our directors are subject to </w:t>
      </w:r>
      <w:r>
        <w:rPr>
          <w:rFonts w:ascii="Arial" w:cs="Arial" w:eastAsia="Arial" w:hAnsi="Arial"/>
          <w:sz w:val="18"/>
          <w:szCs w:val="18"/>
          <w:b w:val="1"/>
          <w:bCs w:val="1"/>
          <w:color w:val="auto"/>
        </w:rPr>
        <w:t>Equity Ownership Guidelines</w:t>
      </w:r>
      <w:r>
        <w:rPr>
          <w:rFonts w:ascii="Arial" w:cs="Arial" w:eastAsia="Arial" w:hAnsi="Arial"/>
          <w:sz w:val="18"/>
          <w:szCs w:val="18"/>
          <w:color w:val="auto"/>
        </w:rPr>
        <w:t>, which align their interests with those of our shareholders.</w:t>
      </w:r>
    </w:p>
    <w:p>
      <w:pPr>
        <w:spacing w:after="0" w:line="225" w:lineRule="exact"/>
        <w:rPr>
          <w:rFonts w:ascii="MS PGothic" w:cs="MS PGothic" w:eastAsia="MS PGothic" w:hAnsi="MS PGothic"/>
          <w:sz w:val="18"/>
          <w:szCs w:val="18"/>
          <w:color w:val="auto"/>
        </w:rPr>
      </w:pPr>
    </w:p>
    <w:p>
      <w:pPr>
        <w:ind w:left="1100" w:hanging="876"/>
        <w:spacing w:after="0" w:line="282" w:lineRule="auto"/>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majority voting resignation policy</w:t>
      </w:r>
      <w:r>
        <w:rPr>
          <w:rFonts w:ascii="Arial" w:cs="Arial" w:eastAsia="Arial" w:hAnsi="Arial"/>
          <w:sz w:val="18"/>
          <w:szCs w:val="18"/>
          <w:color w:val="auto"/>
        </w:rPr>
        <w:t xml:space="preserve"> provides that a director that receives the support of less than a majority of votes cast must tender his or her resignation, which the board will then determine whether to accept.</w:t>
      </w:r>
    </w:p>
    <w:p>
      <w:pPr>
        <w:spacing w:after="0" w:line="161" w:lineRule="exact"/>
        <w:rPr>
          <w:rFonts w:ascii="MS PGothic" w:cs="MS PGothic" w:eastAsia="MS PGothic" w:hAnsi="MS PGothic"/>
          <w:sz w:val="18"/>
          <w:szCs w:val="18"/>
          <w:color w:val="auto"/>
        </w:rPr>
      </w:pPr>
    </w:p>
    <w:p>
      <w:pPr>
        <w:ind w:left="1100" w:right="780" w:hanging="876"/>
        <w:spacing w:after="0" w:line="282" w:lineRule="auto"/>
        <w:tabs>
          <w:tab w:leader="none" w:pos="11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 xml:space="preserve">We engage extensively with our shareholders on an ongoing basis and </w:t>
      </w:r>
      <w:r>
        <w:rPr>
          <w:rFonts w:ascii="Arial" w:cs="Arial" w:eastAsia="Arial" w:hAnsi="Arial"/>
          <w:sz w:val="18"/>
          <w:szCs w:val="18"/>
          <w:b w:val="1"/>
          <w:bCs w:val="1"/>
          <w:color w:val="auto"/>
        </w:rPr>
        <w:t>seek feedback regarding our performance, 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governance practices and other matters of interest </w:t>
      </w:r>
      <w:r>
        <w:rPr>
          <w:rFonts w:ascii="Arial" w:cs="Arial" w:eastAsia="Arial" w:hAnsi="Arial"/>
          <w:sz w:val="18"/>
          <w:szCs w:val="18"/>
          <w:color w:val="auto"/>
        </w:rPr>
        <w:t>to our shareholders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GENERAL INFORMATION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189" w:lineRule="exact"/>
        <w:rPr>
          <w:sz w:val="20"/>
          <w:szCs w:val="20"/>
          <w:color w:val="auto"/>
        </w:rPr>
      </w:pPr>
    </w:p>
    <w:p>
      <w:pPr>
        <w:ind w:left="220" w:right="220" w:firstLine="1745"/>
        <w:spacing w:after="0" w:line="254" w:lineRule="auto"/>
        <w:rPr>
          <w:sz w:val="20"/>
          <w:szCs w:val="20"/>
          <w:color w:val="auto"/>
        </w:rPr>
      </w:pPr>
      <w:r>
        <w:rPr>
          <w:rFonts w:ascii="Arial" w:cs="Arial" w:eastAsia="Arial" w:hAnsi="Arial"/>
          <w:sz w:val="18"/>
          <w:szCs w:val="18"/>
          <w:color w:val="auto"/>
        </w:rPr>
        <w:t>The Board is soliciting proxies for our 2020 Annual Meeting of Stockholders, and we will bear the cost of this solicitation. You are receiving a Proxy Statement because you owned shares of our Class A common stock and/or our Class B common stock as of the close of business on April 22, 2020, the record date. Your ownership of shares on that date entitles you to vote at our Annual Meeting. By following the instructions on your Notice of Internet Availability of Proxy Materials (the “Notice”) or, if you received printed proxy materials, using the attached proxy card or voting instruction card from your broker or other intermediary, you are able to vote whether or not you participate in our Annual Meeting. This Proxy Statement describes the matters on which we would like you to vote and provides information on those matters so that you can make an informed decision when you do vote.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are the proxy materials being distributed?</w:t>
      </w:r>
    </w:p>
    <w:p>
      <w:pPr>
        <w:spacing w:after="0" w:line="202" w:lineRule="exact"/>
        <w:rPr>
          <w:sz w:val="20"/>
          <w:szCs w:val="20"/>
          <w:color w:val="auto"/>
        </w:rPr>
      </w:pPr>
    </w:p>
    <w:p>
      <w:pPr>
        <w:ind w:left="220" w:firstLine="1745"/>
        <w:spacing w:after="0" w:line="254" w:lineRule="auto"/>
        <w:rPr>
          <w:sz w:val="20"/>
          <w:szCs w:val="20"/>
          <w:color w:val="auto"/>
        </w:rPr>
      </w:pPr>
      <w:r>
        <w:rPr>
          <w:rFonts w:ascii="Arial" w:cs="Arial" w:eastAsia="Arial" w:hAnsi="Arial"/>
          <w:sz w:val="18"/>
          <w:szCs w:val="18"/>
          <w:color w:val="auto"/>
        </w:rPr>
        <w:t>To expedite delivery, reduce costs and improve our environmental impact, we used “Notice and Access” in accordance with an SEC rule that allows us to provide proxy materials to our shareholders over the Internet. By May 7, 2020, we will have sent a Notice to certain shareholders including instructions on how to access our proxy materials online. If you received a Notice, you will not receive a printed copy of the proxy materials in the mail. Instead, the Notice instructs you on how to access and review all of the important information contained in the proxy materials. The Notice also explains how you may submit your proxy via the Internet. If you received a Notice and would like to receive a copy of our proxy materials, follow the instructions contained in the Notice to request a copy electronically or in paper form on a one-time or ongoing basis. Shareholders who do not receive the Notice will continue to receive either a paper or electronic copy of the proxy statement, which will be sent on or about April 24, 2020.</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will I be voting on?</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You will be voting:</w:t>
      </w:r>
    </w:p>
    <w:p>
      <w:pPr>
        <w:spacing w:after="0" w:line="225"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0A26FF"/>
        </w:rPr>
      </w:pPr>
      <w:r>
        <w:rPr>
          <w:rFonts w:ascii="Arial" w:cs="Arial" w:eastAsia="Arial" w:hAnsi="Arial"/>
          <w:sz w:val="18"/>
          <w:szCs w:val="18"/>
          <w:color w:val="auto"/>
        </w:rPr>
        <w:t>to elect the 13 director nominees identified in this Proxy Statement;</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20"/>
        </w:numPr>
        <w:rPr>
          <w:rFonts w:ascii="Arial" w:cs="Arial" w:eastAsia="Arial" w:hAnsi="Arial"/>
          <w:sz w:val="18"/>
          <w:szCs w:val="18"/>
          <w:color w:val="0A26FF"/>
        </w:rPr>
      </w:pPr>
      <w:r>
        <w:rPr>
          <w:rFonts w:ascii="Arial" w:cs="Arial" w:eastAsia="Arial" w:hAnsi="Arial"/>
          <w:sz w:val="18"/>
          <w:szCs w:val="18"/>
          <w:color w:val="auto"/>
        </w:rPr>
        <w:t>to approve, on an advisory basis, the compensation of our NEOs as disclosed in this Proxy Statement;</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20"/>
        </w:numPr>
        <w:rPr>
          <w:rFonts w:ascii="Arial" w:cs="Arial" w:eastAsia="Arial" w:hAnsi="Arial"/>
          <w:sz w:val="18"/>
          <w:szCs w:val="18"/>
          <w:color w:val="0A26FF"/>
        </w:rPr>
      </w:pPr>
      <w:r>
        <w:rPr>
          <w:rFonts w:ascii="Arial" w:cs="Arial" w:eastAsia="Arial" w:hAnsi="Arial"/>
          <w:sz w:val="18"/>
          <w:szCs w:val="18"/>
          <w:color w:val="auto"/>
        </w:rPr>
        <w:t>to approve the Amended 2016 Plan;</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20"/>
        </w:numPr>
        <w:rPr>
          <w:rFonts w:ascii="Arial" w:cs="Arial" w:eastAsia="Arial" w:hAnsi="Arial"/>
          <w:sz w:val="18"/>
          <w:szCs w:val="18"/>
          <w:color w:val="0A26FF"/>
        </w:rPr>
      </w:pPr>
      <w:r>
        <w:rPr>
          <w:rFonts w:ascii="Arial" w:cs="Arial" w:eastAsia="Arial" w:hAnsi="Arial"/>
          <w:sz w:val="18"/>
          <w:szCs w:val="18"/>
          <w:color w:val="auto"/>
        </w:rPr>
        <w:t>to ratify the selection of Deloitte, on an advisory basis, as our independent registered public accounting firm for 2020; and</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20"/>
        </w:numPr>
        <w:rPr>
          <w:rFonts w:ascii="Arial" w:cs="Arial" w:eastAsia="Arial" w:hAnsi="Arial"/>
          <w:sz w:val="18"/>
          <w:szCs w:val="18"/>
          <w:color w:val="0A26FF"/>
        </w:rPr>
      </w:pPr>
      <w:r>
        <w:rPr>
          <w:rFonts w:ascii="Arial" w:cs="Arial" w:eastAsia="Arial" w:hAnsi="Arial"/>
          <w:sz w:val="18"/>
          <w:szCs w:val="18"/>
          <w:color w:val="auto"/>
        </w:rPr>
        <w:t>to transact such other business as may properly come before our Annual Meeting or any adjournments or postponements thereof.</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are the Board’s recommendations?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Our Board recommends:</w:t>
      </w:r>
    </w:p>
    <w:p>
      <w:pPr>
        <w:spacing w:after="0" w:line="225" w:lineRule="exact"/>
        <w:rPr>
          <w:sz w:val="20"/>
          <w:szCs w:val="20"/>
          <w:color w:val="auto"/>
        </w:rPr>
      </w:pPr>
    </w:p>
    <w:p>
      <w:pPr>
        <w:ind w:left="660" w:right="240" w:hanging="436"/>
        <w:spacing w:after="0" w:line="311" w:lineRule="auto"/>
        <w:tabs>
          <w:tab w:leader="none" w:pos="660" w:val="left"/>
        </w:tabs>
        <w:numPr>
          <w:ilvl w:val="0"/>
          <w:numId w:val="21"/>
        </w:numPr>
        <w:rPr>
          <w:rFonts w:ascii="Arial" w:cs="Arial" w:eastAsia="Arial" w:hAnsi="Arial"/>
          <w:sz w:val="16"/>
          <w:szCs w:val="16"/>
          <w:color w:val="0A26FF"/>
        </w:rPr>
      </w:pPr>
      <w:r>
        <w:rPr>
          <w:rFonts w:ascii="Arial" w:cs="Arial" w:eastAsia="Arial" w:hAnsi="Arial"/>
          <w:sz w:val="16"/>
          <w:szCs w:val="16"/>
          <w:color w:val="auto"/>
        </w:rPr>
        <w:t>a vote FOR the election of each of Roger C. Altman, Richard I. Beattie, Pamela G. Carlton, Ellen V. Futter, Gail B. Harris, Robert B. Millard, Willard J. Overlock, Jr., Sir Simon M. Robertson, Ralph L. Schlosstein, John S. Weinberg, William J. Wheeler, Sarah K. Williamson and Kendrick R. Wilson III to serve as directors until the next Annual Meeting or until their successors are duly elected and qualified;</w:t>
      </w:r>
    </w:p>
    <w:p>
      <w:pPr>
        <w:spacing w:after="0" w:line="148" w:lineRule="exact"/>
        <w:rPr>
          <w:rFonts w:ascii="Arial" w:cs="Arial" w:eastAsia="Arial" w:hAnsi="Arial"/>
          <w:sz w:val="16"/>
          <w:szCs w:val="16"/>
          <w:color w:val="0A26FF"/>
        </w:rPr>
      </w:pPr>
    </w:p>
    <w:p>
      <w:pPr>
        <w:ind w:left="660" w:hanging="436"/>
        <w:spacing w:after="0"/>
        <w:tabs>
          <w:tab w:leader="none" w:pos="660" w:val="left"/>
        </w:tabs>
        <w:numPr>
          <w:ilvl w:val="0"/>
          <w:numId w:val="21"/>
        </w:numPr>
        <w:rPr>
          <w:rFonts w:ascii="Arial" w:cs="Arial" w:eastAsia="Arial" w:hAnsi="Arial"/>
          <w:sz w:val="18"/>
          <w:szCs w:val="18"/>
          <w:color w:val="0A26FF"/>
        </w:rPr>
      </w:pPr>
      <w:r>
        <w:rPr>
          <w:rFonts w:ascii="Arial" w:cs="Arial" w:eastAsia="Arial" w:hAnsi="Arial"/>
          <w:sz w:val="18"/>
          <w:szCs w:val="18"/>
          <w:color w:val="auto"/>
        </w:rPr>
        <w:t>a vote FOR the approval of the advisory resolution approving the compensation of our NEOs as disclosed in this Proxy Statement;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color w:val="0A26FF"/>
        </w:rPr>
      </w:pPr>
      <w:r>
        <w:rPr>
          <w:rFonts w:ascii="Arial" w:cs="Arial" w:eastAsia="Arial" w:hAnsi="Arial"/>
          <w:sz w:val="18"/>
          <w:szCs w:val="18"/>
          <w:color w:val="auto"/>
        </w:rPr>
        <w:t>a vote FOR the approval of the Amended 2016 Plan; and</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22"/>
        </w:numPr>
        <w:rPr>
          <w:rFonts w:ascii="Arial" w:cs="Arial" w:eastAsia="Arial" w:hAnsi="Arial"/>
          <w:sz w:val="18"/>
          <w:szCs w:val="18"/>
          <w:color w:val="0A26FF"/>
        </w:rPr>
      </w:pPr>
      <w:r>
        <w:rPr>
          <w:rFonts w:ascii="Arial" w:cs="Arial" w:eastAsia="Arial" w:hAnsi="Arial"/>
          <w:sz w:val="18"/>
          <w:szCs w:val="18"/>
          <w:color w:val="auto"/>
        </w:rPr>
        <w:t>a vote FOR the ratification of the selection of Deloitte as our independent registered public accounting firm for 2020.</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ind w:left="220" w:right="120" w:firstLine="1745"/>
        <w:spacing w:after="0" w:line="263" w:lineRule="auto"/>
        <w:rPr>
          <w:sz w:val="20"/>
          <w:szCs w:val="20"/>
          <w:color w:val="auto"/>
        </w:rPr>
      </w:pPr>
      <w:r>
        <w:rPr>
          <w:rFonts w:ascii="Arial" w:cs="Arial" w:eastAsia="Arial" w:hAnsi="Arial"/>
          <w:sz w:val="18"/>
          <w:szCs w:val="18"/>
          <w:color w:val="auto"/>
        </w:rPr>
        <w:t>You can vote either at our virtual Annual Meeting or by proxy without participating in our Annual Meeting. To vote by proxy you may vote by telephone, on the internet or through the mail as follows, which instructions are also set forth on your Notice or, if you received printed proxy materials, your proxy card:</w:t>
      </w:r>
    </w:p>
    <w:p>
      <w:pPr>
        <w:spacing w:after="0" w:line="184"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6"/>
          <w:szCs w:val="16"/>
          <w:color w:val="0A26FF"/>
        </w:rPr>
      </w:pPr>
      <w:r>
        <w:rPr>
          <w:rFonts w:ascii="Arial" w:cs="Arial" w:eastAsia="Arial" w:hAnsi="Arial"/>
          <w:sz w:val="16"/>
          <w:szCs w:val="16"/>
          <w:i w:val="1"/>
          <w:iCs w:val="1"/>
          <w:color w:val="auto"/>
        </w:rPr>
        <w:t>Vote by Internet</w:t>
      </w:r>
      <w:r>
        <w:rPr>
          <w:rFonts w:ascii="Arial" w:cs="Arial" w:eastAsia="Arial" w:hAnsi="Arial"/>
          <w:sz w:val="16"/>
          <w:szCs w:val="16"/>
          <w:color w:val="auto"/>
        </w:rPr>
        <w:t>—www.proxyvote.com: Use the Internet to transmit your voting instructions and for electronic delivery of information up until</w:t>
      </w:r>
    </w:p>
    <w:p>
      <w:pPr>
        <w:spacing w:after="0" w:line="46" w:lineRule="exact"/>
        <w:rPr>
          <w:rFonts w:ascii="Arial" w:cs="Arial" w:eastAsia="Arial" w:hAnsi="Arial"/>
          <w:sz w:val="16"/>
          <w:szCs w:val="16"/>
          <w:color w:val="0A26FF"/>
        </w:rPr>
      </w:pPr>
    </w:p>
    <w:p>
      <w:pPr>
        <w:ind w:left="660" w:right="120"/>
        <w:spacing w:after="0" w:line="323" w:lineRule="auto"/>
        <w:rPr>
          <w:rFonts w:ascii="Arial" w:cs="Arial" w:eastAsia="Arial" w:hAnsi="Arial"/>
          <w:sz w:val="16"/>
          <w:szCs w:val="16"/>
          <w:color w:val="0A26FF"/>
        </w:rPr>
      </w:pPr>
      <w:r>
        <w:rPr>
          <w:rFonts w:ascii="Arial" w:cs="Arial" w:eastAsia="Arial" w:hAnsi="Arial"/>
          <w:sz w:val="16"/>
          <w:szCs w:val="16"/>
          <w:color w:val="auto"/>
        </w:rPr>
        <w:t>11:59 p.m. Eastern Time the day before the meeting date. Have your Notice or, if you received printed proxy materials, your proxy card in hand when you access the website and follow the applicable instructions to obtain your records and to create an electronic voting instruction form.</w:t>
      </w:r>
    </w:p>
    <w:p>
      <w:pPr>
        <w:spacing w:after="0" w:line="138" w:lineRule="exact"/>
        <w:rPr>
          <w:rFonts w:ascii="Arial" w:cs="Arial" w:eastAsia="Arial" w:hAnsi="Arial"/>
          <w:sz w:val="16"/>
          <w:szCs w:val="16"/>
          <w:color w:val="0A26FF"/>
        </w:rPr>
      </w:pPr>
    </w:p>
    <w:p>
      <w:pPr>
        <w:ind w:left="660" w:right="280" w:hanging="436"/>
        <w:spacing w:after="0" w:line="277" w:lineRule="auto"/>
        <w:tabs>
          <w:tab w:leader="none" w:pos="660" w:val="left"/>
        </w:tabs>
        <w:numPr>
          <w:ilvl w:val="0"/>
          <w:numId w:val="23"/>
        </w:numPr>
        <w:rPr>
          <w:rFonts w:ascii="Arial" w:cs="Arial" w:eastAsia="Arial" w:hAnsi="Arial"/>
          <w:sz w:val="18"/>
          <w:szCs w:val="18"/>
          <w:color w:val="0A26FF"/>
        </w:rPr>
      </w:pPr>
      <w:r>
        <w:rPr>
          <w:rFonts w:ascii="Arial" w:cs="Arial" w:eastAsia="Arial" w:hAnsi="Arial"/>
          <w:sz w:val="18"/>
          <w:szCs w:val="18"/>
          <w:i w:val="1"/>
          <w:iCs w:val="1"/>
          <w:color w:val="auto"/>
        </w:rPr>
        <w:t>Vote by Phone</w:t>
      </w:r>
      <w:r>
        <w:rPr>
          <w:rFonts w:ascii="Arial" w:cs="Arial" w:eastAsia="Arial" w:hAnsi="Arial"/>
          <w:sz w:val="18"/>
          <w:szCs w:val="18"/>
          <w:color w:val="auto"/>
        </w:rPr>
        <w:t>—1-800-690-6903: Use any touch-tone telephone to transmit your voting instructions up until 11:59 p.m. Eastern Time the day</w:t>
      </w:r>
      <w:r>
        <w:rPr>
          <w:rFonts w:ascii="Arial" w:cs="Arial" w:eastAsia="Arial" w:hAnsi="Arial"/>
          <w:sz w:val="18"/>
          <w:szCs w:val="18"/>
          <w:i w:val="1"/>
          <w:iCs w:val="1"/>
          <w:color w:val="auto"/>
        </w:rPr>
        <w:t xml:space="preserve"> </w:t>
      </w:r>
      <w:r>
        <w:rPr>
          <w:rFonts w:ascii="Arial" w:cs="Arial" w:eastAsia="Arial" w:hAnsi="Arial"/>
          <w:sz w:val="18"/>
          <w:szCs w:val="18"/>
          <w:color w:val="auto"/>
        </w:rPr>
        <w:t>before the meeting date. Have your proxy card in hand when you call and then follow the instructions.</w:t>
      </w:r>
    </w:p>
    <w:p>
      <w:pPr>
        <w:spacing w:after="0" w:line="170" w:lineRule="exact"/>
        <w:rPr>
          <w:rFonts w:ascii="Arial" w:cs="Arial" w:eastAsia="Arial" w:hAnsi="Arial"/>
          <w:sz w:val="18"/>
          <w:szCs w:val="18"/>
          <w:color w:val="0A26FF"/>
        </w:rPr>
      </w:pPr>
    </w:p>
    <w:p>
      <w:pPr>
        <w:jc w:val="both"/>
        <w:ind w:left="660" w:right="200" w:hanging="436"/>
        <w:spacing w:after="0" w:line="279" w:lineRule="auto"/>
        <w:tabs>
          <w:tab w:leader="none" w:pos="660" w:val="left"/>
        </w:tabs>
        <w:numPr>
          <w:ilvl w:val="0"/>
          <w:numId w:val="23"/>
        </w:numPr>
        <w:rPr>
          <w:rFonts w:ascii="Arial" w:cs="Arial" w:eastAsia="Arial" w:hAnsi="Arial"/>
          <w:sz w:val="17"/>
          <w:szCs w:val="17"/>
          <w:color w:val="0A26FF"/>
        </w:rPr>
      </w:pPr>
      <w:r>
        <w:rPr>
          <w:rFonts w:ascii="Arial" w:cs="Arial" w:eastAsia="Arial" w:hAnsi="Arial"/>
          <w:sz w:val="17"/>
          <w:szCs w:val="17"/>
          <w:i w:val="1"/>
          <w:iCs w:val="1"/>
          <w:color w:val="auto"/>
        </w:rPr>
        <w:t xml:space="preserve">Vote by Mail: </w:t>
      </w:r>
      <w:r>
        <w:rPr>
          <w:rFonts w:ascii="Arial" w:cs="Arial" w:eastAsia="Arial" w:hAnsi="Arial"/>
          <w:sz w:val="17"/>
          <w:szCs w:val="17"/>
          <w:color w:val="auto"/>
        </w:rPr>
        <w:t>If you received printed proxy materials, and would like to vote by mail, mark, sign and date your proxy card and return 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postage-paid envelope we have provided or return it to Vote Processing, c/o Broadridge, 51 Mercedes Way, Edgewood, NY 11717, so that it is received no later than the day before the meeting date. If you did not receive printed proxy materials, and would like to vote by mail, you must request printed copies of the proxy materials by following the instructions on your Notice.</w:t>
      </w:r>
    </w:p>
    <w:p>
      <w:pPr>
        <w:spacing w:after="0" w:line="171" w:lineRule="exact"/>
        <w:rPr>
          <w:sz w:val="20"/>
          <w:szCs w:val="20"/>
          <w:color w:val="auto"/>
        </w:rPr>
      </w:pPr>
    </w:p>
    <w:p>
      <w:pPr>
        <w:ind w:left="220" w:firstLine="1745"/>
        <w:spacing w:after="0" w:line="275" w:lineRule="auto"/>
        <w:rPr>
          <w:sz w:val="20"/>
          <w:szCs w:val="20"/>
          <w:color w:val="auto"/>
        </w:rPr>
      </w:pPr>
      <w:r>
        <w:rPr>
          <w:rFonts w:ascii="Arial" w:cs="Arial" w:eastAsia="Arial" w:hAnsi="Arial"/>
          <w:sz w:val="17"/>
          <w:szCs w:val="17"/>
          <w:color w:val="auto"/>
        </w:rPr>
        <w:t>We urge you to vote by proxy even if you plan to participate in our Annual Meeting so that we will know as soon as possible that enough votes will be present for us to hold the Annual Meeting and so your vote will be counted if you later decide not to participate in the Annual Meeting. If you received printed proxy materials and are voting by mail, you should follow the instructions set forth on the proxy card, being sure to complete it, to sign and date it and to mail it in the enclosed postage-paid envelope. If you participate in the Annual Meeting, you may vote at the meeting as described herein and your previously delivered proxy will not be counted.</w:t>
      </w:r>
    </w:p>
    <w:p>
      <w:pPr>
        <w:spacing w:after="0" w:line="176" w:lineRule="exact"/>
        <w:rPr>
          <w:sz w:val="20"/>
          <w:szCs w:val="20"/>
          <w:color w:val="auto"/>
        </w:rPr>
      </w:pPr>
    </w:p>
    <w:p>
      <w:pPr>
        <w:ind w:left="220" w:right="120" w:firstLine="1745"/>
        <w:spacing w:after="0" w:line="259" w:lineRule="auto"/>
        <w:rPr>
          <w:sz w:val="20"/>
          <w:szCs w:val="20"/>
          <w:color w:val="auto"/>
        </w:rPr>
      </w:pPr>
      <w:r>
        <w:rPr>
          <w:rFonts w:ascii="Arial" w:cs="Arial" w:eastAsia="Arial" w:hAnsi="Arial"/>
          <w:sz w:val="18"/>
          <w:szCs w:val="18"/>
          <w:color w:val="auto"/>
        </w:rPr>
        <w:t>If your shares are held through a bank, broker or other holder of record (that is, in “</w:t>
      </w:r>
      <w:r>
        <w:rPr>
          <w:rFonts w:ascii="Arial" w:cs="Arial" w:eastAsia="Arial" w:hAnsi="Arial"/>
          <w:sz w:val="18"/>
          <w:szCs w:val="18"/>
          <w:i w:val="1"/>
          <w:iCs w:val="1"/>
          <w:color w:val="auto"/>
        </w:rPr>
        <w:t>street name</w:t>
      </w:r>
      <w:r>
        <w:rPr>
          <w:rFonts w:ascii="Arial" w:cs="Arial" w:eastAsia="Arial" w:hAnsi="Arial"/>
          <w:sz w:val="18"/>
          <w:szCs w:val="18"/>
          <w:color w:val="auto"/>
        </w:rPr>
        <w:t>”), please refer to the information forwarded to you by your bank, broker or other holder of record to see what you must do in order to vote your shares. If you want to vote in person, you must obtain a legal proxy from your bank, broker or other holder of record and have it at the meeting. Please also see the information under “</w:t>
      </w:r>
      <w:r>
        <w:rPr>
          <w:rFonts w:ascii="Arial" w:cs="Arial" w:eastAsia="Arial" w:hAnsi="Arial"/>
          <w:sz w:val="18"/>
          <w:szCs w:val="18"/>
          <w:b w:val="1"/>
          <w:bCs w:val="1"/>
          <w:color w:val="auto"/>
        </w:rPr>
        <w:t>—What do I need to do if I want to participate in the virtual Annual Meeting?</w:t>
      </w:r>
      <w:r>
        <w:rPr>
          <w:rFonts w:ascii="Arial" w:cs="Arial" w:eastAsia="Arial" w:hAnsi="Arial"/>
          <w:sz w:val="18"/>
          <w:szCs w:val="18"/>
          <w:color w:val="auto"/>
        </w:rPr>
        <w:t>” on page 17.</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is the difference between holding shares as a shareholder of record and as a beneficial owner or street name holder?</w:t>
      </w:r>
    </w:p>
    <w:p>
      <w:pPr>
        <w:spacing w:after="0" w:line="202" w:lineRule="exact"/>
        <w:rPr>
          <w:sz w:val="20"/>
          <w:szCs w:val="20"/>
          <w:color w:val="auto"/>
        </w:rPr>
      </w:pPr>
    </w:p>
    <w:p>
      <w:pPr>
        <w:jc w:val="both"/>
        <w:ind w:left="220" w:right="120" w:firstLine="1745"/>
        <w:spacing w:after="0" w:line="263" w:lineRule="auto"/>
        <w:rPr>
          <w:sz w:val="20"/>
          <w:szCs w:val="20"/>
          <w:color w:val="auto"/>
        </w:rPr>
      </w:pPr>
      <w:r>
        <w:rPr>
          <w:rFonts w:ascii="Arial" w:cs="Arial" w:eastAsia="Arial" w:hAnsi="Arial"/>
          <w:sz w:val="18"/>
          <w:szCs w:val="18"/>
          <w:color w:val="auto"/>
        </w:rPr>
        <w:t>If your shares are registered directly in your name with our transfer agent, Computershare Shareowner Services LLC, you are considered, with respect to those shares,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We have sent the Notice or, if you received printed proxy materials, your notice of Annual Meeting, Proxy Statement, Annual Report and proxy card directly to you.</w:t>
      </w:r>
    </w:p>
    <w:p>
      <w:pPr>
        <w:spacing w:after="0" w:line="14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If your shares are held in a stock brokerage account or by a bank, broker or other holder of record, you are considered the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of shares held in street name. The notice of the Annual Meeting, the Proxy Statement, the Annual Report and a voting instruction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card have been forwarded to you by your broker, bank or other holder of record who is considered, with respect to those shares, the shareholder of</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record. As the beneficial owner, you have the right to direct your broker, bank or other holder of record on how to vote your shares by using the voting instruction card included in the mailing or by following their instructions for voting.</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189" w:lineRule="exact"/>
        <w:rPr>
          <w:sz w:val="20"/>
          <w:szCs w:val="20"/>
          <w:color w:val="auto"/>
        </w:rPr>
      </w:pPr>
    </w:p>
    <w:p>
      <w:pPr>
        <w:ind w:left="220" w:right="80" w:firstLine="1745"/>
        <w:spacing w:after="0" w:line="259" w:lineRule="auto"/>
        <w:rPr>
          <w:sz w:val="20"/>
          <w:szCs w:val="20"/>
          <w:color w:val="auto"/>
        </w:rPr>
      </w:pPr>
      <w:r>
        <w:rPr>
          <w:rFonts w:ascii="Arial" w:cs="Arial" w:eastAsia="Arial" w:hAnsi="Arial"/>
          <w:sz w:val="18"/>
          <w:szCs w:val="18"/>
          <w:color w:val="auto"/>
        </w:rPr>
        <w:t xml:space="preserve">Our proxy materials, which are available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“Resources” tab of the “For Investors” link, include our Notice of 2020 Annual Meeting of Stockholders, our Proxy Statement and our 2019 Annual Report to shareholders. If you received printed versions of these materials by mail (rather than through electronic delivery), these materials also included a proxy card or voting instruction form.</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type of financial information is used in this Proxy Statement?</w:t>
      </w:r>
    </w:p>
    <w:p>
      <w:pPr>
        <w:spacing w:after="0" w:line="202" w:lineRule="exact"/>
        <w:rPr>
          <w:sz w:val="20"/>
          <w:szCs w:val="20"/>
          <w:color w:val="auto"/>
        </w:rPr>
      </w:pPr>
    </w:p>
    <w:p>
      <w:pPr>
        <w:ind w:left="220" w:right="280" w:firstLine="1745"/>
        <w:spacing w:after="0" w:line="308" w:lineRule="auto"/>
        <w:rPr>
          <w:sz w:val="20"/>
          <w:szCs w:val="20"/>
          <w:color w:val="auto"/>
        </w:rPr>
      </w:pPr>
      <w:r>
        <w:rPr>
          <w:rFonts w:ascii="Arial" w:cs="Arial" w:eastAsia="Arial" w:hAnsi="Arial"/>
          <w:sz w:val="17"/>
          <w:szCs w:val="17"/>
          <w:color w:val="auto"/>
        </w:rPr>
        <w:t>The Evercore financial measures in this Proxy Statement are those prepared in accordance with U.S. GAAP, unless they are designated as “non-GAAP measures,” in which case a reconciliation to the U.S. GAAP numbers is included in Annex A.</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does Evercore’s corporate structure impact Evercore’s share count and vote calculation?</w:t>
      </w:r>
    </w:p>
    <w:p>
      <w:pPr>
        <w:spacing w:after="0" w:line="189" w:lineRule="exact"/>
        <w:rPr>
          <w:sz w:val="20"/>
          <w:szCs w:val="20"/>
          <w:color w:val="auto"/>
        </w:rPr>
      </w:pPr>
    </w:p>
    <w:p>
      <w:pPr>
        <w:ind w:left="220" w:right="60" w:firstLine="1745"/>
        <w:spacing w:after="0" w:line="342" w:lineRule="auto"/>
        <w:rPr>
          <w:sz w:val="20"/>
          <w:szCs w:val="20"/>
          <w:color w:val="auto"/>
        </w:rPr>
      </w:pPr>
      <w:r>
        <w:rPr>
          <w:rFonts w:ascii="Arial" w:cs="Arial" w:eastAsia="Arial" w:hAnsi="Arial"/>
          <w:sz w:val="16"/>
          <w:szCs w:val="16"/>
          <w:color w:val="auto"/>
        </w:rPr>
        <w:t>The diagram on page 13 depicts our organizational structure. Our structure is similar to an umbrella partnership real estate investment trust, or UPREIT structure, which is common in the real estate sector and with human capital-intensive businesses which have gone public.</w:t>
      </w:r>
    </w:p>
    <w:p>
      <w:pPr>
        <w:spacing w:after="0" w:line="97" w:lineRule="exact"/>
        <w:rPr>
          <w:sz w:val="20"/>
          <w:szCs w:val="20"/>
          <w:color w:val="auto"/>
        </w:rPr>
      </w:pPr>
    </w:p>
    <w:p>
      <w:pPr>
        <w:jc w:val="both"/>
        <w:ind w:left="220" w:right="380" w:firstLine="1745"/>
        <w:spacing w:after="0" w:line="263" w:lineRule="auto"/>
        <w:rPr>
          <w:sz w:val="20"/>
          <w:szCs w:val="20"/>
          <w:color w:val="auto"/>
        </w:rPr>
      </w:pPr>
      <w:r>
        <w:rPr>
          <w:rFonts w:ascii="Arial" w:cs="Arial" w:eastAsia="Arial" w:hAnsi="Arial"/>
          <w:sz w:val="18"/>
          <w:szCs w:val="18"/>
          <w:color w:val="auto"/>
        </w:rPr>
        <w:t>Certain of our SMDs and other individuals and entities hold some of their equity in limited partnership units and interests issued by Evercore LP, a Delaware limited partnership. These include Class A units, Class E units, Class I-P units (which may convert into Class I units) and Class K-P units (which may convert into Class K units) in Evercore LP.</w:t>
      </w:r>
    </w:p>
    <w:p>
      <w:pPr>
        <w:spacing w:after="0" w:line="143" w:lineRule="exact"/>
        <w:rPr>
          <w:sz w:val="20"/>
          <w:szCs w:val="20"/>
          <w:color w:val="auto"/>
        </w:rPr>
      </w:pPr>
    </w:p>
    <w:p>
      <w:pPr>
        <w:ind w:left="220" w:firstLine="1745"/>
        <w:spacing w:after="0" w:line="311" w:lineRule="auto"/>
        <w:rPr>
          <w:sz w:val="20"/>
          <w:szCs w:val="20"/>
          <w:color w:val="auto"/>
        </w:rPr>
      </w:pPr>
      <w:r>
        <w:rPr>
          <w:rFonts w:ascii="Arial" w:cs="Arial" w:eastAsia="Arial" w:hAnsi="Arial"/>
          <w:sz w:val="16"/>
          <w:szCs w:val="16"/>
          <w:color w:val="auto"/>
        </w:rPr>
        <w:t>Class A, Class E, Class I and Class K units of Evercore LP are exchangeable, at the discretion of the unit holder and without the payment of any consideration, on a one-for-one basis for shares of our Class A common stock, subject to customary conversion rate adjustments for stock splits, stock dividends and reclassifications. There are no longer any Class G interests, Class H interests or Class J units outstanding.</w:t>
      </w:r>
    </w:p>
    <w:p>
      <w:pPr>
        <w:spacing w:after="0" w:line="108" w:lineRule="exact"/>
        <w:rPr>
          <w:sz w:val="20"/>
          <w:szCs w:val="20"/>
          <w:color w:val="auto"/>
        </w:rPr>
      </w:pPr>
    </w:p>
    <w:p>
      <w:pPr>
        <w:ind w:left="220" w:right="120" w:firstLine="1745"/>
        <w:spacing w:after="0" w:line="286" w:lineRule="auto"/>
        <w:rPr>
          <w:sz w:val="20"/>
          <w:szCs w:val="20"/>
          <w:color w:val="auto"/>
        </w:rPr>
      </w:pPr>
      <w:r>
        <w:rPr>
          <w:rFonts w:ascii="Arial" w:cs="Arial" w:eastAsia="Arial" w:hAnsi="Arial"/>
          <w:sz w:val="17"/>
          <w:szCs w:val="17"/>
          <w:color w:val="auto"/>
        </w:rPr>
        <w:t>The Class I-P units (which are held by Mr. Weinberg) generally convert, on March 1, 2022, into a specified number of Class I units, contingent on the achievement of stock price targets and subject to the participant’s continued service with the Company (which Class I units will, in turn, be exchangeable for Class A common stock as noted above). These stock price targets have been achieved.</w:t>
      </w:r>
    </w:p>
    <w:p>
      <w:pPr>
        <w:spacing w:after="0" w:line="138" w:lineRule="exact"/>
        <w:rPr>
          <w:sz w:val="20"/>
          <w:szCs w:val="20"/>
          <w:color w:val="auto"/>
        </w:rPr>
      </w:pPr>
    </w:p>
    <w:p>
      <w:pPr>
        <w:ind w:left="220" w:right="40" w:firstLine="1745"/>
        <w:spacing w:after="0" w:line="259" w:lineRule="auto"/>
        <w:rPr>
          <w:sz w:val="20"/>
          <w:szCs w:val="20"/>
          <w:color w:val="auto"/>
        </w:rPr>
      </w:pPr>
      <w:r>
        <w:rPr>
          <w:rFonts w:ascii="Arial" w:cs="Arial" w:eastAsia="Arial" w:hAnsi="Arial"/>
          <w:sz w:val="18"/>
          <w:szCs w:val="18"/>
          <w:color w:val="auto"/>
        </w:rPr>
        <w:t>The Class K-P units generally convert, on specified vesting dates, into a specified number of Class K units, contingent upon the achievement of certain defined benchmark results and subject to the participant’s continued service with the Company (which Class K units will, in turn, be exchangeable for Class A common stock as noted above). The performance conditions applicable to the outstanding Class K-P units have not yet been achieved.</w:t>
      </w:r>
    </w:p>
    <w:p>
      <w:pPr>
        <w:spacing w:after="0" w:line="146" w:lineRule="exact"/>
        <w:rPr>
          <w:sz w:val="20"/>
          <w:szCs w:val="20"/>
          <w:color w:val="auto"/>
        </w:rPr>
      </w:pPr>
    </w:p>
    <w:p>
      <w:pPr>
        <w:ind w:left="220" w:right="60" w:firstLine="1745"/>
        <w:spacing w:after="0" w:line="257" w:lineRule="auto"/>
        <w:rPr>
          <w:sz w:val="20"/>
          <w:szCs w:val="20"/>
          <w:color w:val="auto"/>
        </w:rPr>
      </w:pPr>
      <w:r>
        <w:rPr>
          <w:rFonts w:ascii="Arial" w:cs="Arial" w:eastAsia="Arial" w:hAnsi="Arial"/>
          <w:sz w:val="18"/>
          <w:szCs w:val="18"/>
          <w:color w:val="auto"/>
        </w:rPr>
        <w:t>Generally, all holders of Class A units, Class E units, Class I units, Class I-P units, Class K units and Class K-P units (collectively, “Voting Units”), other than the Company, have the same voting rights as holders of Class A common shareholders through the ownership of our Class B common stock, which entitles each holder to one vote for each unit held by such holder. Holders of our Class A common stock and Class B common stock vote together as a single class on all matters presented to our shareholders for their vote or approval, except as otherwise required by applicable law.</w:t>
      </w:r>
    </w:p>
    <w:p>
      <w:pPr>
        <w:spacing w:after="0" w:line="147" w:lineRule="exact"/>
        <w:rPr>
          <w:sz w:val="20"/>
          <w:szCs w:val="20"/>
          <w:color w:val="auto"/>
        </w:rPr>
      </w:pPr>
    </w:p>
    <w:p>
      <w:pPr>
        <w:ind w:left="220" w:right="20" w:firstLine="1745"/>
        <w:spacing w:after="0" w:line="277" w:lineRule="auto"/>
        <w:rPr>
          <w:sz w:val="20"/>
          <w:szCs w:val="20"/>
          <w:color w:val="auto"/>
        </w:rPr>
      </w:pPr>
      <w:r>
        <w:rPr>
          <w:rFonts w:ascii="Arial" w:cs="Arial" w:eastAsia="Arial" w:hAnsi="Arial"/>
          <w:sz w:val="18"/>
          <w:szCs w:val="18"/>
          <w:color w:val="auto"/>
        </w:rPr>
        <w:t>The Class B common stock has no economic rights. The Company funds dividends to holders of our Class A common stock by causing Evercore LP to make distributions to its partners, including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Company. Evercore LP makes pro-rata distributions to its partners based on their interest in Evercore LP concurrently with Evercore LP distributions to the Company (provided that holders of Class I-P and Class K-P units are not entitled to regular or extraordinary distributions, and all distributions on unvested units and interests are held in reserve and paid out only upon vesting).</w:t>
      </w:r>
    </w:p>
    <w:p>
      <w:pPr>
        <w:spacing w:after="0" w:line="157" w:lineRule="exact"/>
        <w:rPr>
          <w:sz w:val="20"/>
          <w:szCs w:val="20"/>
          <w:color w:val="auto"/>
        </w:rPr>
      </w:pPr>
    </w:p>
    <w:p>
      <w:pPr>
        <w:ind w:left="220" w:right="140" w:firstLine="1745"/>
        <w:spacing w:after="0" w:line="277" w:lineRule="auto"/>
        <w:rPr>
          <w:sz w:val="20"/>
          <w:szCs w:val="20"/>
          <w:color w:val="auto"/>
        </w:rPr>
      </w:pPr>
      <w:r>
        <w:rPr>
          <w:rFonts w:ascii="Arial" w:cs="Arial" w:eastAsia="Arial" w:hAnsi="Arial"/>
          <w:sz w:val="18"/>
          <w:szCs w:val="18"/>
          <w:color w:val="auto"/>
        </w:rPr>
        <w:t>Thus, holders of Voting Units, through the combination of Class B common stock of Evercore and LP units, generally have similar equity interests as if they held an equivalent number of shares of Class A common stock.</w:t>
      </w:r>
    </w:p>
    <w:p>
      <w:pPr>
        <w:spacing w:after="0" w:line="170" w:lineRule="exact"/>
        <w:rPr>
          <w:sz w:val="20"/>
          <w:szCs w:val="20"/>
          <w:color w:val="auto"/>
        </w:rPr>
      </w:pPr>
    </w:p>
    <w:p>
      <w:pPr>
        <w:ind w:left="220" w:firstLine="1745"/>
        <w:spacing w:after="0" w:line="273" w:lineRule="auto"/>
        <w:rPr>
          <w:sz w:val="20"/>
          <w:szCs w:val="20"/>
          <w:color w:val="auto"/>
        </w:rPr>
      </w:pPr>
      <w:r>
        <w:rPr>
          <w:rFonts w:ascii="Arial" w:cs="Arial" w:eastAsia="Arial" w:hAnsi="Arial"/>
          <w:sz w:val="17"/>
          <w:szCs w:val="17"/>
          <w:color w:val="auto"/>
        </w:rPr>
        <w:t>Because of our corporate structure and for the reasons stated on page 12, we view our share count as including Voting Units for voting purposes, and include these units when we calculate total shares and share equivalents for voting purposes. Unless indicated otherwise, where we use the terms voting power, votes outstanding, votes cast or other similar terms, such terms should be read to include both the number of shares of Class A common stock outstanding and the number of votes associated with Class B common stock, which is generally equal to the number of Voting Units. As of April 22, 2020, the record date for our Annual Meeting, a combined total of 46,304,633 shares of Class A common stock and Voting Units (by virtue of the associated Class B Common Stock) are entitled to vote.</w:t>
      </w:r>
    </w:p>
    <w:p>
      <w:pPr>
        <w:spacing w:after="0" w:line="12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0016FF"/>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147955</wp:posOffset>
            </wp:positionV>
            <wp:extent cx="2760345" cy="2837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034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320" w:top="459" w:right="5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is our voting share count?</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As of April 22, 2020, the record date for our Annual Meeting, our voting share count was as follows:*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of Class A common stock outstanding</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40,535,637</w:t>
            </w:r>
          </w:p>
        </w:tc>
      </w:tr>
      <w:tr>
        <w:trPr>
          <w:trHeight w:val="206"/>
        </w:trPr>
        <w:tc>
          <w:tcPr>
            <w:tcW w:w="8580" w:type="dxa"/>
            <w:vAlign w:val="bottom"/>
            <w:gridSpan w:val="2"/>
          </w:tcPr>
          <w:p>
            <w:pPr>
              <w:spacing w:after="0"/>
              <w:rPr>
                <w:sz w:val="20"/>
                <w:szCs w:val="20"/>
                <w:color w:val="auto"/>
              </w:rPr>
            </w:pPr>
            <w:r>
              <w:rPr>
                <w:rFonts w:ascii="Arial" w:cs="Arial" w:eastAsia="Arial" w:hAnsi="Arial"/>
                <w:sz w:val="16"/>
                <w:szCs w:val="16"/>
                <w:color w:val="auto"/>
              </w:rPr>
              <w:t>Evercore LP limited partnership units outstanding</w:t>
            </w:r>
          </w:p>
        </w:tc>
        <w:tc>
          <w:tcPr>
            <w:tcW w:w="2440" w:type="dxa"/>
            <w:vAlign w:val="bottom"/>
          </w:tcPr>
          <w:p>
            <w:pPr>
              <w:jc w:val="right"/>
              <w:spacing w:after="0"/>
              <w:rPr>
                <w:sz w:val="20"/>
                <w:szCs w:val="20"/>
                <w:color w:val="auto"/>
              </w:rPr>
            </w:pPr>
            <w:r>
              <w:rPr>
                <w:rFonts w:ascii="Arial" w:cs="Arial" w:eastAsia="Arial" w:hAnsi="Arial"/>
                <w:sz w:val="16"/>
                <w:szCs w:val="16"/>
                <w:color w:val="auto"/>
              </w:rPr>
              <w:t>5,768,996</w:t>
            </w:r>
          </w:p>
        </w:tc>
      </w:tr>
      <w:tr>
        <w:trPr>
          <w:trHeight w:val="104"/>
        </w:trPr>
        <w:tc>
          <w:tcPr>
            <w:tcW w:w="8580" w:type="dxa"/>
            <w:vAlign w:val="bottom"/>
            <w:gridSpan w:val="2"/>
          </w:tcPr>
          <w:p>
            <w:pPr>
              <w:spacing w:after="0"/>
              <w:rPr>
                <w:sz w:val="9"/>
                <w:szCs w:val="9"/>
                <w:color w:val="auto"/>
              </w:rPr>
            </w:pPr>
          </w:p>
        </w:tc>
        <w:tc>
          <w:tcPr>
            <w:tcW w:w="2440" w:type="dxa"/>
            <w:vAlign w:val="bottom"/>
          </w:tcPr>
          <w:p>
            <w:pPr>
              <w:spacing w:after="0"/>
              <w:rPr>
                <w:sz w:val="9"/>
                <w:szCs w:val="9"/>
                <w:color w:val="auto"/>
              </w:rPr>
            </w:pPr>
          </w:p>
        </w:tc>
      </w:tr>
      <w:tr>
        <w:trPr>
          <w:trHeight w:val="203"/>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voting shares and units</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46,304,633</w:t>
            </w:r>
          </w:p>
        </w:tc>
      </w:tr>
      <w:tr>
        <w:trPr>
          <w:trHeight w:val="305"/>
        </w:trPr>
        <w:tc>
          <w:tcPr>
            <w:tcW w:w="8580" w:type="dxa"/>
            <w:vAlign w:val="bottom"/>
            <w:gridSpan w:val="2"/>
          </w:tcPr>
          <w:p>
            <w:pPr>
              <w:spacing w:after="0"/>
              <w:rPr>
                <w:sz w:val="20"/>
                <w:szCs w:val="20"/>
                <w:color w:val="auto"/>
              </w:rPr>
            </w:pPr>
            <w:r>
              <w:rPr>
                <w:rFonts w:ascii="Arial" w:cs="Arial" w:eastAsia="Arial" w:hAnsi="Arial"/>
                <w:sz w:val="16"/>
                <w:szCs w:val="16"/>
                <w:color w:val="auto"/>
              </w:rPr>
              <w:t>RSUs outstanding</w:t>
            </w:r>
          </w:p>
        </w:tc>
        <w:tc>
          <w:tcPr>
            <w:tcW w:w="2440" w:type="dxa"/>
            <w:vAlign w:val="bottom"/>
          </w:tcPr>
          <w:p>
            <w:pPr>
              <w:jc w:val="right"/>
              <w:spacing w:after="0"/>
              <w:rPr>
                <w:sz w:val="20"/>
                <w:szCs w:val="20"/>
                <w:color w:val="auto"/>
              </w:rPr>
            </w:pPr>
            <w:r>
              <w:rPr>
                <w:rFonts w:ascii="Arial" w:cs="Arial" w:eastAsia="Arial" w:hAnsi="Arial"/>
                <w:sz w:val="16"/>
                <w:szCs w:val="16"/>
                <w:color w:val="auto"/>
              </w:rPr>
              <w:t>5,955,550</w:t>
            </w:r>
          </w:p>
        </w:tc>
      </w:tr>
      <w:tr>
        <w:trPr>
          <w:trHeight w:val="114"/>
        </w:trPr>
        <w:tc>
          <w:tcPr>
            <w:tcW w:w="8580" w:type="dxa"/>
            <w:vAlign w:val="bottom"/>
            <w:gridSpan w:val="2"/>
          </w:tcPr>
          <w:p>
            <w:pPr>
              <w:spacing w:after="0"/>
              <w:rPr>
                <w:sz w:val="9"/>
                <w:szCs w:val="9"/>
                <w:color w:val="auto"/>
              </w:rPr>
            </w:pPr>
          </w:p>
        </w:tc>
        <w:tc>
          <w:tcPr>
            <w:tcW w:w="2440" w:type="dxa"/>
            <w:vAlign w:val="bottom"/>
          </w:tcPr>
          <w:p>
            <w:pPr>
              <w:spacing w:after="0"/>
              <w:rPr>
                <w:sz w:val="9"/>
                <w:szCs w:val="9"/>
                <w:color w:val="auto"/>
              </w:rPr>
            </w:pPr>
          </w:p>
        </w:tc>
      </w:tr>
      <w:tr>
        <w:trPr>
          <w:trHeight w:val="203"/>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outstanding shares and units on a fully diluted basis</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52,260,183</w:t>
            </w:r>
          </w:p>
        </w:tc>
      </w:tr>
      <w:tr>
        <w:trPr>
          <w:trHeight w:val="432"/>
        </w:trPr>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8100" w:type="dxa"/>
            <w:vAlign w:val="bottom"/>
          </w:tcPr>
          <w:p>
            <w:pPr>
              <w:ind w:left="280"/>
              <w:spacing w:after="0"/>
              <w:rPr>
                <w:sz w:val="20"/>
                <w:szCs w:val="20"/>
                <w:color w:val="auto"/>
              </w:rPr>
            </w:pPr>
            <w:r>
              <w:rPr>
                <w:rFonts w:ascii="Arial" w:cs="Arial" w:eastAsia="Arial" w:hAnsi="Arial"/>
                <w:sz w:val="18"/>
                <w:szCs w:val="18"/>
                <w:color w:val="auto"/>
              </w:rPr>
              <w:t>As of April 22, 2020, no Evercore LP Class I units or Class K units were outstanding.</w:t>
            </w:r>
          </w:p>
        </w:tc>
        <w:tc>
          <w:tcPr>
            <w:tcW w:w="2440" w:type="dxa"/>
            <w:vAlign w:val="bottom"/>
          </w:tcPr>
          <w:p>
            <w:pPr>
              <w:spacing w:after="0"/>
              <w:rPr>
                <w:sz w:val="24"/>
                <w:szCs w:val="24"/>
                <w:color w:val="auto"/>
              </w:rPr>
            </w:pPr>
          </w:p>
        </w:tc>
      </w:tr>
    </w:tbl>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constitutes a quorum?</w:t>
      </w:r>
    </w:p>
    <w:p>
      <w:pPr>
        <w:spacing w:after="0" w:line="189" w:lineRule="exact"/>
        <w:rPr>
          <w:sz w:val="20"/>
          <w:szCs w:val="20"/>
          <w:color w:val="auto"/>
        </w:rPr>
      </w:pPr>
    </w:p>
    <w:p>
      <w:pPr>
        <w:ind w:left="220" w:right="40" w:firstLine="1745"/>
        <w:spacing w:after="0" w:line="272" w:lineRule="auto"/>
        <w:rPr>
          <w:sz w:val="20"/>
          <w:szCs w:val="20"/>
          <w:color w:val="auto"/>
        </w:rPr>
      </w:pPr>
      <w:r>
        <w:rPr>
          <w:rFonts w:ascii="Arial" w:cs="Arial" w:eastAsia="Arial" w:hAnsi="Arial"/>
          <w:sz w:val="17"/>
          <w:szCs w:val="17"/>
          <w:color w:val="auto"/>
        </w:rPr>
        <w:t>The holders of a majority of voting power of the issued and outstanding shares of Class A common stock and Class B common stock (which generally is equal to the number of Voting Units) entitled to vote must be present or represented by proxy to constitute a quorum for the Annual Meeting. Abstentions are counted as present and entitled to vote for purposes of determining a quorum. Shares represented by broker non-votes (as defined below) also are counted as present and entitled to vote for purposes of determining a quorum. However, if you hold your shares in street name and do not provide voting instructions to your bank, broker or other holder of record, under current NYSE rules, Proposals 1 and 2 are considered non-discretionary matters and a bank, broker or other holder of record will lack the authority to vote shares at his or her discretion on these proposals, and your shares will not be voted on these proposals (a “</w:t>
      </w:r>
      <w:r>
        <w:rPr>
          <w:rFonts w:ascii="Arial" w:cs="Arial" w:eastAsia="Arial" w:hAnsi="Arial"/>
          <w:sz w:val="17"/>
          <w:szCs w:val="17"/>
          <w:i w:val="1"/>
          <w:iCs w:val="1"/>
          <w:color w:val="auto"/>
        </w:rPr>
        <w:t>broker non-vote</w:t>
      </w:r>
      <w:r>
        <w:rPr>
          <w:rFonts w:ascii="Arial" w:cs="Arial" w:eastAsia="Arial" w:hAnsi="Arial"/>
          <w:sz w:val="17"/>
          <w:szCs w:val="17"/>
          <w:color w:val="auto"/>
        </w:rPr>
        <w:t>”).</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are votes calculated?</w:t>
      </w:r>
    </w:p>
    <w:p>
      <w:pPr>
        <w:spacing w:after="0" w:line="189" w:lineRule="exact"/>
        <w:rPr>
          <w:sz w:val="20"/>
          <w:szCs w:val="20"/>
          <w:color w:val="auto"/>
        </w:rPr>
      </w:pPr>
    </w:p>
    <w:p>
      <w:pPr>
        <w:ind w:left="220" w:right="40" w:firstLine="1745"/>
        <w:spacing w:after="0" w:line="277" w:lineRule="auto"/>
        <w:rPr>
          <w:sz w:val="20"/>
          <w:szCs w:val="20"/>
          <w:color w:val="auto"/>
        </w:rPr>
      </w:pPr>
      <w:r>
        <w:rPr>
          <w:rFonts w:ascii="Arial" w:cs="Arial" w:eastAsia="Arial" w:hAnsi="Arial"/>
          <w:sz w:val="18"/>
          <w:szCs w:val="18"/>
          <w:color w:val="auto"/>
        </w:rPr>
        <w:t>If you are a holder of our Class A common stock, then you are entitled to one vote at our Annual Meeting for each share of our Class A common stock that you held as of the close of business on April 22, 2020.</w:t>
      </w:r>
    </w:p>
    <w:p>
      <w:pPr>
        <w:spacing w:after="0" w:line="130" w:lineRule="exact"/>
        <w:rPr>
          <w:sz w:val="20"/>
          <w:szCs w:val="20"/>
          <w:color w:val="auto"/>
        </w:rPr>
      </w:pPr>
    </w:p>
    <w:p>
      <w:pPr>
        <w:ind w:left="220" w:firstLine="1745"/>
        <w:spacing w:after="0" w:line="277" w:lineRule="auto"/>
        <w:rPr>
          <w:sz w:val="20"/>
          <w:szCs w:val="20"/>
          <w:color w:val="auto"/>
        </w:rPr>
      </w:pPr>
      <w:r>
        <w:rPr>
          <w:rFonts w:ascii="Arial" w:cs="Arial" w:eastAsia="Arial" w:hAnsi="Arial"/>
          <w:sz w:val="18"/>
          <w:szCs w:val="18"/>
          <w:color w:val="auto"/>
        </w:rPr>
        <w:t>If you are a holder of our Class B common stock, then you are entitled to a number of votes at our Annual Meeting equal to the total number of Voting Units in Evercore LP that you held as of the close of business on April 22, 2020.</w:t>
      </w:r>
    </w:p>
    <w:p>
      <w:pPr>
        <w:spacing w:after="0" w:line="143" w:lineRule="exact"/>
        <w:rPr>
          <w:sz w:val="20"/>
          <w:szCs w:val="20"/>
          <w:color w:val="auto"/>
        </w:rPr>
      </w:pPr>
    </w:p>
    <w:p>
      <w:pPr>
        <w:ind w:left="220" w:right="220" w:firstLine="1745"/>
        <w:spacing w:after="0" w:line="277" w:lineRule="auto"/>
        <w:rPr>
          <w:sz w:val="20"/>
          <w:szCs w:val="20"/>
          <w:color w:val="auto"/>
        </w:rPr>
      </w:pPr>
      <w:r>
        <w:rPr>
          <w:rFonts w:ascii="Arial" w:cs="Arial" w:eastAsia="Arial" w:hAnsi="Arial"/>
          <w:sz w:val="18"/>
          <w:szCs w:val="18"/>
          <w:color w:val="auto"/>
        </w:rPr>
        <w:t>If you hold RSUs, you will not be entitled to vote the shares underlying such RSUs until you actually receive delivery of the shares of Class A common stock underlying such units.</w:t>
      </w:r>
    </w:p>
    <w:p>
      <w:pPr>
        <w:spacing w:after="0" w:line="130" w:lineRule="exact"/>
        <w:rPr>
          <w:sz w:val="20"/>
          <w:szCs w:val="20"/>
          <w:color w:val="auto"/>
        </w:rPr>
      </w:pPr>
    </w:p>
    <w:p>
      <w:pPr>
        <w:ind w:left="220" w:right="460" w:firstLine="1745"/>
        <w:spacing w:after="0" w:line="277" w:lineRule="auto"/>
        <w:rPr>
          <w:sz w:val="20"/>
          <w:szCs w:val="20"/>
          <w:color w:val="auto"/>
        </w:rPr>
      </w:pPr>
      <w:r>
        <w:rPr>
          <w:rFonts w:ascii="Arial" w:cs="Arial" w:eastAsia="Arial" w:hAnsi="Arial"/>
          <w:sz w:val="18"/>
          <w:szCs w:val="18"/>
          <w:color w:val="auto"/>
        </w:rPr>
        <w:t>All matters on the agenda for our Annual Meeting or any adjournments or postponements thereof will be voted on by the holders of our Class A common stock and Class B common stock, voting together as a single class.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many votes are required to approve each proposal and how are votes counted?</w:t>
      </w:r>
    </w:p>
    <w:p>
      <w:pPr>
        <w:spacing w:after="0" w:line="223" w:lineRule="exact"/>
        <w:rPr>
          <w:sz w:val="20"/>
          <w:szCs w:val="20"/>
          <w:color w:val="auto"/>
        </w:rPr>
      </w:pPr>
    </w:p>
    <w:tbl>
      <w:tblPr>
        <w:tblLayout w:type="fixed"/>
        <w:tblInd w:w="130" w:type="dxa"/>
        <w:tblCellMar>
          <w:top w:w="0" w:type="dxa"/>
          <w:left w:w="0" w:type="dxa"/>
          <w:bottom w:w="0" w:type="dxa"/>
          <w:right w:w="0" w:type="dxa"/>
        </w:tblCellMar>
      </w:tblPr>
      <w:tr>
        <w:trPr>
          <w:trHeight w:val="139"/>
        </w:trPr>
        <w:tc>
          <w:tcPr>
            <w:tcW w:w="186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ind w:left="100"/>
              <w:spacing w:after="0" w:line="139" w:lineRule="exact"/>
              <w:rPr>
                <w:sz w:val="20"/>
                <w:szCs w:val="20"/>
                <w:color w:val="auto"/>
              </w:rPr>
            </w:pPr>
            <w:r>
              <w:rPr>
                <w:rFonts w:ascii="Arial" w:cs="Arial" w:eastAsia="Arial" w:hAnsi="Arial"/>
                <w:sz w:val="14"/>
                <w:szCs w:val="14"/>
                <w:b w:val="1"/>
                <w:bCs w:val="1"/>
                <w:color w:val="auto"/>
              </w:rPr>
              <w:t>How many votes</w:t>
            </w:r>
          </w:p>
        </w:tc>
        <w:tc>
          <w:tcPr>
            <w:tcW w:w="184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are director</w:t>
            </w:r>
          </w:p>
        </w:tc>
        <w:tc>
          <w:tcPr>
            <w:tcW w:w="1860" w:type="dxa"/>
            <w:vAlign w:val="bottom"/>
            <w:tcBorders>
              <w:top w:val="single" w:sz="8" w:color="auto"/>
              <w:right w:val="single" w:sz="8" w:color="auto"/>
            </w:tcBorders>
          </w:tcPr>
          <w:p>
            <w:pPr>
              <w:ind w:left="100"/>
              <w:spacing w:after="0" w:line="139" w:lineRule="exact"/>
              <w:rPr>
                <w:sz w:val="20"/>
                <w:szCs w:val="20"/>
                <w:color w:val="auto"/>
              </w:rPr>
            </w:pPr>
            <w:r>
              <w:rPr>
                <w:rFonts w:ascii="Arial" w:cs="Arial" w:eastAsia="Arial" w:hAnsi="Arial"/>
                <w:sz w:val="14"/>
                <w:szCs w:val="14"/>
                <w:b w:val="1"/>
                <w:bCs w:val="1"/>
                <w:color w:val="auto"/>
              </w:rPr>
              <w:t>How are</w:t>
            </w:r>
          </w:p>
        </w:tc>
        <w:tc>
          <w:tcPr>
            <w:tcW w:w="186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are broker</w:t>
            </w:r>
          </w:p>
        </w:tc>
        <w:tc>
          <w:tcPr>
            <w:tcW w:w="176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How will signed</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are required for</w:t>
            </w:r>
          </w:p>
        </w:tc>
        <w:tc>
          <w:tcPr>
            <w:tcW w:w="18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withhold votes</w:t>
            </w:r>
          </w:p>
        </w:tc>
        <w:tc>
          <w:tcPr>
            <w:tcW w:w="1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abstentions</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non-votes</w:t>
            </w:r>
          </w:p>
        </w:tc>
        <w:tc>
          <w:tcPr>
            <w:tcW w:w="1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proxies that do not</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approval?</w:t>
            </w:r>
          </w:p>
        </w:tc>
        <w:tc>
          <w:tcPr>
            <w:tcW w:w="18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treated?</w:t>
            </w:r>
          </w:p>
        </w:tc>
        <w:tc>
          <w:tcPr>
            <w:tcW w:w="1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treated?</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handled?</w:t>
            </w:r>
          </w:p>
        </w:tc>
        <w:tc>
          <w:tcPr>
            <w:tcW w:w="1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specify voting</w:t>
            </w: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preferences be</w:t>
            </w:r>
          </w:p>
        </w:tc>
      </w:tr>
      <w:tr>
        <w:trPr>
          <w:trHeight w:val="171"/>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treated?</w:t>
            </w:r>
          </w:p>
        </w:tc>
      </w:tr>
      <w:tr>
        <w:trPr>
          <w:trHeight w:val="138"/>
        </w:trPr>
        <w:tc>
          <w:tcPr>
            <w:tcW w:w="1860" w:type="dxa"/>
            <w:vAlign w:val="bottom"/>
            <w:tcBorders>
              <w:left w:val="single" w:sz="8" w:color="auto"/>
              <w:right w:val="single" w:sz="8" w:color="auto"/>
            </w:tcBorders>
          </w:tcPr>
          <w:p>
            <w:pPr>
              <w:ind w:left="160"/>
              <w:spacing w:after="0" w:line="138" w:lineRule="exact"/>
              <w:rPr>
                <w:sz w:val="20"/>
                <w:szCs w:val="20"/>
                <w:color w:val="auto"/>
              </w:rPr>
            </w:pPr>
            <w:r>
              <w:rPr>
                <w:rFonts w:ascii="Arial" w:cs="Arial" w:eastAsia="Arial" w:hAnsi="Arial"/>
                <w:sz w:val="15"/>
                <w:szCs w:val="15"/>
                <w:b w:val="1"/>
                <w:bCs w:val="1"/>
                <w:color w:val="0016FF"/>
              </w:rPr>
              <w:t>Elect the 13 director</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 plurality of votes cast,</w:t>
            </w:r>
          </w:p>
        </w:tc>
        <w:tc>
          <w:tcPr>
            <w:tcW w:w="18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Withhold votes will not be</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Abstentions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Broker non-votes will not</w:t>
            </w:r>
          </w:p>
        </w:tc>
        <w:tc>
          <w:tcPr>
            <w:tcW w:w="17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Votes will be cast FOR</w:t>
            </w:r>
          </w:p>
        </w:tc>
      </w:tr>
      <w:tr>
        <w:trPr>
          <w:trHeight w:val="162"/>
        </w:trPr>
        <w:tc>
          <w:tcPr>
            <w:tcW w:w="186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0016FF"/>
              </w:rPr>
              <w:t>nominees identified in</w:t>
            </w:r>
          </w:p>
        </w:tc>
        <w:tc>
          <w:tcPr>
            <w:tcW w:w="18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subject to our director</w:t>
            </w: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counted as votes cast for</w:t>
            </w:r>
          </w:p>
        </w:tc>
        <w:tc>
          <w:tcPr>
            <w:tcW w:w="18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counted as votes cast</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be counted as votes cast</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w w:val="99"/>
              </w:rPr>
              <w:t>the 13 director nominees</w:t>
            </w:r>
          </w:p>
        </w:tc>
      </w:tr>
      <w:tr>
        <w:trPr>
          <w:trHeight w:val="162"/>
        </w:trPr>
        <w:tc>
          <w:tcPr>
            <w:tcW w:w="186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0016FF"/>
              </w:rPr>
              <w:t>this</w:t>
            </w:r>
          </w:p>
        </w:tc>
        <w:tc>
          <w:tcPr>
            <w:tcW w:w="18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resignation policy if a</w:t>
            </w: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purposes of the plurality</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identified in this Proxy</w:t>
            </w:r>
          </w:p>
        </w:tc>
      </w:tr>
      <w:tr>
        <w:trPr>
          <w:trHeight w:val="166"/>
        </w:trPr>
        <w:tc>
          <w:tcPr>
            <w:tcW w:w="1860" w:type="dxa"/>
            <w:vAlign w:val="bottom"/>
            <w:tcBorders>
              <w:left w:val="single" w:sz="8" w:color="auto"/>
              <w:right w:val="single" w:sz="8" w:color="auto"/>
            </w:tcBorders>
          </w:tcPr>
          <w:p>
            <w:pPr>
              <w:ind w:left="160"/>
              <w:spacing w:after="0" w:line="166" w:lineRule="exact"/>
              <w:rPr>
                <w:sz w:val="20"/>
                <w:szCs w:val="20"/>
                <w:color w:val="auto"/>
              </w:rPr>
            </w:pPr>
            <w:r>
              <w:rPr>
                <w:rFonts w:ascii="Arial" w:cs="Arial" w:eastAsia="Arial" w:hAnsi="Arial"/>
                <w:sz w:val="15"/>
                <w:szCs w:val="15"/>
                <w:b w:val="1"/>
                <w:bCs w:val="1"/>
                <w:color w:val="0016FF"/>
              </w:rPr>
              <w:t>Proxy Statement</w:t>
            </w:r>
          </w:p>
        </w:tc>
        <w:tc>
          <w:tcPr>
            <w:tcW w:w="1860" w:type="dxa"/>
            <w:vAlign w:val="bottom"/>
            <w:tcBorders>
              <w:right w:val="single" w:sz="8" w:color="auto"/>
            </w:tcBorders>
          </w:tcPr>
          <w:p>
            <w:pPr>
              <w:ind w:left="100"/>
              <w:spacing w:after="0" w:line="166" w:lineRule="exact"/>
              <w:rPr>
                <w:sz w:val="20"/>
                <w:szCs w:val="20"/>
                <w:color w:val="auto"/>
              </w:rPr>
            </w:pPr>
            <w:r>
              <w:rPr>
                <w:rFonts w:ascii="Arial" w:cs="Arial" w:eastAsia="Arial" w:hAnsi="Arial"/>
                <w:sz w:val="15"/>
                <w:szCs w:val="15"/>
                <w:color w:val="auto"/>
                <w:w w:val="98"/>
              </w:rPr>
              <w:t>director receives less than</w:t>
            </w:r>
          </w:p>
        </w:tc>
        <w:tc>
          <w:tcPr>
            <w:tcW w:w="184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w w:val="99"/>
              </w:rPr>
              <w:t>voting standard but will be</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Statement</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majority support</w:t>
            </w: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considered in determining</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whether our director</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w w:val="93"/>
              </w:rPr>
              <w:t>resignation policy applies to</w:t>
            </w: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r>
      <w:tr>
        <w:trPr>
          <w:trHeight w:val="175"/>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a director</w:t>
            </w:r>
          </w:p>
        </w:tc>
        <w:tc>
          <w:tcPr>
            <w:tcW w:w="18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r>
      <w:tr>
        <w:trPr>
          <w:trHeight w:val="138"/>
        </w:trPr>
        <w:tc>
          <w:tcPr>
            <w:tcW w:w="1860" w:type="dxa"/>
            <w:vAlign w:val="bottom"/>
            <w:tcBorders>
              <w:left w:val="single" w:sz="8" w:color="auto"/>
              <w:right w:val="single" w:sz="8" w:color="auto"/>
            </w:tcBorders>
          </w:tcPr>
          <w:p>
            <w:pPr>
              <w:ind w:left="160"/>
              <w:spacing w:after="0" w:line="138" w:lineRule="exact"/>
              <w:rPr>
                <w:sz w:val="20"/>
                <w:szCs w:val="20"/>
                <w:color w:val="auto"/>
              </w:rPr>
            </w:pPr>
            <w:r>
              <w:rPr>
                <w:rFonts w:ascii="Arial" w:cs="Arial" w:eastAsia="Arial" w:hAnsi="Arial"/>
                <w:sz w:val="15"/>
                <w:szCs w:val="15"/>
                <w:b w:val="1"/>
                <w:bCs w:val="1"/>
                <w:color w:val="0016FF"/>
                <w:w w:val="92"/>
              </w:rPr>
              <w:t>Advisory vote to approve</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 majority of votes cast</w:t>
            </w:r>
          </w:p>
        </w:tc>
        <w:tc>
          <w:tcPr>
            <w:tcW w:w="18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N/A</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Abstentions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Broker non-votes will not</w:t>
            </w:r>
          </w:p>
        </w:tc>
        <w:tc>
          <w:tcPr>
            <w:tcW w:w="17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Votes will be cast FOR</w:t>
            </w:r>
          </w:p>
        </w:tc>
      </w:tr>
      <w:tr>
        <w:trPr>
          <w:trHeight w:val="162"/>
        </w:trPr>
        <w:tc>
          <w:tcPr>
            <w:tcW w:w="186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0016FF"/>
                <w:w w:val="94"/>
              </w:rPr>
              <w:t>the compensation of our</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counted as votes cast</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be counted as votes cast</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the approval of the</w:t>
            </w:r>
          </w:p>
        </w:tc>
      </w:tr>
      <w:tr>
        <w:trPr>
          <w:trHeight w:val="166"/>
        </w:trPr>
        <w:tc>
          <w:tcPr>
            <w:tcW w:w="1860" w:type="dxa"/>
            <w:vAlign w:val="bottom"/>
            <w:tcBorders>
              <w:left w:val="single" w:sz="8" w:color="auto"/>
              <w:right w:val="single" w:sz="8" w:color="auto"/>
            </w:tcBorders>
          </w:tcPr>
          <w:p>
            <w:pPr>
              <w:ind w:left="160"/>
              <w:spacing w:after="0" w:line="166" w:lineRule="exact"/>
              <w:rPr>
                <w:sz w:val="20"/>
                <w:szCs w:val="20"/>
                <w:color w:val="auto"/>
              </w:rPr>
            </w:pPr>
            <w:r>
              <w:rPr>
                <w:rFonts w:ascii="Arial" w:cs="Arial" w:eastAsia="Arial" w:hAnsi="Arial"/>
                <w:sz w:val="15"/>
                <w:szCs w:val="15"/>
                <w:b w:val="1"/>
                <w:bCs w:val="1"/>
                <w:color w:val="0016FF"/>
              </w:rPr>
              <w:t>NEOs</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compensation of our</w:t>
            </w:r>
          </w:p>
        </w:tc>
      </w:tr>
      <w:tr>
        <w:trPr>
          <w:trHeight w:val="175"/>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NEOs</w:t>
            </w:r>
          </w:p>
        </w:tc>
      </w:tr>
      <w:tr>
        <w:trPr>
          <w:trHeight w:val="138"/>
        </w:trPr>
        <w:tc>
          <w:tcPr>
            <w:tcW w:w="1860" w:type="dxa"/>
            <w:vAlign w:val="bottom"/>
            <w:tcBorders>
              <w:left w:val="single" w:sz="8" w:color="auto"/>
              <w:right w:val="single" w:sz="8" w:color="auto"/>
            </w:tcBorders>
          </w:tcPr>
          <w:p>
            <w:pPr>
              <w:ind w:left="160"/>
              <w:spacing w:after="0" w:line="138" w:lineRule="exact"/>
              <w:rPr>
                <w:sz w:val="20"/>
                <w:szCs w:val="20"/>
                <w:color w:val="auto"/>
              </w:rPr>
            </w:pPr>
            <w:r>
              <w:rPr>
                <w:rFonts w:ascii="Arial" w:cs="Arial" w:eastAsia="Arial" w:hAnsi="Arial"/>
                <w:sz w:val="15"/>
                <w:szCs w:val="15"/>
                <w:b w:val="1"/>
                <w:bCs w:val="1"/>
                <w:color w:val="0016FF"/>
                <w:w w:val="90"/>
              </w:rPr>
              <w:t>Approval of the Amended</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 majority of votes cast</w:t>
            </w:r>
          </w:p>
        </w:tc>
        <w:tc>
          <w:tcPr>
            <w:tcW w:w="18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N/A</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Abstentions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Broker non-votes will not</w:t>
            </w:r>
          </w:p>
        </w:tc>
        <w:tc>
          <w:tcPr>
            <w:tcW w:w="17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Votes will be cast FOR</w:t>
            </w:r>
          </w:p>
        </w:tc>
      </w:tr>
      <w:tr>
        <w:trPr>
          <w:trHeight w:val="166"/>
        </w:trPr>
        <w:tc>
          <w:tcPr>
            <w:tcW w:w="1860" w:type="dxa"/>
            <w:vAlign w:val="bottom"/>
            <w:tcBorders>
              <w:left w:val="single" w:sz="8" w:color="auto"/>
              <w:right w:val="single" w:sz="8" w:color="auto"/>
            </w:tcBorders>
          </w:tcPr>
          <w:p>
            <w:pPr>
              <w:ind w:left="160"/>
              <w:spacing w:after="0" w:line="166" w:lineRule="exact"/>
              <w:rPr>
                <w:sz w:val="20"/>
                <w:szCs w:val="20"/>
                <w:color w:val="auto"/>
              </w:rPr>
            </w:pPr>
            <w:r>
              <w:rPr>
                <w:rFonts w:ascii="Arial" w:cs="Arial" w:eastAsia="Arial" w:hAnsi="Arial"/>
                <w:sz w:val="15"/>
                <w:szCs w:val="15"/>
                <w:b w:val="1"/>
                <w:bCs w:val="1"/>
                <w:color w:val="0016FF"/>
                <w:w w:val="99"/>
              </w:rPr>
              <w:t>and Restated 2016 Plan</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100"/>
              <w:spacing w:after="0" w:line="166" w:lineRule="exact"/>
              <w:rPr>
                <w:sz w:val="20"/>
                <w:szCs w:val="20"/>
                <w:color w:val="auto"/>
              </w:rPr>
            </w:pPr>
            <w:r>
              <w:rPr>
                <w:rFonts w:ascii="Arial" w:cs="Arial" w:eastAsia="Arial" w:hAnsi="Arial"/>
                <w:sz w:val="15"/>
                <w:szCs w:val="15"/>
                <w:color w:val="auto"/>
              </w:rPr>
              <w:t>counted as votes cast</w:t>
            </w:r>
          </w:p>
        </w:tc>
        <w:tc>
          <w:tcPr>
            <w:tcW w:w="186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be counted as votes cast</w:t>
            </w:r>
          </w:p>
        </w:tc>
        <w:tc>
          <w:tcPr>
            <w:tcW w:w="176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5"/>
                <w:szCs w:val="15"/>
                <w:color w:val="auto"/>
              </w:rPr>
              <w:t>the approval of the</w:t>
            </w:r>
          </w:p>
        </w:tc>
      </w:tr>
      <w:tr>
        <w:trPr>
          <w:trHeight w:val="175"/>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Amended 2016 Plan</w:t>
            </w:r>
          </w:p>
        </w:tc>
      </w:tr>
      <w:tr>
        <w:trPr>
          <w:trHeight w:val="138"/>
        </w:trPr>
        <w:tc>
          <w:tcPr>
            <w:tcW w:w="1860" w:type="dxa"/>
            <w:vAlign w:val="bottom"/>
            <w:tcBorders>
              <w:left w:val="single" w:sz="8" w:color="auto"/>
              <w:right w:val="single" w:sz="8" w:color="auto"/>
            </w:tcBorders>
          </w:tcPr>
          <w:p>
            <w:pPr>
              <w:ind w:left="160"/>
              <w:spacing w:after="0" w:line="138" w:lineRule="exact"/>
              <w:rPr>
                <w:sz w:val="20"/>
                <w:szCs w:val="20"/>
                <w:color w:val="auto"/>
              </w:rPr>
            </w:pPr>
            <w:r>
              <w:rPr>
                <w:rFonts w:ascii="Arial" w:cs="Arial" w:eastAsia="Arial" w:hAnsi="Arial"/>
                <w:sz w:val="15"/>
                <w:szCs w:val="15"/>
                <w:b w:val="1"/>
                <w:bCs w:val="1"/>
                <w:color w:val="0016FF"/>
              </w:rPr>
              <w:t>Advisory vote to ratify</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 majority of votes cast</w:t>
            </w:r>
          </w:p>
        </w:tc>
        <w:tc>
          <w:tcPr>
            <w:tcW w:w="18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N/A</w:t>
            </w:r>
          </w:p>
        </w:tc>
        <w:tc>
          <w:tcPr>
            <w:tcW w:w="18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5"/>
                <w:szCs w:val="15"/>
                <w:color w:val="auto"/>
              </w:rPr>
              <w:t>Abstentions will not be</w:t>
            </w:r>
          </w:p>
        </w:tc>
        <w:tc>
          <w:tcPr>
            <w:tcW w:w="18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Banks, brokers and other</w:t>
            </w:r>
          </w:p>
        </w:tc>
        <w:tc>
          <w:tcPr>
            <w:tcW w:w="176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5"/>
                <w:szCs w:val="15"/>
                <w:color w:val="auto"/>
              </w:rPr>
              <w:t>Votes will be cast FOR</w:t>
            </w:r>
          </w:p>
        </w:tc>
      </w:tr>
      <w:tr>
        <w:trPr>
          <w:trHeight w:val="162"/>
        </w:trPr>
        <w:tc>
          <w:tcPr>
            <w:tcW w:w="186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0016FF"/>
                <w:w w:val="87"/>
              </w:rPr>
              <w:t>the selection of Deloitte as</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counted as votes cast</w:t>
            </w: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holders of record may</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the ratification of the</w:t>
            </w:r>
          </w:p>
        </w:tc>
      </w:tr>
      <w:tr>
        <w:trPr>
          <w:trHeight w:val="162"/>
        </w:trPr>
        <w:tc>
          <w:tcPr>
            <w:tcW w:w="186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0016FF"/>
              </w:rPr>
              <w:t>our</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w w:val="93"/>
              </w:rPr>
              <w:t>exercise discretion and vote</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selection of Deloitte as</w:t>
            </w:r>
          </w:p>
        </w:tc>
      </w:tr>
      <w:tr>
        <w:trPr>
          <w:trHeight w:val="162"/>
        </w:trPr>
        <w:tc>
          <w:tcPr>
            <w:tcW w:w="186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0016FF"/>
              </w:rPr>
              <w:t>independent registered</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w w:val="93"/>
              </w:rPr>
              <w:t>on this matter and these will</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our independent public</w:t>
            </w:r>
          </w:p>
        </w:tc>
      </w:tr>
      <w:tr>
        <w:trPr>
          <w:trHeight w:val="162"/>
        </w:trPr>
        <w:tc>
          <w:tcPr>
            <w:tcW w:w="186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0016FF"/>
              </w:rPr>
              <w:t>public accounting firm</w:t>
            </w:r>
          </w:p>
        </w:tc>
        <w:tc>
          <w:tcPr>
            <w:tcW w:w="18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be counted as votes cast</w:t>
            </w:r>
          </w:p>
        </w:tc>
        <w:tc>
          <w:tcPr>
            <w:tcW w:w="17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accounting firm for 2020</w:t>
            </w:r>
          </w:p>
        </w:tc>
      </w:tr>
      <w:tr>
        <w:trPr>
          <w:trHeight w:val="193"/>
        </w:trPr>
        <w:tc>
          <w:tcPr>
            <w:tcW w:w="18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b w:val="1"/>
                <w:bCs w:val="1"/>
                <w:color w:val="0016FF"/>
              </w:rPr>
              <w:t>for 2020</w:t>
            </w:r>
          </w:p>
        </w:tc>
        <w:tc>
          <w:tcPr>
            <w:tcW w:w="186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r>
    </w:tbl>
    <w:p>
      <w:pPr>
        <w:spacing w:after="0" w:line="175" w:lineRule="exact"/>
        <w:rPr>
          <w:sz w:val="20"/>
          <w:szCs w:val="20"/>
          <w:color w:val="auto"/>
        </w:rPr>
      </w:pPr>
    </w:p>
    <w:p>
      <w:pPr>
        <w:ind w:left="220" w:right="60" w:firstLine="1745"/>
        <w:spacing w:after="0" w:line="255" w:lineRule="auto"/>
        <w:rPr>
          <w:sz w:val="20"/>
          <w:szCs w:val="20"/>
          <w:color w:val="auto"/>
        </w:rPr>
      </w:pPr>
      <w:r>
        <w:rPr>
          <w:rFonts w:ascii="Arial" w:cs="Arial" w:eastAsia="Arial" w:hAnsi="Arial"/>
          <w:sz w:val="18"/>
          <w:szCs w:val="18"/>
          <w:color w:val="auto"/>
        </w:rPr>
        <w:t>It is important to note that the proposals with respect to (i) approval of the compensation of our NEOs and (ii) ratification of the selection of the independent registered public accounting firm are non-binding and advisory. However, the Board intends to carefully consider the results of Proposal 2 in making future compensation decisions and, if our shareholders fail to ratify the selection of Deloitte, the selection of another independent registered public accounting firm may be considered by the Audit Committee. Even if the selection is ratified, the Audit Committee in its discretion may select a different independent registered public accounting firm at any time during the year if it determines that such a change would be in the best interests of the Company and our shareholders.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happens if a director fails to receive the support of a majority of votes cast?</w:t>
      </w:r>
    </w:p>
    <w:p>
      <w:pPr>
        <w:spacing w:after="0" w:line="189" w:lineRule="exact"/>
        <w:rPr>
          <w:sz w:val="20"/>
          <w:szCs w:val="20"/>
          <w:color w:val="auto"/>
        </w:rPr>
      </w:pPr>
    </w:p>
    <w:p>
      <w:pPr>
        <w:ind w:left="220" w:firstLine="1745"/>
        <w:spacing w:after="0" w:line="257" w:lineRule="auto"/>
        <w:rPr>
          <w:sz w:val="20"/>
          <w:szCs w:val="20"/>
          <w:color w:val="auto"/>
        </w:rPr>
      </w:pPr>
      <w:r>
        <w:rPr>
          <w:rFonts w:ascii="Arial" w:cs="Arial" w:eastAsia="Arial" w:hAnsi="Arial"/>
          <w:sz w:val="18"/>
          <w:szCs w:val="18"/>
          <w:color w:val="auto"/>
        </w:rPr>
        <w:t>Under our director resignation policy, if a director receives more “withhold” votes than “for” votes, then that director must promptly tender his or her resignation. The Nominating and Corporate Governance Committee will consider the resignation offer (without the participation of the relevant director) and will recommend to the Board the action to be taken, and the Board will take action within 90 days following certification of the vote, and publicly disclose its decision and the reason therefor. See “</w:t>
      </w:r>
      <w:r>
        <w:rPr>
          <w:rFonts w:ascii="Arial" w:cs="Arial" w:eastAsia="Arial" w:hAnsi="Arial"/>
          <w:sz w:val="18"/>
          <w:szCs w:val="18"/>
          <w:b w:val="1"/>
          <w:bCs w:val="1"/>
          <w:color w:val="auto"/>
        </w:rPr>
        <w:t>Proposal 1—Election of Directors—Majority Voting Policy</w:t>
      </w:r>
      <w:r>
        <w:rPr>
          <w:rFonts w:ascii="Arial" w:cs="Arial" w:eastAsia="Arial" w:hAnsi="Arial"/>
          <w:sz w:val="18"/>
          <w:szCs w:val="18"/>
          <w:color w:val="auto"/>
        </w:rPr>
        <w:t>” below on page 24.</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if I do not specify a choice for a matter when returning a proxy?</w:t>
      </w:r>
    </w:p>
    <w:p>
      <w:pPr>
        <w:spacing w:after="0" w:line="202" w:lineRule="exact"/>
        <w:rPr>
          <w:sz w:val="20"/>
          <w:szCs w:val="20"/>
          <w:color w:val="auto"/>
        </w:rPr>
      </w:pPr>
    </w:p>
    <w:p>
      <w:pPr>
        <w:ind w:left="220" w:firstLine="1745"/>
        <w:spacing w:after="0" w:line="257" w:lineRule="auto"/>
        <w:rPr>
          <w:sz w:val="20"/>
          <w:szCs w:val="20"/>
          <w:color w:val="auto"/>
        </w:rPr>
      </w:pPr>
      <w:r>
        <w:rPr>
          <w:rFonts w:ascii="Arial" w:cs="Arial" w:eastAsia="Arial" w:hAnsi="Arial"/>
          <w:sz w:val="18"/>
          <w:szCs w:val="18"/>
          <w:color w:val="auto"/>
        </w:rPr>
        <w:t>Shareholders should specify their choice for each matter on the enclosed proxy card or voting instruction card. If no specific instructions are given, proxy cards and voting instruction cards which are signed and returned will be voted at the Annual Meeting or any adjournments or postponements thereof as indicated in the chart above. In addition, the persons named in the enclosed proxy will have discretionary authority to vote all proxies with respect to other matters that may properly come before our Annual Meeting or any adjournments or postponements of the meeting in accordance with their judgment.</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Can I change my vote?</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Yes. At any time before your proxy is exercised at the Annual Meeting, you may change your vote by:</w:t>
      </w:r>
    </w:p>
    <w:p>
      <w:pPr>
        <w:spacing w:after="0" w:line="131" w:lineRule="exact"/>
        <w:rPr>
          <w:sz w:val="20"/>
          <w:szCs w:val="20"/>
          <w:color w:val="auto"/>
        </w:rPr>
      </w:pPr>
    </w:p>
    <w:p>
      <w:pPr>
        <w:ind w:left="760" w:hanging="428"/>
        <w:spacing w:after="0"/>
        <w:tabs>
          <w:tab w:leader="none" w:pos="760" w:val="left"/>
        </w:tabs>
        <w:numPr>
          <w:ilvl w:val="0"/>
          <w:numId w:val="24"/>
        </w:numPr>
        <w:rPr>
          <w:rFonts w:ascii="Arial" w:cs="Arial" w:eastAsia="Arial" w:hAnsi="Arial"/>
          <w:sz w:val="18"/>
          <w:szCs w:val="18"/>
          <w:color w:val="0A26FF"/>
        </w:rPr>
      </w:pPr>
      <w:r>
        <w:rPr>
          <w:rFonts w:ascii="Arial" w:cs="Arial" w:eastAsia="Arial" w:hAnsi="Arial"/>
          <w:sz w:val="18"/>
          <w:szCs w:val="18"/>
          <w:color w:val="auto"/>
        </w:rPr>
        <w:t>revoking it by written notice sent to our Corporate Secretary that is received by 5:00 p.m. Eastern Time on June 15, 2020;</w:t>
      </w:r>
    </w:p>
    <w:p>
      <w:pPr>
        <w:spacing w:after="0" w:line="130" w:lineRule="exact"/>
        <w:rPr>
          <w:rFonts w:ascii="Arial" w:cs="Arial" w:eastAsia="Arial" w:hAnsi="Arial"/>
          <w:sz w:val="18"/>
          <w:szCs w:val="18"/>
          <w:color w:val="0A26FF"/>
        </w:rPr>
      </w:pPr>
    </w:p>
    <w:p>
      <w:pPr>
        <w:ind w:left="760" w:hanging="428"/>
        <w:spacing w:after="0"/>
        <w:tabs>
          <w:tab w:leader="none" w:pos="760" w:val="left"/>
        </w:tabs>
        <w:numPr>
          <w:ilvl w:val="0"/>
          <w:numId w:val="24"/>
        </w:numPr>
        <w:rPr>
          <w:rFonts w:ascii="Arial" w:cs="Arial" w:eastAsia="Arial" w:hAnsi="Arial"/>
          <w:sz w:val="18"/>
          <w:szCs w:val="18"/>
          <w:color w:val="0A26FF"/>
        </w:rPr>
      </w:pPr>
      <w:r>
        <w:rPr>
          <w:rFonts w:ascii="Arial" w:cs="Arial" w:eastAsia="Arial" w:hAnsi="Arial"/>
          <w:sz w:val="18"/>
          <w:szCs w:val="18"/>
          <w:color w:val="auto"/>
        </w:rPr>
        <w:t>delivering a later-dated proxy card that is received by 5:00 p.m. Eastern Time on June 15, 2020;</w:t>
      </w:r>
    </w:p>
    <w:p>
      <w:pPr>
        <w:spacing w:after="0" w:line="130" w:lineRule="exact"/>
        <w:rPr>
          <w:rFonts w:ascii="Arial" w:cs="Arial" w:eastAsia="Arial" w:hAnsi="Arial"/>
          <w:sz w:val="18"/>
          <w:szCs w:val="18"/>
          <w:color w:val="0A26FF"/>
        </w:rPr>
      </w:pPr>
    </w:p>
    <w:p>
      <w:pPr>
        <w:ind w:left="760" w:hanging="428"/>
        <w:spacing w:after="0"/>
        <w:tabs>
          <w:tab w:leader="none" w:pos="760" w:val="left"/>
        </w:tabs>
        <w:numPr>
          <w:ilvl w:val="0"/>
          <w:numId w:val="24"/>
        </w:numPr>
        <w:rPr>
          <w:rFonts w:ascii="Arial" w:cs="Arial" w:eastAsia="Arial" w:hAnsi="Arial"/>
          <w:sz w:val="16"/>
          <w:szCs w:val="16"/>
          <w:color w:val="0A26FF"/>
        </w:rPr>
      </w:pPr>
      <w:r>
        <w:rPr>
          <w:rFonts w:ascii="Arial" w:cs="Arial" w:eastAsia="Arial" w:hAnsi="Arial"/>
          <w:sz w:val="16"/>
          <w:szCs w:val="16"/>
          <w:color w:val="auto"/>
        </w:rPr>
        <w:t>voting again by Internet or telephone at a later time before the closing of the voting facilities at 11:59 p.m. Eastern Time on June 15, 2020; or</w:t>
      </w:r>
    </w:p>
    <w:p>
      <w:pPr>
        <w:spacing w:after="0" w:line="153" w:lineRule="exact"/>
        <w:rPr>
          <w:rFonts w:ascii="Arial" w:cs="Arial" w:eastAsia="Arial" w:hAnsi="Arial"/>
          <w:sz w:val="16"/>
          <w:szCs w:val="16"/>
          <w:color w:val="0A26FF"/>
        </w:rPr>
      </w:pPr>
    </w:p>
    <w:p>
      <w:pPr>
        <w:ind w:left="760" w:hanging="428"/>
        <w:spacing w:after="0"/>
        <w:tabs>
          <w:tab w:leader="none" w:pos="760" w:val="left"/>
        </w:tabs>
        <w:numPr>
          <w:ilvl w:val="0"/>
          <w:numId w:val="24"/>
        </w:numPr>
        <w:rPr>
          <w:rFonts w:ascii="Arial" w:cs="Arial" w:eastAsia="Arial" w:hAnsi="Arial"/>
          <w:sz w:val="18"/>
          <w:szCs w:val="18"/>
          <w:color w:val="0A26FF"/>
        </w:rPr>
      </w:pPr>
      <w:r>
        <w:rPr>
          <w:rFonts w:ascii="Arial" w:cs="Arial" w:eastAsia="Arial" w:hAnsi="Arial"/>
          <w:sz w:val="18"/>
          <w:szCs w:val="18"/>
          <w:color w:val="auto"/>
        </w:rPr>
        <w:t>voting at our Annual Meeting.</w:t>
      </w:r>
    </w:p>
    <w:p>
      <w:pPr>
        <w:spacing w:after="0" w:line="198" w:lineRule="exact"/>
        <w:rPr>
          <w:sz w:val="20"/>
          <w:szCs w:val="20"/>
          <w:color w:val="auto"/>
        </w:rPr>
      </w:pPr>
    </w:p>
    <w:p>
      <w:pPr>
        <w:ind w:left="220" w:right="80" w:firstLine="1745"/>
        <w:spacing w:after="0" w:line="277" w:lineRule="auto"/>
        <w:rPr>
          <w:sz w:val="20"/>
          <w:szCs w:val="20"/>
          <w:color w:val="auto"/>
        </w:rPr>
      </w:pPr>
      <w:r>
        <w:rPr>
          <w:rFonts w:ascii="Arial" w:cs="Arial" w:eastAsia="Arial" w:hAnsi="Arial"/>
          <w:sz w:val="18"/>
          <w:szCs w:val="18"/>
          <w:color w:val="auto"/>
        </w:rPr>
        <w:t>If your shares are held in street name, please refer to the information forwarded to you by your bank, broker or other holder of record for procedures on revoking or changing your vote.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does it mean if I receive more than one proxy card or Notice?</w:t>
      </w:r>
    </w:p>
    <w:p>
      <w:pPr>
        <w:spacing w:after="0" w:line="189" w:lineRule="exact"/>
        <w:rPr>
          <w:sz w:val="20"/>
          <w:szCs w:val="20"/>
          <w:color w:val="auto"/>
        </w:rPr>
      </w:pPr>
    </w:p>
    <w:p>
      <w:pPr>
        <w:ind w:left="220" w:right="160" w:firstLine="1745"/>
        <w:spacing w:after="0" w:line="263" w:lineRule="auto"/>
        <w:rPr>
          <w:sz w:val="20"/>
          <w:szCs w:val="20"/>
          <w:color w:val="auto"/>
        </w:rPr>
      </w:pPr>
      <w:r>
        <w:rPr>
          <w:rFonts w:ascii="Arial" w:cs="Arial" w:eastAsia="Arial" w:hAnsi="Arial"/>
          <w:sz w:val="18"/>
          <w:szCs w:val="18"/>
          <w:color w:val="auto"/>
        </w:rPr>
        <w:t>If you receive more than one proxy card or Notice, it means that you hold shares registered in more than one account. To ensure that all of your shares are voted, please follow the instructions included on each Notice you receive or, if you received printed proxy materials by mail, complete, sign and return each proxy card you receive.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happens if a nominee for director declines or is unable to accept election?</w:t>
      </w:r>
    </w:p>
    <w:p>
      <w:pPr>
        <w:spacing w:after="0" w:line="189" w:lineRule="exact"/>
        <w:rPr>
          <w:sz w:val="20"/>
          <w:szCs w:val="20"/>
          <w:color w:val="auto"/>
        </w:rPr>
      </w:pPr>
    </w:p>
    <w:p>
      <w:pPr>
        <w:jc w:val="both"/>
        <w:ind w:left="220" w:right="260" w:firstLine="1745"/>
        <w:spacing w:after="0" w:line="263" w:lineRule="auto"/>
        <w:rPr>
          <w:sz w:val="20"/>
          <w:szCs w:val="20"/>
          <w:color w:val="auto"/>
        </w:rPr>
      </w:pPr>
      <w:r>
        <w:rPr>
          <w:rFonts w:ascii="Arial" w:cs="Arial" w:eastAsia="Arial" w:hAnsi="Arial"/>
          <w:sz w:val="18"/>
          <w:szCs w:val="18"/>
          <w:color w:val="auto"/>
        </w:rPr>
        <w:t>If you vote in the manner described in the Notice or by signing the proxy card or voting instruction card, and if unforeseen circumstances make it necessary for our Board to substitute another person for a nominee, the proxies named in the proxy card or voting instruction card will vote your shares for that other person.</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02" w:lineRule="exact"/>
        <w:rPr>
          <w:sz w:val="20"/>
          <w:szCs w:val="20"/>
          <w:color w:val="auto"/>
        </w:rPr>
      </w:pPr>
    </w:p>
    <w:p>
      <w:pPr>
        <w:ind w:left="220" w:right="60" w:firstLine="1745"/>
        <w:spacing w:after="0" w:line="273" w:lineRule="auto"/>
        <w:rPr>
          <w:sz w:val="20"/>
          <w:szCs w:val="20"/>
          <w:color w:val="auto"/>
        </w:rPr>
      </w:pPr>
      <w:r>
        <w:rPr>
          <w:rFonts w:ascii="Arial" w:cs="Arial" w:eastAsia="Arial" w:hAnsi="Arial"/>
          <w:sz w:val="17"/>
          <w:szCs w:val="17"/>
          <w:color w:val="auto"/>
        </w:rPr>
        <w:t>In addition to solicitation by mail, proxies may be solicited by our directors, officers or employees in person, by telephone or by other means of communication, for which no additional compensation will be paid. We have also engaged Alliance Advisors LLC (“Alliance”) and Joele Frank, Wilkinson Brimmer Katcher (“Joele Frank”) to assist in the solicitation and distribution of proxies. Alliance and Joele Frank will each receive fees of approximately $60,000, plus reasonable out-of-pocket costs and expenses, for its services.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Why did the Board decide to adopt a virtual format for the Annual Meeting?</w:t>
      </w:r>
    </w:p>
    <w:p>
      <w:pPr>
        <w:spacing w:after="0" w:line="202" w:lineRule="exact"/>
        <w:rPr>
          <w:sz w:val="20"/>
          <w:szCs w:val="20"/>
          <w:color w:val="auto"/>
        </w:rPr>
      </w:pPr>
    </w:p>
    <w:p>
      <w:pPr>
        <w:ind w:left="220" w:right="80" w:firstLine="1745"/>
        <w:spacing w:after="0" w:line="255" w:lineRule="auto"/>
        <w:rPr>
          <w:sz w:val="20"/>
          <w:szCs w:val="20"/>
          <w:color w:val="auto"/>
        </w:rPr>
      </w:pPr>
      <w:r>
        <w:rPr>
          <w:rFonts w:ascii="Arial" w:cs="Arial" w:eastAsia="Arial" w:hAnsi="Arial"/>
          <w:sz w:val="18"/>
          <w:szCs w:val="18"/>
          <w:color w:val="auto"/>
        </w:rPr>
        <w:t>The Board has been actively monitoring the public health and travel safety concerns relating to the COVID-19 pandemic and the advisories or mandates that federal, state, and local governments, and related agencies, have issued. In light of the foregoing, the Board has determined it would not be advisable to hold our annual meeting in person as we have historically done. We believe the virtual format will provide a productive opportunity for shareholders to communicate with the Board by submitting questions during the meeting through the online portal and by calling in live via telephone during the meeting. Finally, the online meeting format will eliminate many of the costs associated with holding a physical meeting.</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do I need to do if I want to participate in the virtual Annual Meeting?</w:t>
      </w:r>
    </w:p>
    <w:p>
      <w:pPr>
        <w:spacing w:after="0" w:line="189" w:lineRule="exact"/>
        <w:rPr>
          <w:sz w:val="20"/>
          <w:szCs w:val="20"/>
          <w:color w:val="auto"/>
        </w:rPr>
      </w:pPr>
    </w:p>
    <w:p>
      <w:pPr>
        <w:ind w:left="220" w:right="280" w:firstLine="1745"/>
        <w:spacing w:after="0" w:line="259" w:lineRule="auto"/>
        <w:rPr>
          <w:sz w:val="20"/>
          <w:szCs w:val="20"/>
          <w:color w:val="auto"/>
        </w:rPr>
      </w:pPr>
      <w:r>
        <w:rPr>
          <w:rFonts w:ascii="Arial" w:cs="Arial" w:eastAsia="Arial" w:hAnsi="Arial"/>
          <w:sz w:val="18"/>
          <w:szCs w:val="18"/>
          <w:color w:val="auto"/>
        </w:rPr>
        <w:t>As discussed above, in light of the COVID-19 pandemic, this year our Annual Meeting will be a virtual meeting conducted only via live webcast. There will be no physical meeting location. All holders of Class A common stock and Class B common stock, including shareholders of record and shareholders who hold their shares through banks, brokers or other holders of record, may participate in the Annual Meeting. Only shareholders as of the record date can vote at the Annual Meeting.</w:t>
      </w:r>
    </w:p>
    <w:p>
      <w:pPr>
        <w:spacing w:after="0" w:line="160" w:lineRule="exact"/>
        <w:rPr>
          <w:sz w:val="20"/>
          <w:szCs w:val="20"/>
          <w:color w:val="auto"/>
        </w:rPr>
      </w:pPr>
    </w:p>
    <w:p>
      <w:pPr>
        <w:ind w:left="220" w:right="20" w:firstLine="1745"/>
        <w:spacing w:after="0" w:line="275" w:lineRule="auto"/>
        <w:rPr>
          <w:sz w:val="20"/>
          <w:szCs w:val="20"/>
          <w:color w:val="auto"/>
        </w:rPr>
      </w:pPr>
      <w:r>
        <w:rPr>
          <w:rFonts w:ascii="Arial" w:cs="Arial" w:eastAsia="Arial" w:hAnsi="Arial"/>
          <w:sz w:val="17"/>
          <w:szCs w:val="17"/>
          <w:color w:val="auto"/>
        </w:rPr>
        <w:t>If you plan to participate in the Annual Meeting, visit www.virtualshareholdermeeting.com/EVR2020 and enter the 16-digit control number included either on your Notice, proxy card or the instructions that accompanied your proxy materials. You may begin to log into the meeting platform at 8:45 a.m., Eastern Time, on June 16, 2020. The Annual Meeting will begin promptly at 9:00 a.m., Eastern Time, on June 16, 2020. Participants should ensure they have a strong internet connection and suitable devices wherever they intend to participate in the Annual Meeting, and should give themselves time to log in and ensure they can hear and stream audio prior to the start of the Annual Meeting.</w:t>
      </w:r>
    </w:p>
    <w:p>
      <w:pPr>
        <w:spacing w:after="0" w:line="136" w:lineRule="exact"/>
        <w:rPr>
          <w:sz w:val="20"/>
          <w:szCs w:val="20"/>
          <w:color w:val="auto"/>
        </w:rPr>
      </w:pPr>
    </w:p>
    <w:p>
      <w:pPr>
        <w:ind w:left="220" w:right="1940" w:firstLine="1745"/>
        <w:spacing w:after="0" w:line="342" w:lineRule="auto"/>
        <w:rPr>
          <w:sz w:val="20"/>
          <w:szCs w:val="20"/>
          <w:color w:val="auto"/>
        </w:rPr>
      </w:pPr>
      <w:r>
        <w:rPr>
          <w:rFonts w:ascii="Arial" w:cs="Arial" w:eastAsia="Arial" w:hAnsi="Arial"/>
          <w:sz w:val="16"/>
          <w:szCs w:val="16"/>
          <w:color w:val="auto"/>
        </w:rPr>
        <w:t>If you wish to submit a question during the Annual Meeting, log into the virtual meeting platform at www.virtualshareholdermeeting.com/EVR2020, type your question into the ‘‘Ask a Question” field, and click “Submit.”</w:t>
      </w:r>
    </w:p>
    <w:p>
      <w:pPr>
        <w:spacing w:after="0" w:line="83" w:lineRule="exact"/>
        <w:rPr>
          <w:sz w:val="20"/>
          <w:szCs w:val="20"/>
          <w:color w:val="auto"/>
        </w:rPr>
      </w:pPr>
    </w:p>
    <w:p>
      <w:pPr>
        <w:ind w:left="220" w:firstLine="1745"/>
        <w:spacing w:after="0" w:line="254" w:lineRule="auto"/>
        <w:rPr>
          <w:sz w:val="20"/>
          <w:szCs w:val="20"/>
          <w:color w:val="auto"/>
        </w:rPr>
      </w:pPr>
      <w:r>
        <w:rPr>
          <w:rFonts w:ascii="Arial" w:cs="Arial" w:eastAsia="Arial" w:hAnsi="Arial"/>
          <w:sz w:val="18"/>
          <w:szCs w:val="18"/>
          <w:color w:val="auto"/>
        </w:rPr>
        <w:t>Questions pertinent to Annual Meeting matters will be answered during the Annual Meeting, subject to time constraints. Questions regarding personal matters, including those related to employment, product or service issues, are not pertinent to Annual Meeting matters and therefore will not be answered. Any questions pertinent to Annual Meeting matters that cannot be answered during the meeting due to time constraints will be posted online and answered at www.evercore.com. The questions and answers will be available as soon as practical after the Annual Meeting and will remain available until one week after posting. If you encounter any technical difficulties with the virtual meeting platform on the meeting day, we will have technicians ready to assist you with any technical difficulties you may have accessing the virtual meeting. If you encounter any difficulties accessing the virtual meeting during check-in, please call the technical support number that will be posted on the virtual meeting platform log-in page.</w:t>
      </w:r>
    </w:p>
    <w:p>
      <w:pPr>
        <w:spacing w:after="0" w:line="165" w:lineRule="exact"/>
        <w:rPr>
          <w:sz w:val="20"/>
          <w:szCs w:val="20"/>
          <w:color w:val="auto"/>
        </w:rPr>
      </w:pPr>
    </w:p>
    <w:p>
      <w:pPr>
        <w:ind w:left="220" w:right="140" w:firstLine="1745"/>
        <w:spacing w:after="0" w:line="259" w:lineRule="auto"/>
        <w:rPr>
          <w:sz w:val="20"/>
          <w:szCs w:val="20"/>
          <w:color w:val="auto"/>
        </w:rPr>
      </w:pPr>
      <w:r>
        <w:rPr>
          <w:rFonts w:ascii="Arial" w:cs="Arial" w:eastAsia="Arial" w:hAnsi="Arial"/>
          <w:sz w:val="18"/>
          <w:szCs w:val="18"/>
          <w:color w:val="auto"/>
        </w:rPr>
        <w:t>In fairness to all shareholders and participants at the meeting, and in the interest of an orderly and constructive meeting, rules of conduct will be enforced. Copies of these rules will be available at the meeting. Only shareholders or their valid proxy holders may address the meeting. Depending on the number of shareholders who wish to speak, we cannot ensure that every such shareholder will be able to do so or will be able to do so for as long as they might want to hold the floor.</w:t>
      </w:r>
    </w:p>
    <w:p>
      <w:pPr>
        <w:spacing w:after="0" w:line="146" w:lineRule="exact"/>
        <w:rPr>
          <w:sz w:val="20"/>
          <w:szCs w:val="20"/>
          <w:color w:val="auto"/>
        </w:rPr>
      </w:pPr>
    </w:p>
    <w:p>
      <w:pPr>
        <w:ind w:left="120" w:right="140" w:firstLine="1983"/>
        <w:spacing w:after="0" w:line="259" w:lineRule="auto"/>
        <w:rPr>
          <w:sz w:val="20"/>
          <w:szCs w:val="20"/>
          <w:color w:val="auto"/>
        </w:rPr>
      </w:pPr>
      <w:r>
        <w:rPr>
          <w:rFonts w:ascii="Arial" w:cs="Arial" w:eastAsia="Arial" w:hAnsi="Arial"/>
          <w:sz w:val="18"/>
          <w:szCs w:val="18"/>
          <w:color w:val="auto"/>
        </w:rPr>
        <w:t>Only proposals that meet the requirements of our Amended and Restated Bylaws will be eligible for consideration at the meeting. This year there are no shareholder proposals that meet the criteria. Therefore, no shareholder proposals will be considered during the Annual Meeting. Shareholders may submit proposals and other matters for consideration at the 2021 Annual Meeting as described in “</w:t>
      </w:r>
      <w:r>
        <w:rPr>
          <w:rFonts w:ascii="Arial" w:cs="Arial" w:eastAsia="Arial" w:hAnsi="Arial"/>
          <w:sz w:val="18"/>
          <w:szCs w:val="18"/>
          <w:b w:val="1"/>
          <w:bCs w:val="1"/>
          <w:color w:val="auto"/>
        </w:rPr>
        <w:t>Shareholder Proposals</w:t>
      </w:r>
      <w:r>
        <w:rPr>
          <w:rFonts w:ascii="Arial" w:cs="Arial" w:eastAsia="Arial" w:hAnsi="Arial"/>
          <w:sz w:val="18"/>
          <w:szCs w:val="18"/>
          <w:color w:val="auto"/>
        </w:rPr>
        <w:t xml:space="preserve"> </w:t>
      </w:r>
      <w:r>
        <w:rPr>
          <w:rFonts w:ascii="Arial" w:cs="Arial" w:eastAsia="Arial" w:hAnsi="Arial"/>
          <w:sz w:val="18"/>
          <w:szCs w:val="18"/>
          <w:b w:val="1"/>
          <w:bCs w:val="1"/>
          <w:color w:val="auto"/>
        </w:rPr>
        <w:t>and Nominations for 2021 Annual Meeting</w:t>
      </w:r>
      <w:r>
        <w:rPr>
          <w:rFonts w:ascii="Arial" w:cs="Arial" w:eastAsia="Arial" w:hAnsi="Arial"/>
          <w:sz w:val="18"/>
          <w:szCs w:val="18"/>
          <w:color w:val="auto"/>
        </w:rPr>
        <w:t>” on page 87.</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Is a list of shareholders available?</w:t>
      </w:r>
    </w:p>
    <w:p>
      <w:pPr>
        <w:spacing w:after="0" w:line="202" w:lineRule="exact"/>
        <w:rPr>
          <w:sz w:val="20"/>
          <w:szCs w:val="20"/>
          <w:color w:val="auto"/>
        </w:rPr>
      </w:pPr>
    </w:p>
    <w:p>
      <w:pPr>
        <w:jc w:val="both"/>
        <w:ind w:left="120" w:firstLine="1983"/>
        <w:spacing w:after="0" w:line="311" w:lineRule="auto"/>
        <w:rPr>
          <w:sz w:val="20"/>
          <w:szCs w:val="20"/>
          <w:color w:val="auto"/>
        </w:rPr>
      </w:pPr>
      <w:r>
        <w:rPr>
          <w:rFonts w:ascii="Arial" w:cs="Arial" w:eastAsia="Arial" w:hAnsi="Arial"/>
          <w:sz w:val="16"/>
          <w:szCs w:val="16"/>
          <w:color w:val="auto"/>
        </w:rPr>
        <w:t>The names of shareholders of record entitled to vote at the Annual Meeting will be available to shareholders at least 10 days prior to our Annual Meeting at our principal executive offices located at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10055 during normal business hours, and at the Annual Meeting. The list will also be available to shareholders at www.virtualshareholdermeeting.com/EVR2020 during the Annual Meeting.</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do I find out the voting results?</w:t>
      </w:r>
    </w:p>
    <w:p>
      <w:pPr>
        <w:spacing w:after="0" w:line="189" w:lineRule="exact"/>
        <w:rPr>
          <w:sz w:val="20"/>
          <w:szCs w:val="20"/>
          <w:color w:val="auto"/>
        </w:rPr>
      </w:pPr>
    </w:p>
    <w:p>
      <w:pPr>
        <w:ind w:left="220" w:right="280" w:firstLine="1745"/>
        <w:spacing w:after="0" w:line="277" w:lineRule="auto"/>
        <w:rPr>
          <w:sz w:val="20"/>
          <w:szCs w:val="20"/>
          <w:color w:val="auto"/>
        </w:rPr>
      </w:pPr>
      <w:r>
        <w:rPr>
          <w:rFonts w:ascii="Arial" w:cs="Arial" w:eastAsia="Arial" w:hAnsi="Arial"/>
          <w:sz w:val="18"/>
          <w:szCs w:val="18"/>
          <w:color w:val="auto"/>
        </w:rPr>
        <w:t>Preliminary voting results will be announced at the Annual Meeting, and final voting results will be published in a Current Report on Form 8-K within four business days following the Annual Meeting.</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When is our fiscal year?</w:t>
      </w:r>
    </w:p>
    <w:p>
      <w:pPr>
        <w:spacing w:after="0" w:line="189" w:lineRule="exact"/>
        <w:rPr>
          <w:sz w:val="20"/>
          <w:szCs w:val="20"/>
          <w:color w:val="auto"/>
        </w:rPr>
      </w:pPr>
    </w:p>
    <w:p>
      <w:pPr>
        <w:ind w:left="220" w:right="380" w:firstLine="1745"/>
        <w:spacing w:after="0" w:line="277" w:lineRule="auto"/>
        <w:rPr>
          <w:sz w:val="20"/>
          <w:szCs w:val="20"/>
          <w:color w:val="auto"/>
        </w:rPr>
      </w:pPr>
      <w:r>
        <w:rPr>
          <w:rFonts w:ascii="Arial" w:cs="Arial" w:eastAsia="Arial" w:hAnsi="Arial"/>
          <w:sz w:val="18"/>
          <w:szCs w:val="18"/>
          <w:color w:val="auto"/>
        </w:rPr>
        <w:t>Our fiscal year ends on December 31 of each year. Our 2019 fiscal year was from January 1, 2019 through December 31, 2019. Our 2020 fiscal year will be from January 1, 2020 through December 31, 2020.</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Will I receive a copy of the Annual Report?</w:t>
      </w:r>
    </w:p>
    <w:p>
      <w:pPr>
        <w:spacing w:after="0" w:line="202" w:lineRule="exact"/>
        <w:rPr>
          <w:sz w:val="20"/>
          <w:szCs w:val="20"/>
          <w:color w:val="auto"/>
        </w:rPr>
      </w:pPr>
    </w:p>
    <w:p>
      <w:pPr>
        <w:ind w:left="220" w:right="300" w:firstLine="1745"/>
        <w:spacing w:after="0" w:line="259" w:lineRule="auto"/>
        <w:rPr>
          <w:sz w:val="20"/>
          <w:szCs w:val="20"/>
          <w:color w:val="auto"/>
        </w:rPr>
      </w:pPr>
      <w:r>
        <w:rPr>
          <w:rFonts w:ascii="Arial" w:cs="Arial" w:eastAsia="Arial" w:hAnsi="Arial"/>
          <w:sz w:val="18"/>
          <w:szCs w:val="18"/>
          <w:color w:val="auto"/>
        </w:rPr>
        <w:t>If you did not receive a Notice, you will receive our 2019 Annual Report with the Proxy Statement. If you did receive a Notice, you will not receive a printed copy of the 2019 Annual Report or other proxy materials, unless you have requested a copy by following the instructions contained in the Notice. The Annual Report includes our audited financial statements, along with other financial information about us, which we urge you to read carefully.</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Where can I find more financial information about Evercore?</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You can obtain, free of charge, a copy of our filings with the SEC by:</w:t>
      </w:r>
    </w:p>
    <w:p>
      <w:pPr>
        <w:spacing w:after="0" w:line="225"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color w:val="0A26FF"/>
        </w:rPr>
      </w:pPr>
      <w:r>
        <w:rPr>
          <w:rFonts w:ascii="Arial" w:cs="Arial" w:eastAsia="Arial" w:hAnsi="Arial"/>
          <w:sz w:val="18"/>
          <w:szCs w:val="18"/>
          <w:color w:val="auto"/>
        </w:rPr>
        <w:t xml:space="preserve">accessing our Internet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and clicking on the “For Investors” link;</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25"/>
        </w:numPr>
        <w:rPr>
          <w:rFonts w:ascii="Arial" w:cs="Arial" w:eastAsia="Arial" w:hAnsi="Arial"/>
          <w:sz w:val="18"/>
          <w:szCs w:val="18"/>
          <w:color w:val="0A26FF"/>
        </w:rPr>
      </w:pPr>
      <w:r>
        <w:rPr>
          <w:rFonts w:ascii="Arial" w:cs="Arial" w:eastAsia="Arial" w:hAnsi="Arial"/>
          <w:sz w:val="18"/>
          <w:szCs w:val="18"/>
          <w:color w:val="auto"/>
        </w:rPr>
        <w:t>writing to Investor Relations at Evercore,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 or</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25"/>
        </w:numPr>
        <w:rPr>
          <w:rFonts w:ascii="Arial" w:cs="Arial" w:eastAsia="Arial" w:hAnsi="Arial"/>
          <w:sz w:val="18"/>
          <w:szCs w:val="18"/>
          <w:color w:val="0A26FF"/>
        </w:rPr>
      </w:pPr>
      <w:r>
        <w:rPr>
          <w:rFonts w:ascii="Arial" w:cs="Arial" w:eastAsia="Arial" w:hAnsi="Arial"/>
          <w:sz w:val="18"/>
          <w:szCs w:val="18"/>
          <w:color w:val="auto"/>
        </w:rPr>
        <w:t>telephoning us at (212) 857-3100.</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You can also obtain a copy of our SEC filings from the SEC’s EDGAR database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can I contact our Corporate Secretary?</w:t>
      </w:r>
    </w:p>
    <w:p>
      <w:pPr>
        <w:spacing w:after="0" w:line="189" w:lineRule="exact"/>
        <w:rPr>
          <w:sz w:val="20"/>
          <w:szCs w:val="20"/>
          <w:color w:val="auto"/>
        </w:rPr>
      </w:pPr>
    </w:p>
    <w:p>
      <w:pPr>
        <w:ind w:left="220" w:right="20" w:firstLine="1745"/>
        <w:spacing w:after="0" w:line="263" w:lineRule="auto"/>
        <w:rPr>
          <w:sz w:val="20"/>
          <w:szCs w:val="20"/>
          <w:color w:val="auto"/>
        </w:rPr>
      </w:pPr>
      <w:r>
        <w:rPr>
          <w:rFonts w:ascii="Arial" w:cs="Arial" w:eastAsia="Arial" w:hAnsi="Arial"/>
          <w:sz w:val="18"/>
          <w:szCs w:val="18"/>
          <w:color w:val="auto"/>
        </w:rPr>
        <w:t>In several sections of this Proxy Statement, we suggest that you should contact our Corporate Secretary to follow up on various items. You can reach our Corporate Secretary by writing to the Corporate Secretary Department at our principal offices located at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16FF"/>
        </w:rPr>
        <w:t>PROPOSAL 1—ELECTION OF DIRECTORS</w:t>
      </w:r>
    </w:p>
    <w:p>
      <w:pPr>
        <w:spacing w:after="0" w:line="192" w:lineRule="exact"/>
        <w:rPr>
          <w:sz w:val="20"/>
          <w:szCs w:val="20"/>
          <w:color w:val="auto"/>
        </w:rPr>
      </w:pPr>
    </w:p>
    <w:p>
      <w:pPr>
        <w:ind w:left="220" w:right="60" w:firstLine="1745"/>
        <w:spacing w:after="0" w:line="259" w:lineRule="auto"/>
        <w:rPr>
          <w:sz w:val="20"/>
          <w:szCs w:val="20"/>
          <w:color w:val="auto"/>
        </w:rPr>
      </w:pPr>
      <w:r>
        <w:rPr>
          <w:rFonts w:ascii="Arial" w:cs="Arial" w:eastAsia="Arial" w:hAnsi="Arial"/>
          <w:sz w:val="18"/>
          <w:szCs w:val="18"/>
          <w:color w:val="auto"/>
        </w:rPr>
        <w:t>Our Amended and Restated Certificate of Incorporation provides that our Board will consist of that number of directors determined from time to time by our Board. Acting upon the recommendation of its Nominating and Corporate Governance Committee, our Board has nominated 13 persons identified herein for election as directors, all of whom are directors currently, to hold office until the 2021 Annual Meeting or until the election and qualification of their successors.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72" w:lineRule="exact"/>
        <w:rPr>
          <w:sz w:val="20"/>
          <w:szCs w:val="20"/>
          <w:color w:val="auto"/>
        </w:rPr>
      </w:pPr>
    </w:p>
    <w:p>
      <w:pPr>
        <w:ind w:left="220" w:right="40" w:firstLine="1745"/>
        <w:spacing w:after="0" w:line="277" w:lineRule="auto"/>
        <w:rPr>
          <w:sz w:val="20"/>
          <w:szCs w:val="20"/>
          <w:color w:val="auto"/>
        </w:rPr>
      </w:pPr>
      <w:r>
        <w:rPr>
          <w:rFonts w:ascii="Arial" w:cs="Arial" w:eastAsia="Arial" w:hAnsi="Arial"/>
          <w:sz w:val="18"/>
          <w:szCs w:val="18"/>
          <w:color w:val="auto"/>
        </w:rPr>
        <w:t>Set forth below are the names of the nominees for election as our directors; their ages and principal occupations as of April 22, 2020; and their biographical information.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660" w:type="dxa"/>
            <w:vAlign w:val="bottom"/>
            <w:gridSpan w:val="2"/>
            <w:shd w:val="clear" w:color="auto" w:fill="E0FCF9"/>
          </w:tcPr>
          <w:p>
            <w:pPr>
              <w:ind w:left="1040"/>
              <w:spacing w:after="0"/>
              <w:rPr>
                <w:sz w:val="20"/>
                <w:szCs w:val="20"/>
                <w:color w:val="auto"/>
              </w:rPr>
            </w:pPr>
            <w:r>
              <w:rPr>
                <w:rFonts w:ascii="Arial" w:cs="Arial" w:eastAsia="Arial" w:hAnsi="Arial"/>
                <w:sz w:val="18"/>
                <w:szCs w:val="18"/>
                <w:b w:val="1"/>
                <w:bCs w:val="1"/>
                <w:color w:val="0016FF"/>
              </w:rPr>
              <w:t>Name</w:t>
            </w:r>
          </w:p>
        </w:tc>
        <w:tc>
          <w:tcPr>
            <w:tcW w:w="800" w:type="dxa"/>
            <w:vAlign w:val="bottom"/>
            <w:gridSpan w:val="2"/>
            <w:shd w:val="clear" w:color="auto" w:fill="E0FCF9"/>
          </w:tcPr>
          <w:p>
            <w:pPr>
              <w:jc w:val="right"/>
              <w:ind w:right="500"/>
              <w:spacing w:after="0"/>
              <w:rPr>
                <w:sz w:val="20"/>
                <w:szCs w:val="20"/>
                <w:color w:val="auto"/>
              </w:rPr>
            </w:pPr>
            <w:r>
              <w:rPr>
                <w:rFonts w:ascii="Arial" w:cs="Arial" w:eastAsia="Arial" w:hAnsi="Arial"/>
                <w:sz w:val="18"/>
                <w:szCs w:val="18"/>
                <w:b w:val="1"/>
                <w:bCs w:val="1"/>
                <w:color w:val="0016FF"/>
                <w:w w:val="82"/>
              </w:rPr>
              <w:t>Age</w:t>
            </w:r>
          </w:p>
        </w:tc>
        <w:tc>
          <w:tcPr>
            <w:tcW w:w="6240" w:type="dxa"/>
            <w:vAlign w:val="bottom"/>
            <w:gridSpan w:val="2"/>
            <w:shd w:val="clear" w:color="auto" w:fill="E0FCF9"/>
          </w:tcPr>
          <w:p>
            <w:pPr>
              <w:ind w:left="2760"/>
              <w:spacing w:after="0"/>
              <w:rPr>
                <w:sz w:val="20"/>
                <w:szCs w:val="20"/>
                <w:color w:val="auto"/>
              </w:rPr>
            </w:pPr>
            <w:r>
              <w:rPr>
                <w:rFonts w:ascii="Arial" w:cs="Arial" w:eastAsia="Arial" w:hAnsi="Arial"/>
                <w:sz w:val="18"/>
                <w:szCs w:val="18"/>
                <w:b w:val="1"/>
                <w:bCs w:val="1"/>
                <w:color w:val="0016FF"/>
              </w:rPr>
              <w:t>Position</w:t>
            </w:r>
          </w:p>
        </w:tc>
        <w:tc>
          <w:tcPr>
            <w:tcW w:w="1320" w:type="dxa"/>
            <w:vAlign w:val="bottom"/>
            <w:gridSpan w:val="2"/>
            <w:shd w:val="clear" w:color="auto" w:fill="E0FCF9"/>
          </w:tcPr>
          <w:p>
            <w:pPr>
              <w:spacing w:after="0"/>
              <w:rPr>
                <w:sz w:val="20"/>
                <w:szCs w:val="20"/>
                <w:color w:val="auto"/>
              </w:rPr>
            </w:pPr>
            <w:r>
              <w:rPr>
                <w:rFonts w:ascii="Arial" w:cs="Arial" w:eastAsia="Arial" w:hAnsi="Arial"/>
                <w:sz w:val="18"/>
                <w:szCs w:val="18"/>
                <w:b w:val="1"/>
                <w:bCs w:val="1"/>
                <w:color w:val="0016FF"/>
              </w:rPr>
              <w:t>Director Since</w:t>
            </w:r>
          </w:p>
        </w:tc>
      </w:tr>
      <w:tr>
        <w:trPr>
          <w:trHeight w:val="195"/>
        </w:trPr>
        <w:tc>
          <w:tcPr>
            <w:tcW w:w="25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Roger C. Altman</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w:t>
            </w:r>
          </w:p>
        </w:tc>
        <w:tc>
          <w:tcPr>
            <w:tcW w:w="500" w:type="dxa"/>
            <w:vAlign w:val="bottom"/>
          </w:tcPr>
          <w:p>
            <w:pPr>
              <w:spacing w:after="0"/>
              <w:rPr>
                <w:sz w:val="16"/>
                <w:szCs w:val="16"/>
                <w:color w:val="auto"/>
              </w:rPr>
            </w:pPr>
          </w:p>
        </w:tc>
        <w:tc>
          <w:tcPr>
            <w:tcW w:w="6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Senior Chairman and Director</w:t>
            </w:r>
          </w:p>
        </w:tc>
        <w:tc>
          <w:tcPr>
            <w:tcW w:w="100" w:type="dxa"/>
            <w:vAlign w:val="bottom"/>
          </w:tcPr>
          <w:p>
            <w:pPr>
              <w:spacing w:after="0"/>
              <w:rPr>
                <w:sz w:val="16"/>
                <w:szCs w:val="16"/>
                <w:color w:val="auto"/>
              </w:rPr>
            </w:pPr>
          </w:p>
        </w:tc>
        <w:tc>
          <w:tcPr>
            <w:tcW w:w="110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w w:val="84"/>
              </w:rPr>
              <w:t>2006</w:t>
            </w:r>
          </w:p>
        </w:tc>
        <w:tc>
          <w:tcPr>
            <w:tcW w:w="220" w:type="dxa"/>
            <w:vAlign w:val="bottom"/>
          </w:tcPr>
          <w:p>
            <w:pPr>
              <w:spacing w:after="0"/>
              <w:rPr>
                <w:sz w:val="16"/>
                <w:szCs w:val="16"/>
                <w:color w:val="auto"/>
              </w:rPr>
            </w:pP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Richard I. Beattie</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81</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2010</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Pamela G. Carlton</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2019</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Ellen V. Futter</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2018</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Gail B. Harris</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67</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2006</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Robert B. Millard</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2012</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Willard J. Overlock, Jr.</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2014</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Sir Simon M. Robertson</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79</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2017</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Ralph L. Schlosstein</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6240" w:type="dxa"/>
            <w:vAlign w:val="bottom"/>
            <w:gridSpan w:val="2"/>
          </w:tcPr>
          <w:p>
            <w:pPr>
              <w:spacing w:after="0"/>
              <w:rPr>
                <w:sz w:val="20"/>
                <w:szCs w:val="20"/>
                <w:color w:val="auto"/>
              </w:rPr>
            </w:pPr>
            <w:r>
              <w:rPr>
                <w:rFonts w:ascii="Arial" w:cs="Arial" w:eastAsia="Arial" w:hAnsi="Arial"/>
                <w:sz w:val="18"/>
                <w:szCs w:val="18"/>
                <w:color w:val="auto"/>
              </w:rPr>
              <w:t>CEO, President and 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2009</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John S. Weinberg</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6240" w:type="dxa"/>
            <w:vAlign w:val="bottom"/>
            <w:gridSpan w:val="2"/>
          </w:tcPr>
          <w:p>
            <w:pPr>
              <w:spacing w:after="0"/>
              <w:rPr>
                <w:sz w:val="20"/>
                <w:szCs w:val="20"/>
                <w:color w:val="auto"/>
              </w:rPr>
            </w:pPr>
            <w:r>
              <w:rPr>
                <w:rFonts w:ascii="Arial" w:cs="Arial" w:eastAsia="Arial" w:hAnsi="Arial"/>
                <w:sz w:val="18"/>
                <w:szCs w:val="18"/>
                <w:color w:val="auto"/>
              </w:rPr>
              <w:t>Executive Chairman, Chairman of the Board and 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2016</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William J. Wheeler</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58</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2015</w:t>
            </w:r>
          </w:p>
        </w:tc>
      </w:tr>
      <w:tr>
        <w:trPr>
          <w:trHeight w:val="216"/>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Sarah K. Williamson</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56</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2018</w:t>
            </w:r>
          </w:p>
        </w:tc>
      </w:tr>
      <w:tr>
        <w:trPr>
          <w:trHeight w:val="230"/>
        </w:trPr>
        <w:tc>
          <w:tcPr>
            <w:tcW w:w="2660" w:type="dxa"/>
            <w:vAlign w:val="bottom"/>
            <w:gridSpan w:val="2"/>
          </w:tcPr>
          <w:p>
            <w:pPr>
              <w:ind w:left="80"/>
              <w:spacing w:after="0"/>
              <w:rPr>
                <w:sz w:val="20"/>
                <w:szCs w:val="20"/>
                <w:color w:val="auto"/>
              </w:rPr>
            </w:pPr>
            <w:r>
              <w:rPr>
                <w:rFonts w:ascii="Arial" w:cs="Arial" w:eastAsia="Arial" w:hAnsi="Arial"/>
                <w:sz w:val="18"/>
                <w:szCs w:val="18"/>
                <w:color w:val="auto"/>
              </w:rPr>
              <w:t>Kendrick R. Wilson III</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73</w:t>
            </w:r>
          </w:p>
        </w:tc>
        <w:tc>
          <w:tcPr>
            <w:tcW w:w="62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2018</w:t>
            </w:r>
          </w:p>
        </w:tc>
      </w:tr>
    </w:tbl>
    <w:p>
      <w:pPr>
        <w:spacing w:after="0" w:line="157" w:lineRule="exact"/>
        <w:rPr>
          <w:sz w:val="20"/>
          <w:szCs w:val="20"/>
          <w:color w:val="auto"/>
        </w:rPr>
      </w:pPr>
    </w:p>
    <w:p>
      <w:pPr>
        <w:ind w:left="220" w:right="20" w:firstLine="1745"/>
        <w:spacing w:after="0" w:line="254" w:lineRule="auto"/>
        <w:rPr>
          <w:sz w:val="20"/>
          <w:szCs w:val="20"/>
          <w:color w:val="auto"/>
        </w:rPr>
      </w:pPr>
      <w:r>
        <w:rPr>
          <w:rFonts w:ascii="Arial" w:cs="Arial" w:eastAsia="Arial" w:hAnsi="Arial"/>
          <w:sz w:val="18"/>
          <w:szCs w:val="18"/>
          <w:b w:val="1"/>
          <w:bCs w:val="1"/>
          <w:color w:val="auto"/>
        </w:rPr>
        <w:t>Roger C. Altman</w:t>
      </w:r>
      <w:r>
        <w:rPr>
          <w:rFonts w:ascii="Arial" w:cs="Arial" w:eastAsia="Arial" w:hAnsi="Arial"/>
          <w:sz w:val="18"/>
          <w:szCs w:val="18"/>
          <w:color w:val="auto"/>
        </w:rPr>
        <w:t>, Founder, Senior Chairman and Director, formed Evercore in 1995, served as our CEO until May 2009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an executive officer of Evercore. From May 2009 to November 2016, Mr. Altman served as our Executive Chairman. Mr. Altman began his investment banking career at Lehman Brothers and became a general partner of that firm in 1974. Beginning in 1977, he served as Assistant Secretary of the U.S. Treasury for four years. He then returned to Lehman Brothers, later becoming co-head of overall investment banking, a member of the firm’s management committee and its board. He remained in those positions until the firm was sold. In 1987, Mr. Altman joined The Blackstone Group as vice chairman, head of its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w:t>
      </w:r>
    </w:p>
    <w:p>
      <w:pPr>
        <w:spacing w:after="0" w:line="169" w:lineRule="exact"/>
        <w:rPr>
          <w:sz w:val="20"/>
          <w:szCs w:val="20"/>
          <w:color w:val="auto"/>
        </w:rPr>
      </w:pPr>
    </w:p>
    <w:p>
      <w:pPr>
        <w:ind w:left="220" w:right="100" w:firstLine="1745"/>
        <w:spacing w:after="0" w:line="263" w:lineRule="auto"/>
        <w:rPr>
          <w:sz w:val="20"/>
          <w:szCs w:val="20"/>
          <w:color w:val="auto"/>
        </w:rPr>
      </w:pPr>
      <w:r>
        <w:rPr>
          <w:rFonts w:ascii="Arial" w:cs="Arial" w:eastAsia="Arial" w:hAnsi="Arial"/>
          <w:sz w:val="18"/>
          <w:szCs w:val="18"/>
          <w:color w:val="auto"/>
        </w:rPr>
        <w:t>Mr. Altman is a trustee of MIT and is a Trustee of New York Presbyterian Hospital, serving on its Finance Committee. He is a Director of New Visions for Public Schools and is a member of the Council on Foreign Relations. He received an A.B. from Georgetown University and an M.B.A. from the University of Chicago.</w:t>
      </w:r>
    </w:p>
    <w:p>
      <w:pPr>
        <w:spacing w:after="0" w:line="139" w:lineRule="exact"/>
        <w:rPr>
          <w:sz w:val="20"/>
          <w:szCs w:val="20"/>
          <w:color w:val="auto"/>
        </w:rPr>
      </w:pPr>
    </w:p>
    <w:p>
      <w:pPr>
        <w:ind w:left="220" w:right="140" w:firstLine="1745"/>
        <w:spacing w:after="0" w:line="273" w:lineRule="auto"/>
        <w:rPr>
          <w:sz w:val="20"/>
          <w:szCs w:val="20"/>
          <w:color w:val="auto"/>
        </w:rPr>
      </w:pPr>
      <w:r>
        <w:rPr>
          <w:rFonts w:ascii="Arial" w:cs="Arial" w:eastAsia="Arial" w:hAnsi="Arial"/>
          <w:sz w:val="17"/>
          <w:szCs w:val="17"/>
          <w:b w:val="1"/>
          <w:bCs w:val="1"/>
          <w:color w:val="auto"/>
        </w:rPr>
        <w:t xml:space="preserve">Richard I. Beattie </w:t>
      </w:r>
      <w:r>
        <w:rPr>
          <w:rFonts w:ascii="Arial" w:cs="Arial" w:eastAsia="Arial" w:hAnsi="Arial"/>
          <w:sz w:val="17"/>
          <w:szCs w:val="17"/>
          <w:color w:val="auto"/>
        </w:rPr>
        <w:t>is Senior Chairman of Simpson Thacher &amp; Barlett LLP, a position he has held since 2004. Mr. Beattie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a partner of Simpson Thacher since 1977 and had served as Chairman of the Executive Committee of that firm from 1991 to 2004. Mr. Beattie specializes in counseling boards of directors and non-management directors on governance issues, investigations and litigation involving corporate officers and other crisis situations. He also specializes in mergers and acquisitions and leveraged buyouts. Mr. Beattie also has a distinguished record of public service, including serving as General Counsel of the Department of Health, Education and Welfare during President Carter’s administration and as a Senior Advisor to the Secretary of State for Reorganization Issues in 1997 during President Clinton’s administration. From 1995 to 1997, Mr. Beattie served as President Clinton’s Emissary for Cyprus.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80" w:firstLine="1745"/>
        <w:spacing w:after="0" w:line="301" w:lineRule="auto"/>
        <w:rPr>
          <w:sz w:val="20"/>
          <w:szCs w:val="20"/>
          <w:color w:val="auto"/>
        </w:rPr>
      </w:pPr>
      <w:r>
        <w:rPr>
          <w:rFonts w:ascii="Arial" w:cs="Arial" w:eastAsia="Arial" w:hAnsi="Arial"/>
          <w:sz w:val="16"/>
          <w:szCs w:val="16"/>
          <w:color w:val="auto"/>
        </w:rPr>
        <w:t>Mr. Beattie is a member of the Council on Foreign Relations, the Board of Overseers and Managers of Memorial Sloan-Kettering Cancer Center and the Board of Managers of Memorial Hospital for Cancer and Allied Diseases. Mr. Beattie is also a member of the board and founder of New Visions for Public Schools. Mr. Beattie joined Simpson Thacher in 1968 after graduating from the University of Pennsylvania Law School. Prior to law school, he served four years in the Marine Corps as a jet pilot after graduating from Dartmouth College in 1961.</w:t>
      </w:r>
    </w:p>
    <w:p>
      <w:pPr>
        <w:spacing w:after="0" w:line="126" w:lineRule="exact"/>
        <w:rPr>
          <w:sz w:val="20"/>
          <w:szCs w:val="20"/>
          <w:color w:val="auto"/>
        </w:rPr>
      </w:pPr>
    </w:p>
    <w:p>
      <w:pPr>
        <w:ind w:left="220" w:right="60" w:firstLine="1745"/>
        <w:spacing w:after="0" w:line="273" w:lineRule="auto"/>
        <w:rPr>
          <w:sz w:val="20"/>
          <w:szCs w:val="20"/>
          <w:color w:val="auto"/>
        </w:rPr>
      </w:pPr>
      <w:r>
        <w:rPr>
          <w:rFonts w:ascii="Arial" w:cs="Arial" w:eastAsia="Arial" w:hAnsi="Arial"/>
          <w:sz w:val="17"/>
          <w:szCs w:val="17"/>
          <w:b w:val="1"/>
          <w:bCs w:val="1"/>
          <w:color w:val="auto"/>
        </w:rPr>
        <w:t xml:space="preserve">Pamela G. Carlton </w:t>
      </w:r>
      <w:r>
        <w:rPr>
          <w:rFonts w:ascii="Arial" w:cs="Arial" w:eastAsia="Arial" w:hAnsi="Arial"/>
          <w:sz w:val="17"/>
          <w:szCs w:val="17"/>
          <w:color w:val="auto"/>
        </w:rPr>
        <w:t>was appointed to our Board on October 22, 2019. After 22 years as an investment banker on Wall Street,</w:t>
      </w:r>
      <w:r>
        <w:rPr>
          <w:rFonts w:ascii="Arial" w:cs="Arial" w:eastAsia="Arial" w:hAnsi="Arial"/>
          <w:sz w:val="17"/>
          <w:szCs w:val="17"/>
          <w:b w:val="1"/>
          <w:bCs w:val="1"/>
          <w:color w:val="auto"/>
        </w:rPr>
        <w:t xml:space="preserve"> </w:t>
      </w:r>
      <w:r>
        <w:rPr>
          <w:rFonts w:ascii="Arial" w:cs="Arial" w:eastAsia="Arial" w:hAnsi="Arial"/>
          <w:sz w:val="17"/>
          <w:szCs w:val="17"/>
          <w:color w:val="auto"/>
        </w:rPr>
        <w:t>Ms. Carlton launched Springboard – Partners in Cross Cultural Leadership, LLC, where she has been its President since 2003. In addition, in 2014 Ms. Carlton co-founded The Everest Project research initiative focused on women leading change and innovation in corporate America. Ms. Carlton retired as a Managing Director and Associate Director of U.S. Equity Research at JPMorgan Chase in May 2003, having also served as Director of U.S. Equity Research for Chase Asset Management from 1996 to 1999. Prior to JPMorgan Chase, Ms. Carlton was an investment banker with Morgan Stanley for 14 years in corporate finance and capital markets. While at Morgan Stanley, she was also Co-Director of U.S. and Latin America Equity Research. Ms. Carlton began her career as a corporate attorney at Cleary Gottlieb Steen &amp; Hamilton.</w:t>
      </w:r>
    </w:p>
    <w:p>
      <w:pPr>
        <w:spacing w:after="0" w:line="135" w:lineRule="exact"/>
        <w:rPr>
          <w:sz w:val="20"/>
          <w:szCs w:val="20"/>
          <w:color w:val="auto"/>
        </w:rPr>
      </w:pPr>
    </w:p>
    <w:p>
      <w:pPr>
        <w:ind w:left="220" w:right="100" w:firstLine="1745"/>
        <w:spacing w:after="0" w:line="254" w:lineRule="auto"/>
        <w:rPr>
          <w:sz w:val="20"/>
          <w:szCs w:val="20"/>
          <w:color w:val="auto"/>
        </w:rPr>
      </w:pPr>
      <w:r>
        <w:rPr>
          <w:rFonts w:ascii="Arial" w:cs="Arial" w:eastAsia="Arial" w:hAnsi="Arial"/>
          <w:sz w:val="18"/>
          <w:szCs w:val="18"/>
          <w:color w:val="auto"/>
        </w:rPr>
        <w:t>Ms. Carlton also serves on the following Boards: Columbia Threadneedle Mutual Funds Board of Ameriprise, where she is a member of the Executive Committee and chairs the Governance Committee; DR Bank (formerly Darien Rowayton Bank), where she is a member of the Audit Committee; and New York Presbyterian Hospital where she is a member of the Executive Committee, Strategy Committee, Compensation Committee and chairs the People Committee. In 2016, Ms. Carlton was named Trustee of the Year by New York Presbyterian Hospital and honored at the United Hospital Fund. Ms. Carlton is a member of the Women’s Forum of New York. She has served on the Board of Visitors of Yale School of Management, the Board of Visitors of Yale Law School, and the Board of Trustees of Williams College. Ms. Carlton earned a B.A. from Williams College and was elected President of the Phi Beta Kappa Society. She earned a J.D. from Yale Law School and an M.B.A. from Yale School of Management.</w:t>
      </w:r>
    </w:p>
    <w:p>
      <w:pPr>
        <w:spacing w:after="0" w:line="147" w:lineRule="exact"/>
        <w:rPr>
          <w:sz w:val="20"/>
          <w:szCs w:val="20"/>
          <w:color w:val="auto"/>
        </w:rPr>
      </w:pPr>
    </w:p>
    <w:p>
      <w:pPr>
        <w:ind w:left="220" w:firstLine="1745"/>
        <w:spacing w:after="0" w:line="273" w:lineRule="auto"/>
        <w:rPr>
          <w:sz w:val="20"/>
          <w:szCs w:val="20"/>
          <w:color w:val="auto"/>
        </w:rPr>
      </w:pPr>
      <w:r>
        <w:rPr>
          <w:rFonts w:ascii="Arial" w:cs="Arial" w:eastAsia="Arial" w:hAnsi="Arial"/>
          <w:sz w:val="17"/>
          <w:szCs w:val="17"/>
          <w:b w:val="1"/>
          <w:bCs w:val="1"/>
          <w:color w:val="auto"/>
        </w:rPr>
        <w:t xml:space="preserve">Ellen V. Futter </w:t>
      </w:r>
      <w:r>
        <w:rPr>
          <w:rFonts w:ascii="Arial" w:cs="Arial" w:eastAsia="Arial" w:hAnsi="Arial"/>
          <w:sz w:val="17"/>
          <w:szCs w:val="17"/>
          <w:color w:val="auto"/>
        </w:rPr>
        <w:t>has served as the President of the American Museum of Natural History since November 1993.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Ms. Futter served as the President of Barnard College and prior to that, was a corporate attorney at the law firm of Milbank, Tweed, Hadley &amp; McCloy. She also previously served as the Chairman of the Federal Reserve Bank of New York. Ms. Futter is a trustee of Consolidated Edison Company of New York, Inc. and also a director of Consolidated Edison, Inc., and serves as the co-chair of the board’s Safety Environment, Operations and Sustainability Committee and a member of the board’s Executive Committee. Ms. Futter is also a Trustee of the Brookings Institution, a Manager at the Memorial Sloan-Kettering Cancer Center and a Director of NYC &amp; Company. Ms. Futter graduated Phi Beta Kappa, magna cum laude, from Barnard College and earned her J.D. from Columbia Law School.</w:t>
      </w:r>
    </w:p>
    <w:p>
      <w:pPr>
        <w:spacing w:after="0" w:line="145" w:lineRule="exact"/>
        <w:rPr>
          <w:sz w:val="20"/>
          <w:szCs w:val="20"/>
          <w:color w:val="auto"/>
        </w:rPr>
      </w:pPr>
    </w:p>
    <w:p>
      <w:pPr>
        <w:ind w:left="220" w:firstLine="1745"/>
        <w:spacing w:after="0" w:line="254" w:lineRule="auto"/>
        <w:rPr>
          <w:sz w:val="20"/>
          <w:szCs w:val="20"/>
          <w:color w:val="auto"/>
        </w:rPr>
      </w:pPr>
      <w:r>
        <w:rPr>
          <w:rFonts w:ascii="Arial" w:cs="Arial" w:eastAsia="Arial" w:hAnsi="Arial"/>
          <w:sz w:val="18"/>
          <w:szCs w:val="18"/>
          <w:b w:val="1"/>
          <w:bCs w:val="1"/>
          <w:color w:val="auto"/>
        </w:rPr>
        <w:t xml:space="preserve">Gail B. Harris </w:t>
      </w:r>
      <w:r>
        <w:rPr>
          <w:rFonts w:ascii="Arial" w:cs="Arial" w:eastAsia="Arial" w:hAnsi="Arial"/>
          <w:sz w:val="18"/>
          <w:szCs w:val="18"/>
          <w:color w:val="auto"/>
        </w:rPr>
        <w:t>is our Board’s Lead Director. Ms. Harris is also on the Board of Directors of Seacor Holdings Inc., and CIGNA</w:t>
      </w:r>
      <w:r>
        <w:rPr>
          <w:rFonts w:ascii="Arial" w:cs="Arial" w:eastAsia="Arial" w:hAnsi="Arial"/>
          <w:sz w:val="18"/>
          <w:szCs w:val="18"/>
          <w:b w:val="1"/>
          <w:bCs w:val="1"/>
          <w:color w:val="auto"/>
        </w:rPr>
        <w:t xml:space="preserve"> </w:t>
      </w:r>
      <w:r>
        <w:rPr>
          <w:rFonts w:ascii="Arial" w:cs="Arial" w:eastAsia="Arial" w:hAnsi="Arial"/>
          <w:sz w:val="18"/>
          <w:szCs w:val="18"/>
          <w:color w:val="auto"/>
        </w:rPr>
        <w:t>Life Insurance Company of New York, where she is the Lead Director and Chair of the Outside Directors and Audit Committee. She also serves on the boards of several private companies. Ms. Harris serves on the Dean’s Advisory Council of Stanford Law School and on the Advisory Council of the Freeman Spogli Institute for International Studies at Stanford University. She is also a member of the Council on Foreign Relations. Ms. Harris was a member of the Stanford University Board of Trustees until March 2018, where she chaired the Special Committee on Investment Responsibility, and was a member of the Finance and Audit Committees. She is President Emeritus and a current member of the Board of Directors of New York Cares, a leading non-profit organization which creates and manages volunteer programs in New York City for over 1,200 city agencies, non-profits and public schools.</w:t>
      </w:r>
    </w:p>
    <w:p>
      <w:pPr>
        <w:spacing w:after="0" w:line="155" w:lineRule="exact"/>
        <w:rPr>
          <w:sz w:val="20"/>
          <w:szCs w:val="20"/>
          <w:color w:val="auto"/>
        </w:rPr>
      </w:pPr>
    </w:p>
    <w:p>
      <w:pPr>
        <w:ind w:left="220" w:right="200" w:firstLine="1745"/>
        <w:spacing w:after="0" w:line="311" w:lineRule="auto"/>
        <w:rPr>
          <w:sz w:val="20"/>
          <w:szCs w:val="20"/>
          <w:color w:val="auto"/>
        </w:rPr>
      </w:pPr>
      <w:r>
        <w:rPr>
          <w:rFonts w:ascii="Arial" w:cs="Arial" w:eastAsia="Arial" w:hAnsi="Arial"/>
          <w:sz w:val="16"/>
          <w:szCs w:val="16"/>
          <w:color w:val="auto"/>
        </w:rPr>
        <w:t>Ms. Harris was a corporate Partner at Simpson Thacher &amp; Bartlett LLP, a leading international law firm, from 1984 to 1998. She was Of Counsel to Simpson Thacher through June 2011. During her time at Simpson Thacher, Ms. Harris represented numerous companies in industries ranging from media to finance. She served as a member of the New Partners Committee, co-chair of the Personnel Committee and 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various times, a member of the Recruiting and Pro Bono Committees. Ms. Harris received a B.A. with distinction from Stanford University and a J.D.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from Stanford Law School.</w:t>
      </w:r>
    </w:p>
    <w:p>
      <w:pPr>
        <w:spacing w:after="0" w:line="180" w:lineRule="exact"/>
        <w:rPr>
          <w:sz w:val="20"/>
          <w:szCs w:val="20"/>
          <w:color w:val="auto"/>
        </w:rPr>
      </w:pPr>
    </w:p>
    <w:p>
      <w:pPr>
        <w:ind w:left="220" w:right="20" w:firstLine="1745"/>
        <w:spacing w:after="0" w:line="273" w:lineRule="auto"/>
        <w:rPr>
          <w:sz w:val="20"/>
          <w:szCs w:val="20"/>
          <w:color w:val="auto"/>
        </w:rPr>
      </w:pPr>
      <w:r>
        <w:rPr>
          <w:rFonts w:ascii="Arial" w:cs="Arial" w:eastAsia="Arial" w:hAnsi="Arial"/>
          <w:sz w:val="17"/>
          <w:szCs w:val="17"/>
          <w:b w:val="1"/>
          <w:bCs w:val="1"/>
          <w:color w:val="auto"/>
        </w:rPr>
        <w:t xml:space="preserve">Robert B. Millard </w:t>
      </w:r>
      <w:r>
        <w:rPr>
          <w:rFonts w:ascii="Arial" w:cs="Arial" w:eastAsia="Arial" w:hAnsi="Arial"/>
          <w:sz w:val="17"/>
          <w:szCs w:val="17"/>
          <w:color w:val="auto"/>
        </w:rPr>
        <w:t>serves as the Chairman of the MIT Corporation, as well as Chairman of the Executive Committee and a</w:t>
      </w:r>
      <w:r>
        <w:rPr>
          <w:rFonts w:ascii="Arial" w:cs="Arial" w:eastAsia="Arial" w:hAnsi="Arial"/>
          <w:sz w:val="17"/>
          <w:szCs w:val="17"/>
          <w:b w:val="1"/>
          <w:bCs w:val="1"/>
          <w:color w:val="auto"/>
        </w:rPr>
        <w:t xml:space="preserve"> </w:t>
      </w:r>
      <w:r>
        <w:rPr>
          <w:rFonts w:ascii="Arial" w:cs="Arial" w:eastAsia="Arial" w:hAnsi="Arial"/>
          <w:sz w:val="17"/>
          <w:szCs w:val="17"/>
          <w:color w:val="auto"/>
        </w:rPr>
        <w:t>board member of the MIT Investment Management Company. Prior to becoming Chairman of MIT, Mr. Millard served as the Chairman of Realm Partners LLC from 2009 to 2014 and held various senior roles, including Managing Director at Lehman Brothers and its predecessors from 1976 to 2008. Mr. Millard is the Lead Independent Director of the Board of Directors and Chair of the Compensation and Executive Committees of L-3 Communications Corporation. He also served as a director of Weatherford International, Inc. until February 2012 and director of GulfMark Offshore, Inc. until July 2013. He is a current member of the Council on Foreign Relations and serves on its Finance and Budget Committee. Mr. Millard has an M.B.A. from the Harvard Business School and an S.B. from the MIT.</w:t>
      </w:r>
    </w:p>
    <w:p>
      <w:pPr>
        <w:spacing w:after="0" w:line="131" w:lineRule="exact"/>
        <w:rPr>
          <w:sz w:val="20"/>
          <w:szCs w:val="20"/>
          <w:color w:val="auto"/>
        </w:rPr>
      </w:pPr>
    </w:p>
    <w:p>
      <w:pPr>
        <w:ind w:left="220" w:right="60" w:firstLine="1745"/>
        <w:spacing w:after="0" w:line="261" w:lineRule="auto"/>
        <w:rPr>
          <w:sz w:val="20"/>
          <w:szCs w:val="20"/>
          <w:color w:val="auto"/>
        </w:rPr>
      </w:pPr>
      <w:r>
        <w:rPr>
          <w:rFonts w:ascii="Arial" w:cs="Arial" w:eastAsia="Arial" w:hAnsi="Arial"/>
          <w:sz w:val="18"/>
          <w:szCs w:val="18"/>
          <w:b w:val="1"/>
          <w:bCs w:val="1"/>
          <w:color w:val="auto"/>
        </w:rPr>
        <w:t xml:space="preserve">Willard J. Overlock, Jr. </w:t>
      </w:r>
      <w:r>
        <w:rPr>
          <w:rFonts w:ascii="Arial" w:cs="Arial" w:eastAsia="Arial" w:hAnsi="Arial"/>
          <w:sz w:val="18"/>
          <w:szCs w:val="18"/>
          <w:color w:val="auto"/>
        </w:rPr>
        <w:t>retired in 1996 from a career in investment banking. Mr. Overlock is a trustee of Rockefeller</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and a Special Partner at Cue Ball Capital. Until recently, Mr. Overlock served as a member of the Board of Directors of Becton, Dickinson and Company and chairman of The Albert and Mary Lasker Foundation. He holds an M.B.A. from Columbia Business School and a B.A. from the University of North Carolina.</w:t>
      </w:r>
    </w:p>
    <w:p>
      <w:pPr>
        <w:spacing w:after="0" w:line="139" w:lineRule="exact"/>
        <w:rPr>
          <w:sz w:val="20"/>
          <w:szCs w:val="20"/>
          <w:color w:val="auto"/>
        </w:rPr>
      </w:pPr>
    </w:p>
    <w:p>
      <w:pPr>
        <w:ind w:left="220" w:right="40" w:firstLine="1745"/>
        <w:spacing w:after="0" w:line="256" w:lineRule="auto"/>
        <w:rPr>
          <w:sz w:val="20"/>
          <w:szCs w:val="20"/>
          <w:color w:val="auto"/>
        </w:rPr>
      </w:pPr>
      <w:r>
        <w:rPr>
          <w:rFonts w:ascii="Arial" w:cs="Arial" w:eastAsia="Arial" w:hAnsi="Arial"/>
          <w:sz w:val="18"/>
          <w:szCs w:val="18"/>
          <w:b w:val="1"/>
          <w:bCs w:val="1"/>
          <w:color w:val="auto"/>
        </w:rPr>
        <w:t xml:space="preserve">Sir Simon M. Robertson </w:t>
      </w:r>
      <w:r>
        <w:rPr>
          <w:rFonts w:ascii="Arial" w:cs="Arial" w:eastAsia="Arial" w:hAnsi="Arial"/>
          <w:sz w:val="18"/>
          <w:szCs w:val="18"/>
          <w:color w:val="auto"/>
        </w:rPr>
        <w:t>founded Simon Robertson Associates LLP, offering independent and trusted corporate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advice to a limited number of major international companies, and has led the firm since its founding in 2005. Prior to founding his own firm, he was a Managing Director and President of Goldman Sachs Europe Limited from 1997 until he retired in 2005. Before joining Goldman Sachs, Sir Simon served various roles at the Kleinwort Benson Group. He joined the Kleinwort Benson Group in 1963, working in most of the businesses of the Kleinwort Benson Group before joining the Corporate Finance Division in 1968. He became Chairman of Kleinwort Benson Group Plc in 1996 and resigned from the Group in 1997.</w:t>
      </w:r>
    </w:p>
    <w:p>
      <w:pPr>
        <w:spacing w:after="0" w:line="164" w:lineRule="exact"/>
        <w:rPr>
          <w:sz w:val="20"/>
          <w:szCs w:val="20"/>
          <w:color w:val="auto"/>
        </w:rPr>
      </w:pPr>
    </w:p>
    <w:p>
      <w:pPr>
        <w:ind w:left="220" w:firstLine="1745"/>
        <w:spacing w:after="0" w:line="253" w:lineRule="auto"/>
        <w:rPr>
          <w:sz w:val="20"/>
          <w:szCs w:val="20"/>
          <w:color w:val="auto"/>
        </w:rPr>
      </w:pPr>
      <w:r>
        <w:rPr>
          <w:rFonts w:ascii="Arial" w:cs="Arial" w:eastAsia="Arial" w:hAnsi="Arial"/>
          <w:sz w:val="18"/>
          <w:szCs w:val="18"/>
          <w:color w:val="auto"/>
        </w:rPr>
        <w:t>Sir Simon is a director of several private companies, including Troy Asset Management Limited, Byhiras Group and Immodulon Therapeutics. He has served on the boards of numerous public and private entities in the past, including as Chairman of Rolls-Royce Holdings plc (2005-2013), on the board of Berry Bros &amp; Rudd Ltd (1998-2018), on the board of The Economist Newspaper Ltd. (2005-2017) and on the board of HSBC Holdings plc (2006-2016), where he was Senior Independent Director (2007-2015) and Deputy Chairman (2010-2016). In 2015 he joined the International Advisory Board of Brown Advisory and he recently became a Visiting Professor at King’s College London (Department of Political Economy). He is also a Trustee of the Royal Opera House Endowment Fund, a member of the Supervisory Board of LOV Group Invest, an Ambassador of the Winston Churchill Memorial Trust and President of the Légion d’Honneur UK Chapter Limited. Sir Simon was knighted for services to Business in the Queen’s Birthday Honours list in 2010. He also became an “Officier” of the “Ordre des Arts et des Lettres” in 2011 and “Officier” de la Légion d’Honneur in 2014.</w:t>
      </w:r>
    </w:p>
    <w:p>
      <w:pPr>
        <w:spacing w:after="0" w:line="152" w:lineRule="exact"/>
        <w:rPr>
          <w:sz w:val="20"/>
          <w:szCs w:val="20"/>
          <w:color w:val="auto"/>
        </w:rPr>
      </w:pPr>
    </w:p>
    <w:p>
      <w:pPr>
        <w:ind w:left="220" w:firstLine="1745"/>
        <w:spacing w:after="0" w:line="271" w:lineRule="auto"/>
        <w:rPr>
          <w:sz w:val="20"/>
          <w:szCs w:val="20"/>
          <w:color w:val="auto"/>
        </w:rPr>
      </w:pPr>
      <w:r>
        <w:rPr>
          <w:rFonts w:ascii="Arial" w:cs="Arial" w:eastAsia="Arial" w:hAnsi="Arial"/>
          <w:sz w:val="17"/>
          <w:szCs w:val="17"/>
          <w:b w:val="1"/>
          <w:bCs w:val="1"/>
          <w:color w:val="auto"/>
        </w:rPr>
        <w:t xml:space="preserve">Ralph L. Schlosstein </w:t>
      </w:r>
      <w:r>
        <w:rPr>
          <w:rFonts w:ascii="Arial" w:cs="Arial" w:eastAsia="Arial" w:hAnsi="Arial"/>
          <w:sz w:val="17"/>
          <w:szCs w:val="17"/>
          <w:color w:val="auto"/>
        </w:rPr>
        <w:t>has served as our CEO and President since May 22, 2009, and, prior to joining Evercore, was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of HighView Investment Group, an alternative investment management firm. Prior to forming HighView in 2008, Mr. Schlosstein was, for almost 20 years, the President of BlackRock, the largest asset management firm in the world. Mr. Schlosstein co-founded BlackRock in 1988, was a director from the time it went public in 1999 until 2007, chaired BlackRock’s management committee, and served on its executive committee and its investment committee. Prior to founding BlackRock in 1988, Mr. Schlosstein was a managing director in Investment Banking at Lehman Brothers. From 1977 to 1981, Mr. Schlosstein worked for the Federal government. Initially, he was deputy to the Assistant Secretary of the Treasury Department. In mid-1977, he became Associate Director of The White House Domestic Policy Staff where he was responsible for advising President Carter on urban policy, economic development and housing issues, as well as the Chrysler loan guarantee program. From 1974 to 1977, Mr. Schlosstein was an economist for the Congressional Joint Economic Committee.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0" w:firstLine="1745"/>
        <w:spacing w:after="0" w:line="273" w:lineRule="auto"/>
        <w:rPr>
          <w:sz w:val="20"/>
          <w:szCs w:val="20"/>
          <w:color w:val="auto"/>
        </w:rPr>
      </w:pPr>
      <w:r>
        <w:rPr>
          <w:rFonts w:ascii="Arial" w:cs="Arial" w:eastAsia="Arial" w:hAnsi="Arial"/>
          <w:sz w:val="17"/>
          <w:szCs w:val="17"/>
          <w:color w:val="auto"/>
        </w:rPr>
        <w:t>Mr. Schlosstein is a trustee of New Visions for Public Schools, a trustee of the Lincoln Center for the Performing Arts and a member of the Council on Foreign Relations. Previously, Mr. Schlosstein was a director of Pulte Corporation, a member of the Visiting Board of the Overseers of the John F. Kennedy School of Government at Harvard University, a trustee of Denison University, a trustee of Trinity School in New York City, a trustee of the American Museum of Natural History and a trustee of The Public Theater in New York City. He earned a B.A. degree in economics, cum laude, from Denison University in 1972, and completed his coursework for a Masters of Public Policy from the Graduate School of Public and International Affairs at the University of Pittsburgh.</w:t>
      </w:r>
    </w:p>
    <w:p>
      <w:pPr>
        <w:spacing w:after="0" w:line="147" w:lineRule="exact"/>
        <w:rPr>
          <w:sz w:val="20"/>
          <w:szCs w:val="20"/>
          <w:color w:val="auto"/>
        </w:rPr>
      </w:pPr>
    </w:p>
    <w:p>
      <w:pPr>
        <w:jc w:val="both"/>
        <w:ind w:left="220" w:right="260" w:firstLine="1745"/>
        <w:spacing w:after="0" w:line="314" w:lineRule="auto"/>
        <w:rPr>
          <w:sz w:val="20"/>
          <w:szCs w:val="20"/>
          <w:color w:val="auto"/>
        </w:rPr>
      </w:pPr>
      <w:r>
        <w:rPr>
          <w:rFonts w:ascii="Arial" w:cs="Arial" w:eastAsia="Arial" w:hAnsi="Arial"/>
          <w:sz w:val="16"/>
          <w:szCs w:val="16"/>
          <w:b w:val="1"/>
          <w:bCs w:val="1"/>
          <w:color w:val="auto"/>
        </w:rPr>
        <w:t xml:space="preserve">John S. Weinberg </w:t>
      </w:r>
      <w:r>
        <w:rPr>
          <w:rFonts w:ascii="Arial" w:cs="Arial" w:eastAsia="Arial" w:hAnsi="Arial"/>
          <w:sz w:val="16"/>
          <w:szCs w:val="16"/>
          <w:color w:val="auto"/>
        </w:rPr>
        <w:t>is Chairman of the Board and Executive Chairman of Evercore, a position he has held since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2016. Prior to joining Evercore, Mr. Weinberg was Vice Chairman of Goldman Sachs Group from 2006 to 2015 and Co-Head of Global Investment Banking from 2002 until 2015. Mr. Weinberg joined Goldman Sachs in 1983 as an Associate and was promoted to Partner in 1992.</w:t>
      </w:r>
    </w:p>
    <w:p>
      <w:pPr>
        <w:spacing w:after="0" w:line="105" w:lineRule="exact"/>
        <w:rPr>
          <w:sz w:val="20"/>
          <w:szCs w:val="20"/>
          <w:color w:val="auto"/>
        </w:rPr>
      </w:pPr>
    </w:p>
    <w:p>
      <w:pPr>
        <w:ind w:left="220" w:right="200" w:firstLine="1745"/>
        <w:spacing w:after="0" w:line="263" w:lineRule="auto"/>
        <w:rPr>
          <w:sz w:val="20"/>
          <w:szCs w:val="20"/>
          <w:color w:val="auto"/>
        </w:rPr>
      </w:pPr>
      <w:r>
        <w:rPr>
          <w:rFonts w:ascii="Arial" w:cs="Arial" w:eastAsia="Arial" w:hAnsi="Arial"/>
          <w:sz w:val="18"/>
          <w:szCs w:val="18"/>
          <w:color w:val="auto"/>
        </w:rPr>
        <w:t>Mr. Weinberg is a board member of Ford Motor Company, New York-Presbyterian Hospital, the Cystic Fibrosis Foundation and Middlebury College. Mr. Weinberg received a B.A. from Princeton University in 1979 and in 1983 earned an M.B.A. from Harvard Business School.</w:t>
      </w:r>
    </w:p>
    <w:p>
      <w:pPr>
        <w:spacing w:after="0" w:line="139" w:lineRule="exact"/>
        <w:rPr>
          <w:sz w:val="20"/>
          <w:szCs w:val="20"/>
          <w:color w:val="auto"/>
        </w:rPr>
      </w:pPr>
    </w:p>
    <w:p>
      <w:pPr>
        <w:ind w:left="220" w:firstLine="1745"/>
        <w:spacing w:after="0" w:line="255" w:lineRule="auto"/>
        <w:rPr>
          <w:sz w:val="20"/>
          <w:szCs w:val="20"/>
          <w:color w:val="auto"/>
        </w:rPr>
      </w:pPr>
      <w:r>
        <w:rPr>
          <w:rFonts w:ascii="Arial" w:cs="Arial" w:eastAsia="Arial" w:hAnsi="Arial"/>
          <w:sz w:val="18"/>
          <w:szCs w:val="18"/>
          <w:b w:val="1"/>
          <w:bCs w:val="1"/>
          <w:color w:val="auto"/>
        </w:rPr>
        <w:t xml:space="preserve">William J. Wheeler </w:t>
      </w:r>
      <w:r>
        <w:rPr>
          <w:rFonts w:ascii="Arial" w:cs="Arial" w:eastAsia="Arial" w:hAnsi="Arial"/>
          <w:sz w:val="18"/>
          <w:szCs w:val="18"/>
          <w:color w:val="auto"/>
        </w:rPr>
        <w:t>is president of Athene Holding Ltd. Mr. Wheeler oversees Athene’s business units, which includes its</w:t>
      </w:r>
      <w:r>
        <w:rPr>
          <w:rFonts w:ascii="Arial" w:cs="Arial" w:eastAsia="Arial" w:hAnsi="Arial"/>
          <w:sz w:val="18"/>
          <w:szCs w:val="18"/>
          <w:b w:val="1"/>
          <w:bCs w:val="1"/>
          <w:color w:val="auto"/>
        </w:rPr>
        <w:t xml:space="preserve"> </w:t>
      </w:r>
      <w:r>
        <w:rPr>
          <w:rFonts w:ascii="Arial" w:cs="Arial" w:eastAsia="Arial" w:hAnsi="Arial"/>
          <w:sz w:val="18"/>
          <w:szCs w:val="18"/>
          <w:color w:val="auto"/>
        </w:rPr>
        <w:t>retail and institutional insurance operations, and also its corporate development and risk activities. Prior to joining Athene, Mr. Wheeler was President of the Americas group for MetLife Inc., where he oversaw the insurance and retirement business in the United States and Latin America. Previously, Mr. Wheeler had been Executive Vice President and Chief Financial Officer at MetLife. Prior to joining MetLife, Mr. Wheeler was an investment banker at Donaldson, Lufkin &amp; Jenrette. Mr. Wheeler has an AB from Wabash College, where he is now a member of the board of trustees, and an MBA from Harvard Business School. He also serves on the boards of Athora Holding Ltd., Venerable Holdings, Inc. and the American Council of Life Insurers.</w:t>
      </w:r>
    </w:p>
    <w:p>
      <w:pPr>
        <w:spacing w:after="0" w:line="162" w:lineRule="exact"/>
        <w:rPr>
          <w:sz w:val="20"/>
          <w:szCs w:val="20"/>
          <w:color w:val="auto"/>
        </w:rPr>
      </w:pPr>
    </w:p>
    <w:p>
      <w:pPr>
        <w:ind w:left="220" w:right="160" w:firstLine="1745"/>
        <w:spacing w:after="0" w:line="274" w:lineRule="auto"/>
        <w:rPr>
          <w:sz w:val="20"/>
          <w:szCs w:val="20"/>
          <w:color w:val="auto"/>
        </w:rPr>
      </w:pPr>
      <w:r>
        <w:rPr>
          <w:rFonts w:ascii="Arial" w:cs="Arial" w:eastAsia="Arial" w:hAnsi="Arial"/>
          <w:sz w:val="17"/>
          <w:szCs w:val="17"/>
          <w:b w:val="1"/>
          <w:bCs w:val="1"/>
          <w:color w:val="auto"/>
        </w:rPr>
        <w:t xml:space="preserve">Sarah K. Williamson </w:t>
      </w:r>
      <w:r>
        <w:rPr>
          <w:rFonts w:ascii="Arial" w:cs="Arial" w:eastAsia="Arial" w:hAnsi="Arial"/>
          <w:sz w:val="17"/>
          <w:szCs w:val="17"/>
          <w:color w:val="auto"/>
        </w:rPr>
        <w:t>has served as the Chief Executive Officer of FCLTGlobal, a not-for-profit organization dedicated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encouraging long term behaviors in business and investment decision making, since July 2016. Ms. Williamson previously spent over 21 years at Wellington Management Company LLP, where she was most recently a Partner and Director of Alternative Investments. During her tenure at Wellington, Ms. Williamson served on a number of firm boards and committees, including on the Trust Investment Committee, as the Chair of the Wellington Trust Company, NA., and as the founding chair of the Diversity Committee. Ms. Williamson received her BA in economics, with honors, from Williams College in 1984 and earned an M.B.A., with distinction, from Harvard Business School in 1989.</w:t>
      </w:r>
    </w:p>
    <w:p>
      <w:pPr>
        <w:spacing w:after="0" w:line="133" w:lineRule="exact"/>
        <w:rPr>
          <w:sz w:val="20"/>
          <w:szCs w:val="20"/>
          <w:color w:val="auto"/>
        </w:rPr>
      </w:pPr>
    </w:p>
    <w:p>
      <w:pPr>
        <w:ind w:left="220" w:right="80" w:firstLine="1745"/>
        <w:spacing w:after="0" w:line="274" w:lineRule="auto"/>
        <w:rPr>
          <w:sz w:val="20"/>
          <w:szCs w:val="20"/>
          <w:color w:val="auto"/>
        </w:rPr>
      </w:pPr>
      <w:r>
        <w:rPr>
          <w:rFonts w:ascii="Arial" w:cs="Arial" w:eastAsia="Arial" w:hAnsi="Arial"/>
          <w:sz w:val="17"/>
          <w:szCs w:val="17"/>
          <w:b w:val="1"/>
          <w:bCs w:val="1"/>
          <w:color w:val="auto"/>
        </w:rPr>
        <w:t xml:space="preserve">Kendrick R. Wilson III </w:t>
      </w:r>
      <w:r>
        <w:rPr>
          <w:rFonts w:ascii="Arial" w:cs="Arial" w:eastAsia="Arial" w:hAnsi="Arial"/>
          <w:sz w:val="17"/>
          <w:szCs w:val="17"/>
          <w:color w:val="auto"/>
        </w:rPr>
        <w:t>retired as Vice Chairman of BlackRock in the first quarter of 2018 and was a member of its Global</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Committee. He also served as Chairman of BlackRock’s Human Capital Committee and BlackRock Alternative Investors. Prior to joining BlackRock, Mr. Wilson was an advisor to the U.S. Department of the Treasury during the height of the financial crisis. Before going to Washington in the summer of 2008, he was Vice Chairman, Investment Banking of Goldman Sachs &amp; Co. and a member of Goldman’s Executive Office. He also served as Chairman of Goldman’s Financial Institutions Group. Before joining Goldman, Mr. Wilson was a Vice Chairman, member of the Executive Committee and head of Investment Banking at Lazard Freres &amp; Co. LLC.</w:t>
      </w:r>
    </w:p>
    <w:p>
      <w:pPr>
        <w:spacing w:after="0" w:line="137" w:lineRule="exact"/>
        <w:rPr>
          <w:sz w:val="20"/>
          <w:szCs w:val="20"/>
          <w:color w:val="auto"/>
        </w:rPr>
      </w:pPr>
    </w:p>
    <w:p>
      <w:pPr>
        <w:ind w:left="220" w:right="80" w:firstLine="1745"/>
        <w:spacing w:after="0" w:line="279" w:lineRule="auto"/>
        <w:rPr>
          <w:sz w:val="20"/>
          <w:szCs w:val="20"/>
          <w:color w:val="auto"/>
        </w:rPr>
      </w:pPr>
      <w:r>
        <w:rPr>
          <w:rFonts w:ascii="Arial" w:cs="Arial" w:eastAsia="Arial" w:hAnsi="Arial"/>
          <w:sz w:val="17"/>
          <w:szCs w:val="17"/>
          <w:color w:val="auto"/>
        </w:rPr>
        <w:t>Mr. Wilson has served on Boards of numerous public and private corporations in the United States and overseas. He is a Trustee of the Montana Land Reliance, Middlebury College (Emeritus) and Hospital for Special Surgery in New York City, where he is Chairman Emeritus. Mr. Wilson also serves as a member of the Board of Governors of the Montana State University Foundation. During his long career on Wall Street, Mr. Wilson has been involved in some of the most significant transactions in the financial services industry.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360" w:firstLine="1745"/>
        <w:spacing w:after="0" w:line="263" w:lineRule="auto"/>
        <w:rPr>
          <w:sz w:val="20"/>
          <w:szCs w:val="20"/>
          <w:color w:val="auto"/>
        </w:rPr>
      </w:pPr>
      <w:r>
        <w:rPr>
          <w:rFonts w:ascii="Arial" w:cs="Arial" w:eastAsia="Arial" w:hAnsi="Arial"/>
          <w:sz w:val="18"/>
          <w:szCs w:val="18"/>
          <w:color w:val="auto"/>
        </w:rPr>
        <w:t>Mr. Wilson earned an MBA from Harvard Business School and a BA from Dartmouth College (Rufus Choate Scholar). A Pathfinder and honor graduate of Officer Candidate School and Ranger School, he served in Vietnam with a unit of the Studies and Observations Group.</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Qualifications of Nominees Considered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right="40" w:firstLine="1745"/>
        <w:spacing w:after="0" w:line="259" w:lineRule="auto"/>
        <w:rPr>
          <w:sz w:val="20"/>
          <w:szCs w:val="20"/>
          <w:color w:val="auto"/>
        </w:rPr>
      </w:pPr>
      <w:r>
        <w:rPr>
          <w:rFonts w:ascii="Arial" w:cs="Arial" w:eastAsia="Arial" w:hAnsi="Arial"/>
          <w:sz w:val="18"/>
          <w:szCs w:val="18"/>
          <w:color w:val="auto"/>
        </w:rPr>
        <w:t>When considering whether director nominees have the experience, qualifications, attributes and skills, taken as a whole, to enable the Board to satisfy its oversight responsibilities effectively in light of our business and structure, the Nominating and Corporate Governance Committee and the Board focused primarily on the information discussed in each director’s individual biography set forth above and the qualifications described below.</w:t>
      </w:r>
    </w:p>
    <w:p>
      <w:pPr>
        <w:spacing w:after="0" w:line="183" w:lineRule="exact"/>
        <w:rPr>
          <w:sz w:val="20"/>
          <w:szCs w:val="20"/>
          <w:color w:val="auto"/>
        </w:rPr>
      </w:pPr>
    </w:p>
    <w:p>
      <w:pPr>
        <w:ind w:left="660" w:right="80" w:hanging="436"/>
        <w:spacing w:after="0" w:line="282" w:lineRule="auto"/>
        <w:tabs>
          <w:tab w:leader="none" w:pos="660" w:val="left"/>
        </w:tabs>
        <w:numPr>
          <w:ilvl w:val="0"/>
          <w:numId w:val="2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Altman</w:t>
      </w:r>
      <w:r>
        <w:rPr>
          <w:rFonts w:ascii="Arial" w:cs="Arial" w:eastAsia="Arial" w:hAnsi="Arial"/>
          <w:sz w:val="18"/>
          <w:szCs w:val="18"/>
          <w:color w:val="auto"/>
        </w:rPr>
        <w:t>, the Board considered his position as a founder and his experience as CEO, his extensive knowledge of our industry and his investment banking and government experience prior to founding Evercore.</w:t>
      </w:r>
    </w:p>
    <w:p>
      <w:pPr>
        <w:spacing w:after="0" w:line="161" w:lineRule="exact"/>
        <w:rPr>
          <w:rFonts w:ascii="Arial" w:cs="Arial" w:eastAsia="Arial" w:hAnsi="Arial"/>
          <w:sz w:val="18"/>
          <w:szCs w:val="18"/>
          <w:color w:val="0A26FF"/>
        </w:rPr>
      </w:pPr>
    </w:p>
    <w:p>
      <w:pPr>
        <w:ind w:left="660" w:hanging="436"/>
        <w:spacing w:after="0" w:line="266" w:lineRule="auto"/>
        <w:tabs>
          <w:tab w:leader="none" w:pos="660" w:val="left"/>
        </w:tabs>
        <w:numPr>
          <w:ilvl w:val="0"/>
          <w:numId w:val="2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Beattie</w:t>
      </w:r>
      <w:r>
        <w:rPr>
          <w:rFonts w:ascii="Arial" w:cs="Arial" w:eastAsia="Arial" w:hAnsi="Arial"/>
          <w:sz w:val="18"/>
          <w:szCs w:val="18"/>
          <w:color w:val="auto"/>
        </w:rPr>
        <w:t>, the Board considered his leadership experience at Simpson Thacher and his legal experience counseling boards on governance issues, his experience advising multinational companies on a wide range of business transactions and his experience serving on other boards.</w:t>
      </w:r>
    </w:p>
    <w:p>
      <w:pPr>
        <w:spacing w:after="0" w:line="175" w:lineRule="exact"/>
        <w:rPr>
          <w:rFonts w:ascii="Arial" w:cs="Arial" w:eastAsia="Arial" w:hAnsi="Arial"/>
          <w:sz w:val="18"/>
          <w:szCs w:val="18"/>
          <w:color w:val="0A26FF"/>
        </w:rPr>
      </w:pPr>
    </w:p>
    <w:p>
      <w:pPr>
        <w:ind w:left="660" w:right="380" w:hanging="436"/>
        <w:spacing w:after="0" w:line="266" w:lineRule="auto"/>
        <w:tabs>
          <w:tab w:leader="none" w:pos="660" w:val="left"/>
        </w:tabs>
        <w:numPr>
          <w:ilvl w:val="0"/>
          <w:numId w:val="2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Ms. Carlton</w:t>
      </w:r>
      <w:r>
        <w:rPr>
          <w:rFonts w:ascii="Arial" w:cs="Arial" w:eastAsia="Arial" w:hAnsi="Arial"/>
          <w:sz w:val="18"/>
          <w:szCs w:val="18"/>
          <w:color w:val="auto"/>
        </w:rPr>
        <w:t>, the Board considered her extensive investment banking, financial markets and equity research leadership experience, and her prominent role in advising organizations on inclusive leadership and diversity. The Board also considered Ms. Carlton’s service on other boards.</w:t>
      </w:r>
    </w:p>
    <w:p>
      <w:pPr>
        <w:spacing w:after="0" w:line="175" w:lineRule="exact"/>
        <w:rPr>
          <w:rFonts w:ascii="Arial" w:cs="Arial" w:eastAsia="Arial" w:hAnsi="Arial"/>
          <w:sz w:val="18"/>
          <w:szCs w:val="18"/>
          <w:color w:val="0A26FF"/>
        </w:rPr>
      </w:pPr>
    </w:p>
    <w:p>
      <w:pPr>
        <w:ind w:left="660" w:right="60" w:hanging="436"/>
        <w:spacing w:after="0" w:line="312" w:lineRule="auto"/>
        <w:tabs>
          <w:tab w:leader="none" w:pos="660" w:val="left"/>
        </w:tabs>
        <w:numPr>
          <w:ilvl w:val="0"/>
          <w:numId w:val="26"/>
        </w:numPr>
        <w:rPr>
          <w:rFonts w:ascii="Arial" w:cs="Arial" w:eastAsia="Arial" w:hAnsi="Arial"/>
          <w:sz w:val="17"/>
          <w:szCs w:val="17"/>
          <w:color w:val="0A26FF"/>
        </w:rPr>
      </w:pPr>
      <w:r>
        <w:rPr>
          <w:rFonts w:ascii="Arial" w:cs="Arial" w:eastAsia="Arial" w:hAnsi="Arial"/>
          <w:sz w:val="17"/>
          <w:szCs w:val="17"/>
          <w:color w:val="auto"/>
        </w:rPr>
        <w:t xml:space="preserve">With regard to </w:t>
      </w:r>
      <w:r>
        <w:rPr>
          <w:rFonts w:ascii="Arial" w:cs="Arial" w:eastAsia="Arial" w:hAnsi="Arial"/>
          <w:sz w:val="17"/>
          <w:szCs w:val="17"/>
          <w:b w:val="1"/>
          <w:bCs w:val="1"/>
          <w:color w:val="auto"/>
        </w:rPr>
        <w:t>Ms. Futter</w:t>
      </w:r>
      <w:r>
        <w:rPr>
          <w:rFonts w:ascii="Arial" w:cs="Arial" w:eastAsia="Arial" w:hAnsi="Arial"/>
          <w:sz w:val="17"/>
          <w:szCs w:val="17"/>
          <w:color w:val="auto"/>
        </w:rPr>
        <w:t>, the Board considered her management and operations experience leading major New York not-for-profit entities that provide services to the public, her legal and financial experience, as well as her prior service on other public company boards.</w:t>
      </w:r>
    </w:p>
    <w:p>
      <w:pPr>
        <w:spacing w:after="0" w:line="139" w:lineRule="exact"/>
        <w:rPr>
          <w:rFonts w:ascii="Arial" w:cs="Arial" w:eastAsia="Arial" w:hAnsi="Arial"/>
          <w:sz w:val="17"/>
          <w:szCs w:val="17"/>
          <w:color w:val="0A26FF"/>
        </w:rPr>
      </w:pPr>
    </w:p>
    <w:p>
      <w:pPr>
        <w:ind w:left="660" w:hanging="436"/>
        <w:spacing w:after="0" w:line="266" w:lineRule="auto"/>
        <w:tabs>
          <w:tab w:leader="none" w:pos="660" w:val="left"/>
        </w:tabs>
        <w:numPr>
          <w:ilvl w:val="0"/>
          <w:numId w:val="2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Ms. Harris</w:t>
      </w:r>
      <w:r>
        <w:rPr>
          <w:rFonts w:ascii="Arial" w:cs="Arial" w:eastAsia="Arial" w:hAnsi="Arial"/>
          <w:sz w:val="18"/>
          <w:szCs w:val="18"/>
          <w:color w:val="auto"/>
        </w:rPr>
        <w:t>, the Board considered her legal experience representing investment banks and multinational companies on a wide range of business transactions and corporate governance matters, evaluating and forming complex legal structures and arrangements with respect to acquisitions, joint ventures and mergers, and her director experience.</w:t>
      </w:r>
    </w:p>
    <w:p>
      <w:pPr>
        <w:spacing w:after="0" w:line="175" w:lineRule="exact"/>
        <w:rPr>
          <w:rFonts w:ascii="Arial" w:cs="Arial" w:eastAsia="Arial" w:hAnsi="Arial"/>
          <w:sz w:val="18"/>
          <w:szCs w:val="18"/>
          <w:color w:val="0A26FF"/>
        </w:rPr>
      </w:pPr>
    </w:p>
    <w:p>
      <w:pPr>
        <w:ind w:left="660" w:right="240" w:hanging="436"/>
        <w:spacing w:after="0" w:line="266" w:lineRule="auto"/>
        <w:tabs>
          <w:tab w:leader="none" w:pos="660" w:val="left"/>
        </w:tabs>
        <w:numPr>
          <w:ilvl w:val="0"/>
          <w:numId w:val="2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Millard</w:t>
      </w:r>
      <w:r>
        <w:rPr>
          <w:rFonts w:ascii="Arial" w:cs="Arial" w:eastAsia="Arial" w:hAnsi="Arial"/>
          <w:sz w:val="18"/>
          <w:szCs w:val="18"/>
          <w:color w:val="auto"/>
        </w:rPr>
        <w:t>, the Board considered his extensive investment and financial management experience, including his leadership experience as Chairman of MIT and his prior service as the managing partner of Realm Partners LLC, his experience serving on other boards, and his experience with financial and compensation matters.</w:t>
      </w:r>
    </w:p>
    <w:p>
      <w:pPr>
        <w:spacing w:after="0" w:line="175" w:lineRule="exact"/>
        <w:rPr>
          <w:rFonts w:ascii="Arial" w:cs="Arial" w:eastAsia="Arial" w:hAnsi="Arial"/>
          <w:sz w:val="18"/>
          <w:szCs w:val="18"/>
          <w:color w:val="0A26FF"/>
        </w:rPr>
      </w:pPr>
    </w:p>
    <w:p>
      <w:pPr>
        <w:ind w:left="660" w:right="200" w:hanging="436"/>
        <w:spacing w:after="0" w:line="282" w:lineRule="auto"/>
        <w:tabs>
          <w:tab w:leader="none" w:pos="660" w:val="left"/>
        </w:tabs>
        <w:numPr>
          <w:ilvl w:val="0"/>
          <w:numId w:val="2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Overlock</w:t>
      </w:r>
      <w:r>
        <w:rPr>
          <w:rFonts w:ascii="Arial" w:cs="Arial" w:eastAsia="Arial" w:hAnsi="Arial"/>
          <w:sz w:val="18"/>
          <w:szCs w:val="18"/>
          <w:color w:val="auto"/>
        </w:rPr>
        <w:t>, the Board considered his extensive experience in investment banking and in managing financial institutions and his experience on other boards.</w:t>
      </w:r>
    </w:p>
    <w:p>
      <w:pPr>
        <w:spacing w:after="0" w:line="161" w:lineRule="exact"/>
        <w:rPr>
          <w:rFonts w:ascii="Arial" w:cs="Arial" w:eastAsia="Arial" w:hAnsi="Arial"/>
          <w:sz w:val="18"/>
          <w:szCs w:val="18"/>
          <w:color w:val="0A26FF"/>
        </w:rPr>
      </w:pPr>
    </w:p>
    <w:p>
      <w:pPr>
        <w:ind w:left="660" w:right="140" w:hanging="436"/>
        <w:spacing w:after="0" w:line="261" w:lineRule="auto"/>
        <w:tabs>
          <w:tab w:leader="none" w:pos="660" w:val="left"/>
        </w:tabs>
        <w:numPr>
          <w:ilvl w:val="0"/>
          <w:numId w:val="26"/>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Sir Simon Robertson</w:t>
      </w:r>
      <w:r>
        <w:rPr>
          <w:rFonts w:ascii="Arial" w:cs="Arial" w:eastAsia="Arial" w:hAnsi="Arial"/>
          <w:sz w:val="18"/>
          <w:szCs w:val="18"/>
          <w:color w:val="auto"/>
        </w:rPr>
        <w:t>, the Board considered his extensive investment banking and financial markets experience, as well as his experience serving on other boards of financial and other companies. We also believe that Sir Simon’s international background will add to the diversity of our Board, especially since he has spent the majority of his career working outside the United States and has significant experience working in France, Germany, and the United Kingdom</w:t>
      </w:r>
    </w:p>
    <w:p>
      <w:pPr>
        <w:spacing w:after="0" w:line="179" w:lineRule="exact"/>
        <w:rPr>
          <w:rFonts w:ascii="Arial" w:cs="Arial" w:eastAsia="Arial" w:hAnsi="Arial"/>
          <w:sz w:val="18"/>
          <w:szCs w:val="18"/>
          <w:color w:val="0A26FF"/>
        </w:rPr>
      </w:pPr>
    </w:p>
    <w:p>
      <w:pPr>
        <w:ind w:left="660" w:right="520" w:hanging="436"/>
        <w:spacing w:after="0" w:line="312" w:lineRule="auto"/>
        <w:tabs>
          <w:tab w:leader="none" w:pos="660" w:val="left"/>
        </w:tabs>
        <w:numPr>
          <w:ilvl w:val="0"/>
          <w:numId w:val="26"/>
        </w:numPr>
        <w:rPr>
          <w:rFonts w:ascii="Arial" w:cs="Arial" w:eastAsia="Arial" w:hAnsi="Arial"/>
          <w:sz w:val="17"/>
          <w:szCs w:val="17"/>
          <w:color w:val="0A26FF"/>
        </w:rPr>
      </w:pPr>
      <w:r>
        <w:rPr>
          <w:rFonts w:ascii="Arial" w:cs="Arial" w:eastAsia="Arial" w:hAnsi="Arial"/>
          <w:sz w:val="17"/>
          <w:szCs w:val="17"/>
          <w:color w:val="auto"/>
        </w:rPr>
        <w:t xml:space="preserve">With regard to </w:t>
      </w:r>
      <w:r>
        <w:rPr>
          <w:rFonts w:ascii="Arial" w:cs="Arial" w:eastAsia="Arial" w:hAnsi="Arial"/>
          <w:sz w:val="17"/>
          <w:szCs w:val="17"/>
          <w:b w:val="1"/>
          <w:bCs w:val="1"/>
          <w:color w:val="auto"/>
        </w:rPr>
        <w:t>Mr. Schlosstein</w:t>
      </w:r>
      <w:r>
        <w:rPr>
          <w:rFonts w:ascii="Arial" w:cs="Arial" w:eastAsia="Arial" w:hAnsi="Arial"/>
          <w:sz w:val="17"/>
          <w:szCs w:val="17"/>
          <w:color w:val="auto"/>
        </w:rPr>
        <w:t>, the Board considered his service as our CEO and President and his investment and financial management experience, including his leadership experience as the co-founder and President of BlackRock for almost 20 years.</w:t>
      </w:r>
    </w:p>
    <w:p>
      <w:pPr>
        <w:spacing w:after="0" w:line="139" w:lineRule="exact"/>
        <w:rPr>
          <w:rFonts w:ascii="Arial" w:cs="Arial" w:eastAsia="Arial" w:hAnsi="Arial"/>
          <w:sz w:val="17"/>
          <w:szCs w:val="17"/>
          <w:color w:val="0A26FF"/>
        </w:rPr>
      </w:pPr>
    </w:p>
    <w:p>
      <w:pPr>
        <w:ind w:left="660" w:right="220" w:hanging="436"/>
        <w:spacing w:after="0" w:line="347" w:lineRule="auto"/>
        <w:tabs>
          <w:tab w:leader="none" w:pos="660" w:val="left"/>
        </w:tabs>
        <w:numPr>
          <w:ilvl w:val="0"/>
          <w:numId w:val="26"/>
        </w:numPr>
        <w:rPr>
          <w:rFonts w:ascii="Arial" w:cs="Arial" w:eastAsia="Arial" w:hAnsi="Arial"/>
          <w:sz w:val="16"/>
          <w:szCs w:val="16"/>
          <w:color w:val="0A26FF"/>
        </w:rPr>
      </w:pPr>
      <w:r>
        <w:rPr>
          <w:rFonts w:ascii="Arial" w:cs="Arial" w:eastAsia="Arial" w:hAnsi="Arial"/>
          <w:sz w:val="16"/>
          <w:szCs w:val="16"/>
          <w:color w:val="auto"/>
        </w:rPr>
        <w:t xml:space="preserve">With regard to </w:t>
      </w:r>
      <w:r>
        <w:rPr>
          <w:rFonts w:ascii="Arial" w:cs="Arial" w:eastAsia="Arial" w:hAnsi="Arial"/>
          <w:sz w:val="16"/>
          <w:szCs w:val="16"/>
          <w:b w:val="1"/>
          <w:bCs w:val="1"/>
          <w:color w:val="auto"/>
        </w:rPr>
        <w:t>Mr. Weinberg</w:t>
      </w:r>
      <w:r>
        <w:rPr>
          <w:rFonts w:ascii="Arial" w:cs="Arial" w:eastAsia="Arial" w:hAnsi="Arial"/>
          <w:sz w:val="16"/>
          <w:szCs w:val="16"/>
          <w:color w:val="auto"/>
        </w:rPr>
        <w:t>, the Board considered his services as our Executive Chairman, his leadership experience at Goldman Sachs, his relationships with a number of leading companies, his extensive knowledge of our industry and his investment banking experience.</w:t>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580" w:hanging="436"/>
        <w:spacing w:after="0" w:line="312" w:lineRule="auto"/>
        <w:tabs>
          <w:tab w:leader="none" w:pos="660" w:val="left"/>
        </w:tabs>
        <w:numPr>
          <w:ilvl w:val="0"/>
          <w:numId w:val="27"/>
        </w:numPr>
        <w:rPr>
          <w:rFonts w:ascii="Arial" w:cs="Arial" w:eastAsia="Arial" w:hAnsi="Arial"/>
          <w:sz w:val="17"/>
          <w:szCs w:val="17"/>
          <w:color w:val="0A26FF"/>
        </w:rPr>
      </w:pPr>
      <w:r>
        <w:rPr>
          <w:rFonts w:ascii="Arial" w:cs="Arial" w:eastAsia="Arial" w:hAnsi="Arial"/>
          <w:sz w:val="17"/>
          <w:szCs w:val="17"/>
          <w:color w:val="auto"/>
        </w:rPr>
        <w:t xml:space="preserve">With regard to </w:t>
      </w:r>
      <w:r>
        <w:rPr>
          <w:rFonts w:ascii="Arial" w:cs="Arial" w:eastAsia="Arial" w:hAnsi="Arial"/>
          <w:sz w:val="17"/>
          <w:szCs w:val="17"/>
          <w:b w:val="1"/>
          <w:bCs w:val="1"/>
          <w:color w:val="auto"/>
        </w:rPr>
        <w:t>Mr. Wheeler</w:t>
      </w:r>
      <w:r>
        <w:rPr>
          <w:rFonts w:ascii="Arial" w:cs="Arial" w:eastAsia="Arial" w:hAnsi="Arial"/>
          <w:sz w:val="17"/>
          <w:szCs w:val="17"/>
          <w:color w:val="auto"/>
        </w:rPr>
        <w:t>, the Board considered his executive leadership experience and experience as chief financial officer at a large multinational public company and his experience with financial institutions and, in particular, insurance companies.</w:t>
      </w:r>
    </w:p>
    <w:p>
      <w:pPr>
        <w:spacing w:after="0" w:line="139" w:lineRule="exact"/>
        <w:rPr>
          <w:rFonts w:ascii="Arial" w:cs="Arial" w:eastAsia="Arial" w:hAnsi="Arial"/>
          <w:sz w:val="17"/>
          <w:szCs w:val="17"/>
          <w:color w:val="0A26FF"/>
        </w:rPr>
      </w:pPr>
    </w:p>
    <w:p>
      <w:pPr>
        <w:ind w:left="660" w:right="20" w:hanging="436"/>
        <w:spacing w:after="0" w:line="266" w:lineRule="auto"/>
        <w:tabs>
          <w:tab w:leader="none" w:pos="660" w:val="left"/>
        </w:tabs>
        <w:numPr>
          <w:ilvl w:val="0"/>
          <w:numId w:val="27"/>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Ms. Williamson</w:t>
      </w:r>
      <w:r>
        <w:rPr>
          <w:rFonts w:ascii="Arial" w:cs="Arial" w:eastAsia="Arial" w:hAnsi="Arial"/>
          <w:sz w:val="18"/>
          <w:szCs w:val="18"/>
          <w:color w:val="auto"/>
        </w:rPr>
        <w:t>, the Board considered her extensive experience in the investment management industry, as well as her management and leadership experience as CEO of a non-profit organization and her familiarity with institutional investors’ approach to company performance and corporate governance.</w:t>
      </w:r>
    </w:p>
    <w:p>
      <w:pPr>
        <w:spacing w:after="0" w:line="175" w:lineRule="exact"/>
        <w:rPr>
          <w:rFonts w:ascii="Arial" w:cs="Arial" w:eastAsia="Arial" w:hAnsi="Arial"/>
          <w:sz w:val="18"/>
          <w:szCs w:val="18"/>
          <w:color w:val="0A26FF"/>
        </w:rPr>
      </w:pPr>
    </w:p>
    <w:p>
      <w:pPr>
        <w:ind w:left="660" w:right="560" w:hanging="436"/>
        <w:spacing w:after="0" w:line="266" w:lineRule="auto"/>
        <w:tabs>
          <w:tab w:leader="none" w:pos="660" w:val="left"/>
        </w:tabs>
        <w:numPr>
          <w:ilvl w:val="0"/>
          <w:numId w:val="27"/>
        </w:numPr>
        <w:rPr>
          <w:rFonts w:ascii="Arial" w:cs="Arial" w:eastAsia="Arial" w:hAnsi="Arial"/>
          <w:sz w:val="18"/>
          <w:szCs w:val="18"/>
          <w:color w:val="0A26FF"/>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Mr. Wilson</w:t>
      </w:r>
      <w:r>
        <w:rPr>
          <w:rFonts w:ascii="Arial" w:cs="Arial" w:eastAsia="Arial" w:hAnsi="Arial"/>
          <w:sz w:val="18"/>
          <w:szCs w:val="18"/>
          <w:color w:val="auto"/>
        </w:rPr>
        <w:t>, the Board considered his extensive leadership experience at BlackRock and Goldman Sachs. The Board also considered his additional experience as an advisor to the U.S. Department of the Treasury during the height of the financial crisis and past service on boards of public and private companies.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2" w:lineRule="exact"/>
        <w:rPr>
          <w:sz w:val="20"/>
          <w:szCs w:val="20"/>
          <w:color w:val="auto"/>
        </w:rPr>
      </w:pPr>
    </w:p>
    <w:p>
      <w:pPr>
        <w:jc w:val="both"/>
        <w:ind w:left="220" w:right="160" w:firstLine="1745"/>
        <w:spacing w:after="0" w:line="261" w:lineRule="auto"/>
        <w:rPr>
          <w:sz w:val="20"/>
          <w:szCs w:val="20"/>
          <w:color w:val="auto"/>
        </w:rPr>
      </w:pPr>
      <w:r>
        <w:rPr>
          <w:rFonts w:ascii="Arial" w:cs="Arial" w:eastAsia="Arial" w:hAnsi="Arial"/>
          <w:sz w:val="18"/>
          <w:szCs w:val="18"/>
          <w:color w:val="auto"/>
        </w:rPr>
        <w:t xml:space="preserve">Our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Roger C. Altman, Richard I. Beattie, Pamela G. Carlton, Ellen V. Futter, Gail B. Harris, Robert B. Millard, Willard J. Overlock, Jr., Sir Simon M. Robertson, Ralph L. Schlosstein, John S. Weinberg, William J. Wheeler, Sarah K. Williamson and Kendrick R. Wilson III, each of whom has also been recommended by our Nominating and Corporate Governance Committee, which is comprised exclusively of independent directors.</w:t>
      </w:r>
    </w:p>
    <w:p>
      <w:pPr>
        <w:spacing w:after="0" w:line="143" w:lineRule="exact"/>
        <w:rPr>
          <w:sz w:val="20"/>
          <w:szCs w:val="20"/>
          <w:color w:val="auto"/>
        </w:rPr>
      </w:pPr>
    </w:p>
    <w:p>
      <w:pPr>
        <w:ind w:left="220" w:firstLine="1745"/>
        <w:spacing w:after="0" w:line="255" w:lineRule="auto"/>
        <w:rPr>
          <w:sz w:val="20"/>
          <w:szCs w:val="20"/>
          <w:color w:val="auto"/>
        </w:rPr>
      </w:pPr>
      <w:r>
        <w:rPr>
          <w:rFonts w:ascii="Arial" w:cs="Arial" w:eastAsia="Arial" w:hAnsi="Arial"/>
          <w:sz w:val="18"/>
          <w:szCs w:val="18"/>
          <w:color w:val="auto"/>
        </w:rPr>
        <w:t xml:space="preserve">Unless authority to vote for one or more of the nominees is specifically withheld or authority to vote against one or more of the nominees is given according to the instructions in your signed proxy card or Notice, the proxies named in the enclosed proxy card will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Messrs. Altman, Beattie, Millard, Overlock, Schlosstein, Weinberg, Wheeler and Wilson, Mses. Carlton, Futter, Harris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Williamson, and Sir Simon Robertson. Our Board does not contemplate that any of the nominees will be unable to serve as a director, but if that contingency should occur prior to the Annual Meeting, the persons named as proxies in the enclosed proxy card will have the right to vote for such substitute nominee or nominees as they, in their discretion, may determine.</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Majority Voting Policy</w:t>
      </w:r>
    </w:p>
    <w:p>
      <w:pPr>
        <w:spacing w:after="0" w:line="202" w:lineRule="exact"/>
        <w:rPr>
          <w:sz w:val="20"/>
          <w:szCs w:val="20"/>
          <w:color w:val="auto"/>
        </w:rPr>
      </w:pPr>
    </w:p>
    <w:p>
      <w:pPr>
        <w:ind w:left="220" w:right="40" w:firstLine="1745"/>
        <w:spacing w:after="0" w:line="269" w:lineRule="auto"/>
        <w:rPr>
          <w:sz w:val="20"/>
          <w:szCs w:val="20"/>
          <w:color w:val="auto"/>
        </w:rPr>
      </w:pPr>
      <w:r>
        <w:rPr>
          <w:rFonts w:ascii="Arial" w:cs="Arial" w:eastAsia="Arial" w:hAnsi="Arial"/>
          <w:sz w:val="17"/>
          <w:szCs w:val="17"/>
          <w:color w:val="auto"/>
        </w:rPr>
        <w:t xml:space="preserve">Our Board and management regularly monitor and discuss developments in corporate governance practices, and value the views of our shareholders on governance matters. Following discussions with several of our larger investors, our Board, upon the recommendation of our Nominating and Corporate Governance Committee, added a director resignation policy to our Corporate Governance Principles dealing with the situation where a director nominee fails to receive majority support in an uncontested election. Under this policy, any nominee in an uncontested election who does not receive a greater number of “for” votes than “withhold” votes shall promptly tender his or her resignation following certification of the vote. The Nominating and Corporate Governance Committee shall consider the resignation offer and shall recommend to the Board the action to be taken. Any director whose resignation is under consideration shall not participate in the Nominating and Corporate Governance Committee recommendation regarding whether to accept the resignation. The Board shall take action within 90 days following certification of the vote, and the Company will promptly disclose the Board’s decision and the reasons therefor, in a press release or Form 8-K furnished to the SEC. Our Corporate Governance Principles are available on our website at </w:t>
      </w:r>
      <w:r>
        <w:rPr>
          <w:rFonts w:ascii="Arial" w:cs="Arial" w:eastAsia="Arial" w:hAnsi="Arial"/>
          <w:sz w:val="17"/>
          <w:szCs w:val="17"/>
          <w:i w:val="1"/>
          <w:iCs w:val="1"/>
          <w:color w:val="auto"/>
        </w:rPr>
        <w:t>www.evercore.com.</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EXECUTIVE OFFICERS</w:t>
      </w:r>
    </w:p>
    <w:p>
      <w:pPr>
        <w:spacing w:after="0" w:line="192" w:lineRule="exact"/>
        <w:rPr>
          <w:sz w:val="20"/>
          <w:szCs w:val="20"/>
          <w:color w:val="auto"/>
        </w:rPr>
      </w:pPr>
    </w:p>
    <w:p>
      <w:pPr>
        <w:ind w:left="220" w:right="440" w:firstLine="1745"/>
        <w:spacing w:after="0" w:line="277" w:lineRule="auto"/>
        <w:rPr>
          <w:sz w:val="20"/>
          <w:szCs w:val="20"/>
          <w:color w:val="auto"/>
        </w:rPr>
      </w:pPr>
      <w:r>
        <w:rPr>
          <w:rFonts w:ascii="Arial" w:cs="Arial" w:eastAsia="Arial" w:hAnsi="Arial"/>
          <w:sz w:val="18"/>
          <w:szCs w:val="18"/>
          <w:color w:val="auto"/>
        </w:rPr>
        <w:t>Set forth below are biographical summaries of our executive officers as of April 22, 2020. Each of our executive officers serves at the discretion of our Board without specified terms of office.</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b w:val="1"/>
          <w:bCs w:val="1"/>
          <w:color w:val="auto"/>
        </w:rPr>
        <w:t>Proposal 1—Election of Directors</w:t>
      </w:r>
      <w:r>
        <w:rPr>
          <w:rFonts w:ascii="Arial" w:cs="Arial" w:eastAsia="Arial" w:hAnsi="Arial"/>
          <w:sz w:val="17"/>
          <w:szCs w:val="17"/>
          <w:color w:val="auto"/>
        </w:rPr>
        <w:t>” above (on page 19) for information about Messrs. Altman, Schlosstein and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Weinberg.</w:t>
      </w:r>
    </w:p>
    <w:p>
      <w:pPr>
        <w:spacing w:after="0" w:line="166" w:lineRule="exact"/>
        <w:rPr>
          <w:sz w:val="20"/>
          <w:szCs w:val="20"/>
          <w:color w:val="auto"/>
        </w:rPr>
      </w:pPr>
    </w:p>
    <w:p>
      <w:pPr>
        <w:ind w:left="220" w:firstLine="1745"/>
        <w:spacing w:after="0" w:line="294" w:lineRule="auto"/>
        <w:rPr>
          <w:sz w:val="20"/>
          <w:szCs w:val="20"/>
          <w:color w:val="auto"/>
        </w:rPr>
      </w:pPr>
      <w:r>
        <w:rPr>
          <w:rFonts w:ascii="Arial" w:cs="Arial" w:eastAsia="Arial" w:hAnsi="Arial"/>
          <w:sz w:val="16"/>
          <w:szCs w:val="16"/>
          <w:b w:val="1"/>
          <w:bCs w:val="1"/>
          <w:color w:val="auto"/>
        </w:rPr>
        <w:t xml:space="preserve">Edward S. Hyman </w:t>
      </w:r>
      <w:r>
        <w:rPr>
          <w:rFonts w:ascii="Arial" w:cs="Arial" w:eastAsia="Arial" w:hAnsi="Arial"/>
          <w:sz w:val="16"/>
          <w:szCs w:val="16"/>
          <w:color w:val="auto"/>
        </w:rPr>
        <w:t>(75) is Chairman of Evercore ISI and Vice Chairman of Evercore. Prior to joining Evercore ISI in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2014, Mr. Hyman was the Chairman and Founder of ISI Group, LLC and ISI Inc. Prior to forming both of these companies in 1991, Mr. Hyman was Vice Chairman and a member of the Board of C.J. Lawrence Inc., which he joined in 1972. He was an economic consultant at Data Resources, Inc. from 1969 to 1971. Mr. Hyman is a board member of China Institute and is a member of the Advisory Committee for The New York Public Library’s Financial Services Leadership Forum. He also serves on the Finance Committee of Bowdoin College and is a member of the Economic Club of New York. Mr. Hyman earned a B.S. in Engineering from the University of Texas in 1967 and received his M.B.A. from MIT in 1969.</w:t>
      </w:r>
    </w:p>
    <w:p>
      <w:pPr>
        <w:spacing w:after="0" w:line="133" w:lineRule="exact"/>
        <w:rPr>
          <w:sz w:val="20"/>
          <w:szCs w:val="20"/>
          <w:color w:val="auto"/>
        </w:rPr>
      </w:pPr>
    </w:p>
    <w:p>
      <w:pPr>
        <w:ind w:left="220" w:right="20" w:firstLine="1745"/>
        <w:spacing w:after="0" w:line="256" w:lineRule="auto"/>
        <w:rPr>
          <w:sz w:val="20"/>
          <w:szCs w:val="20"/>
          <w:color w:val="auto"/>
        </w:rPr>
      </w:pPr>
      <w:r>
        <w:rPr>
          <w:rFonts w:ascii="Arial" w:cs="Arial" w:eastAsia="Arial" w:hAnsi="Arial"/>
          <w:sz w:val="18"/>
          <w:szCs w:val="18"/>
          <w:b w:val="1"/>
          <w:bCs w:val="1"/>
          <w:color w:val="auto"/>
        </w:rPr>
        <w:t xml:space="preserve">Jason Klurfeld </w:t>
      </w:r>
      <w:r>
        <w:rPr>
          <w:rFonts w:ascii="Arial" w:cs="Arial" w:eastAsia="Arial" w:hAnsi="Arial"/>
          <w:sz w:val="18"/>
          <w:szCs w:val="18"/>
          <w:color w:val="auto"/>
        </w:rPr>
        <w:t>(47), General Counsel and Corporate Secretary, is responsible for our legal and compliance functions.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us in June 2011, Mr. Klurfeld was a corporate and transactional attorney, focusing primarily on mergers, acquisitions, financings, strategic investments and other matters at Sullivan &amp; Cromwell LLP in New York from 2006 to 2011 and at Skadden Arps, Slate, Meagher &amp; Flom LLP in Washington, D.C. from 2004 to 2006. Prior to that, he served in government as an aide to New York Senator Daniel Patrick Moynihan. Mr. Klurfeld earned a B.A. in economics from Hamilton College, a Masters in History from Oxford University (St. Antony’s College) and a J.D. from the University of Pennsylvania.</w:t>
      </w:r>
    </w:p>
    <w:p>
      <w:pPr>
        <w:spacing w:after="0" w:line="147" w:lineRule="exact"/>
        <w:rPr>
          <w:sz w:val="20"/>
          <w:szCs w:val="20"/>
          <w:color w:val="auto"/>
        </w:rPr>
      </w:pPr>
    </w:p>
    <w:p>
      <w:pPr>
        <w:ind w:left="220" w:right="80" w:firstLine="1745"/>
        <w:spacing w:after="0" w:line="255" w:lineRule="auto"/>
        <w:rPr>
          <w:sz w:val="20"/>
          <w:szCs w:val="20"/>
          <w:color w:val="auto"/>
        </w:rPr>
      </w:pPr>
      <w:r>
        <w:rPr>
          <w:rFonts w:ascii="Arial" w:cs="Arial" w:eastAsia="Arial" w:hAnsi="Arial"/>
          <w:sz w:val="18"/>
          <w:szCs w:val="18"/>
          <w:b w:val="1"/>
          <w:bCs w:val="1"/>
          <w:color w:val="auto"/>
        </w:rPr>
        <w:t xml:space="preserve">Robert B. Walsh </w:t>
      </w:r>
      <w:r>
        <w:rPr>
          <w:rFonts w:ascii="Arial" w:cs="Arial" w:eastAsia="Arial" w:hAnsi="Arial"/>
          <w:sz w:val="18"/>
          <w:szCs w:val="18"/>
          <w:color w:val="auto"/>
        </w:rPr>
        <w:t>(63), CFO, is responsible for our financial, tax, internal audit, information technology and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functions. Mr. Walsh was appointed CFO in June 2007. Prior to joining us, Mr. Walsh was a senior partner at Deloitte, our independent registered public accounting firm, where he had been employed for the previous 27 years. At Deloitte, Mr. Walsh was responsible for managing Deloitte’s relationship with a variety of leading financial services industry clients, served as deputy managing partner and was directly responsible for managing its national advisory services businesses. At Deloitte, Mr. Walsh did not have any responsibility for our account. Mr. Walsh received a B.S. in Accounting from Villanova University. Mr. Walsh currently serves on the board of directors of New York Cares and is a trustee of the Oak Knoll School of the Holy Child.</w:t>
      </w:r>
    </w:p>
    <w:p>
      <w:pPr>
        <w:spacing w:after="0" w:line="152"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In addition, we have included Mr. Sibbald’s biographical summary below, who ceased to be an executive officer as of</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January 1, 2020.</w:t>
      </w:r>
    </w:p>
    <w:p>
      <w:pPr>
        <w:spacing w:after="0" w:line="180" w:lineRule="exact"/>
        <w:rPr>
          <w:sz w:val="20"/>
          <w:szCs w:val="20"/>
          <w:color w:val="auto"/>
        </w:rPr>
      </w:pPr>
    </w:p>
    <w:p>
      <w:pPr>
        <w:ind w:left="220" w:right="40" w:firstLine="1745"/>
        <w:spacing w:after="0" w:line="289" w:lineRule="auto"/>
        <w:rPr>
          <w:sz w:val="20"/>
          <w:szCs w:val="20"/>
          <w:color w:val="auto"/>
        </w:rPr>
      </w:pPr>
      <w:r>
        <w:rPr>
          <w:rFonts w:ascii="Arial" w:cs="Arial" w:eastAsia="Arial" w:hAnsi="Arial"/>
          <w:sz w:val="16"/>
          <w:szCs w:val="16"/>
          <w:b w:val="1"/>
          <w:bCs w:val="1"/>
          <w:color w:val="auto"/>
        </w:rPr>
        <w:t xml:space="preserve">Andrew Sibbald </w:t>
      </w:r>
      <w:r>
        <w:rPr>
          <w:rFonts w:ascii="Arial" w:cs="Arial" w:eastAsia="Arial" w:hAnsi="Arial"/>
          <w:sz w:val="16"/>
          <w:szCs w:val="16"/>
          <w:color w:val="auto"/>
        </w:rPr>
        <w:t>(53) served as CEO of Evercore International and was an executive officer of the Company until January 1,</w:t>
      </w:r>
      <w:r>
        <w:rPr>
          <w:rFonts w:ascii="Arial" w:cs="Arial" w:eastAsia="Arial" w:hAnsi="Arial"/>
          <w:sz w:val="16"/>
          <w:szCs w:val="16"/>
          <w:b w:val="1"/>
          <w:bCs w:val="1"/>
          <w:color w:val="auto"/>
        </w:rPr>
        <w:t xml:space="preserve"> </w:t>
      </w:r>
      <w:r>
        <w:rPr>
          <w:rFonts w:ascii="Arial" w:cs="Arial" w:eastAsia="Arial" w:hAnsi="Arial"/>
          <w:sz w:val="16"/>
          <w:szCs w:val="16"/>
          <w:color w:val="auto"/>
        </w:rPr>
        <w:t>2020. Mr. Sibbald currently serves as the Chairman of Evercore International and was previously the co-founder, senior partner and a managing director of Lexicon, a leading U.K. independent investment banking advisory firm, which was acquired by Evercore in August of 2011. Upon the closing of that acquisition, Mr. Sibbald became the CEO of our European Advisory business. Mr. Sibbald co-founded Lexicon in 2000. From 1997 to 2000, Mr. Sibbald served as a managing director of the Financial Institutions Group at Donaldson, Lufkin &amp; Jenrette, where he led a team specializing in mergers and acquisitions in the financial institutions sector. From 1993 to 1997, he served as a Partner at The Phoenix Partnership, a corporate advisory and private equity business which was acquired by Donaldson, Lufkin &amp; Jenrette in 1997. Prior to joining The Phoenix Partnership, he worked in the Financial Institutions Group at Chemical Bank and the Financial Institutions Group at Manufacturers Hanover. Mr. Sibbald was a non-executive director of Homeserve Plc between 2007 and 2011. Mr. Sibbald has a B.Sc. (Hons) from Bristol University, U.K.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left="220" w:firstLine="1745"/>
        <w:spacing w:after="0" w:line="259" w:lineRule="auto"/>
        <w:rPr>
          <w:sz w:val="20"/>
          <w:szCs w:val="20"/>
          <w:color w:val="auto"/>
        </w:rPr>
      </w:pPr>
      <w:r>
        <w:rPr>
          <w:rFonts w:ascii="Arial" w:cs="Arial" w:eastAsia="Arial" w:hAnsi="Arial"/>
          <w:sz w:val="18"/>
          <w:szCs w:val="18"/>
          <w:color w:val="auto"/>
        </w:rPr>
        <w:t>Section 16(a) of the Exchange Act requires our directors and executive officers, and any persons who beneficially own more than 10% of our stock, to file with the SEC initial reports of ownership and reports of changes in ownership in our stock. Such persons are required by SEC regulations to furnish to us copies of all Section 16(a) forms they file. As a matter of practice, our administrative staff assists our directors and officers in preparing and filing such reports with the SEC.</w:t>
      </w:r>
    </w:p>
    <w:p>
      <w:pPr>
        <w:spacing w:after="0" w:line="146" w:lineRule="exact"/>
        <w:rPr>
          <w:sz w:val="20"/>
          <w:szCs w:val="20"/>
          <w:color w:val="auto"/>
        </w:rPr>
      </w:pPr>
    </w:p>
    <w:p>
      <w:pPr>
        <w:ind w:left="220" w:right="100" w:firstLine="1745"/>
        <w:spacing w:after="0" w:line="263" w:lineRule="auto"/>
        <w:rPr>
          <w:sz w:val="20"/>
          <w:szCs w:val="20"/>
          <w:color w:val="auto"/>
        </w:rPr>
      </w:pPr>
      <w:r>
        <w:rPr>
          <w:rFonts w:ascii="Arial" w:cs="Arial" w:eastAsia="Arial" w:hAnsi="Arial"/>
          <w:sz w:val="18"/>
          <w:szCs w:val="18"/>
          <w:color w:val="auto"/>
        </w:rPr>
        <w:t>To our knowledge, based solely on our review of copies of the reports received by us and written representations by these individuals that no other reports were required since January 1, 2019, except as previously disclosed, all such filings under Section 16(a) were timely filed.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16FF"/>
        </w:rPr>
        <w:t>RELATED PERSON TRANSACTIONS AND OTHER INFORMATION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Tax Receivable Agreement</w:t>
      </w:r>
    </w:p>
    <w:p>
      <w:pPr>
        <w:spacing w:after="0" w:line="189" w:lineRule="exact"/>
        <w:rPr>
          <w:sz w:val="20"/>
          <w:szCs w:val="20"/>
          <w:color w:val="auto"/>
        </w:rPr>
      </w:pPr>
    </w:p>
    <w:p>
      <w:pPr>
        <w:ind w:left="220" w:right="60" w:firstLine="1745"/>
        <w:spacing w:after="0" w:line="290" w:lineRule="auto"/>
        <w:rPr>
          <w:sz w:val="20"/>
          <w:szCs w:val="20"/>
          <w:color w:val="auto"/>
        </w:rPr>
      </w:pPr>
      <w:r>
        <w:rPr>
          <w:rFonts w:ascii="Arial" w:cs="Arial" w:eastAsia="Arial" w:hAnsi="Arial"/>
          <w:sz w:val="16"/>
          <w:szCs w:val="16"/>
          <w:color w:val="auto"/>
        </w:rPr>
        <w:t>Limited partnership units in Evercore LP are held by, among others, current and former SMDs who provided services to our predecessor entities prior to our 2006 initial public offering, which includes Messrs. Altman and Augusto Arellano. Limited partnership units in Evercore LP may be exchanged for shares of our Class A common stock on a one-for-one basis, subject to customary conversion rate adjustments for stock splits, stock dividends and reclassifications. Evercore LP has made and intends to make an election under Section 754 of the Code effective for each taxable year in which an exchange of limited partnership units for shares occurs, which may result in an adjustment to the tax basis of the assets owned by Evercore LP at the time of an exchange of limited partnership units. The exchanges have resulted and may in the future result in increases in the tax basis of the tangible and intangible assets of Evercore LP that otherwise would not have been available. These increases in tax basis increased and in the future would increase (for tax purposes) amortization and, therefore, reduce the amount of tax that we would otherwise be required to pay.</w:t>
      </w:r>
    </w:p>
    <w:p>
      <w:pPr>
        <w:spacing w:after="0" w:line="125" w:lineRule="exact"/>
        <w:rPr>
          <w:sz w:val="20"/>
          <w:szCs w:val="20"/>
          <w:color w:val="auto"/>
        </w:rPr>
      </w:pPr>
    </w:p>
    <w:p>
      <w:pPr>
        <w:ind w:left="220" w:right="60" w:firstLine="1745"/>
        <w:spacing w:after="0" w:line="287" w:lineRule="auto"/>
        <w:rPr>
          <w:sz w:val="20"/>
          <w:szCs w:val="20"/>
          <w:color w:val="auto"/>
        </w:rPr>
      </w:pPr>
      <w:r>
        <w:rPr>
          <w:rFonts w:ascii="Arial" w:cs="Arial" w:eastAsia="Arial" w:hAnsi="Arial"/>
          <w:sz w:val="16"/>
          <w:szCs w:val="16"/>
          <w:color w:val="auto"/>
        </w:rPr>
        <w:t>In connection with our IPO, we entered into a tax receivable agreement with certain of our current and former SMDs who were partners prior to our IPO and held Class A limited partnership units, including Messrs. Altman and Arellano, that provides for the payment by us to an exchanging Evercore partner of 85% of the amount of cash savings, if any, in U.S. federal, state and local income tax that we actually realize as a result of these increases in tax basis. We retain the economic benefit of the remaining 15% of cash savings, if any, of the tax benefits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 receivable agreement. The term of the tax receivable agreement will continue until all such tax benefits have been utilized or expired, unless we exercise our right to terminate the tax receivable agreement for an amount based on agreed payments remaining to be made under the agreement. In certain circumstances, we sold shares of Class A common stock in public offerings and used such cash consideration to acquire Evercore LP limited partnership units, which resulted in substantially similar rights and benefits under the tax receivable agreement as an exchange of Evercore LP limited partnership units for shares of Class A common stock.</w:t>
      </w:r>
    </w:p>
    <w:p>
      <w:pPr>
        <w:spacing w:after="0" w:line="145" w:lineRule="exact"/>
        <w:rPr>
          <w:sz w:val="20"/>
          <w:szCs w:val="20"/>
          <w:color w:val="auto"/>
        </w:rPr>
      </w:pPr>
    </w:p>
    <w:p>
      <w:pPr>
        <w:ind w:left="220" w:right="240" w:firstLine="1745"/>
        <w:spacing w:after="0" w:line="273" w:lineRule="auto"/>
        <w:rPr>
          <w:sz w:val="20"/>
          <w:szCs w:val="20"/>
          <w:color w:val="auto"/>
        </w:rPr>
      </w:pPr>
      <w:r>
        <w:rPr>
          <w:rFonts w:ascii="Arial" w:cs="Arial" w:eastAsia="Arial" w:hAnsi="Arial"/>
          <w:sz w:val="17"/>
          <w:szCs w:val="17"/>
          <w:color w:val="auto"/>
        </w:rPr>
        <w:t>While the actual amount and timing of any payments under this agreement will vary depending upon a number of factors, including the timing of exchanges, the extent to which such exchanges are taxable, the change in tax rates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such SMDs could be substantial. Although we are not aware of any issue that would cause the Internal Revenue Service to challenge a tax basis increase, we are not entitled to reimbursement for any payments previously made under the tax receivable agreement.</w:t>
      </w:r>
    </w:p>
    <w:p>
      <w:pPr>
        <w:spacing w:after="0" w:line="137" w:lineRule="exact"/>
        <w:rPr>
          <w:sz w:val="20"/>
          <w:szCs w:val="20"/>
          <w:color w:val="auto"/>
        </w:rPr>
      </w:pPr>
    </w:p>
    <w:p>
      <w:pPr>
        <w:ind w:left="220" w:right="360" w:firstLine="1745"/>
        <w:spacing w:after="0" w:line="263" w:lineRule="auto"/>
        <w:rPr>
          <w:sz w:val="20"/>
          <w:szCs w:val="20"/>
          <w:color w:val="auto"/>
        </w:rPr>
      </w:pPr>
      <w:r>
        <w:rPr>
          <w:rFonts w:ascii="Arial" w:cs="Arial" w:eastAsia="Arial" w:hAnsi="Arial"/>
          <w:sz w:val="18"/>
          <w:szCs w:val="18"/>
          <w:color w:val="auto"/>
        </w:rPr>
        <w:t>As a result of the acquisition of Evercore LP limited partnership units by Evercore since the IPO, certain SMDs, including certain executive officers, became entitled to payments under the tax receivable agreement. The following table shows the amount paid to our executive officers pursuant to the tax receivable agreement during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40" w:type="dxa"/>
            <w:vAlign w:val="bottom"/>
            <w:vMerge w:val="restart"/>
          </w:tcPr>
          <w:p>
            <w:pPr>
              <w:ind w:left="3620"/>
              <w:spacing w:after="0"/>
              <w:rPr>
                <w:sz w:val="20"/>
                <w:szCs w:val="20"/>
                <w:color w:val="auto"/>
              </w:rPr>
            </w:pPr>
            <w:r>
              <w:rPr>
                <w:rFonts w:ascii="Arial" w:cs="Arial" w:eastAsia="Arial" w:hAnsi="Arial"/>
                <w:sz w:val="18"/>
                <w:szCs w:val="18"/>
                <w:b w:val="1"/>
                <w:bCs w:val="1"/>
                <w:color w:val="0016FF"/>
              </w:rPr>
              <w:t>Name</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0016FF"/>
                <w:w w:val="89"/>
              </w:rPr>
              <w:t>Tax Receivable</w:t>
            </w:r>
          </w:p>
        </w:tc>
        <w:tc>
          <w:tcPr>
            <w:tcW w:w="0" w:type="dxa"/>
            <w:vAlign w:val="bottom"/>
          </w:tcPr>
          <w:p>
            <w:pPr>
              <w:spacing w:after="0"/>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0016FF"/>
                <w:w w:val="91"/>
              </w:rPr>
              <w:t>Payments During 2019</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C. Altman</w:t>
            </w:r>
          </w:p>
        </w:tc>
        <w:tc>
          <w:tcPr>
            <w:tcW w:w="2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1,324,055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Augusto Arellano</w:t>
            </w:r>
          </w:p>
        </w:tc>
        <w:tc>
          <w:tcPr>
            <w:tcW w:w="3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2780" w:type="dxa"/>
            <w:vAlign w:val="bottom"/>
            <w:gridSpan w:val="2"/>
          </w:tcPr>
          <w:p>
            <w:pPr>
              <w:jc w:val="right"/>
              <w:ind w:right="22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350"/>
        </w:trPr>
        <w:tc>
          <w:tcPr>
            <w:tcW w:w="4740" w:type="dxa"/>
            <w:vAlign w:val="bottom"/>
          </w:tcPr>
          <w:p>
            <w:pPr>
              <w:spacing w:after="0"/>
              <w:rPr>
                <w:sz w:val="24"/>
                <w:szCs w:val="24"/>
                <w:color w:val="auto"/>
              </w:rPr>
            </w:pPr>
          </w:p>
        </w:tc>
        <w:tc>
          <w:tcPr>
            <w:tcW w:w="2960" w:type="dxa"/>
            <w:vAlign w:val="bottom"/>
          </w:tcPr>
          <w:p>
            <w:pPr>
              <w:jc w:val="right"/>
              <w:ind w:right="20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Registration Rights Agreements</w:t>
      </w:r>
    </w:p>
    <w:p>
      <w:pPr>
        <w:spacing w:after="0" w:line="202" w:lineRule="exact"/>
        <w:rPr>
          <w:sz w:val="20"/>
          <w:szCs w:val="20"/>
          <w:color w:val="auto"/>
        </w:rPr>
      </w:pPr>
    </w:p>
    <w:p>
      <w:pPr>
        <w:ind w:left="220" w:right="140" w:firstLine="1745"/>
        <w:spacing w:after="0" w:line="273" w:lineRule="auto"/>
        <w:rPr>
          <w:sz w:val="20"/>
          <w:szCs w:val="20"/>
          <w:color w:val="auto"/>
        </w:rPr>
      </w:pPr>
      <w:r>
        <w:rPr>
          <w:rFonts w:ascii="Arial" w:cs="Arial" w:eastAsia="Arial" w:hAnsi="Arial"/>
          <w:sz w:val="17"/>
          <w:szCs w:val="17"/>
          <w:color w:val="auto"/>
        </w:rPr>
        <w:t>In connection with the IPO, we entered into a registration rights agreement with certain of our current and former SMDs who were partners prior to the IPO, pursuant to which we may be required to register the resale of shares of our Class A common stock held by certain current and former SMDs, including Mr. Altman, upon exchange of certain limited partnership units of Evercore LP held by such SMDs. The holders of these registration rights may require us to register the sale of their shares of Class A common stock and to make available shelf registration statements permitting sales of shares into the market from time to time over an extended period. In addition, such registration rights agreements provide for certain piggyback registration rights in connection with registered offerings of our common stock.</w:t>
      </w:r>
    </w:p>
    <w:p>
      <w:pPr>
        <w:spacing w:after="0" w:line="137" w:lineRule="exact"/>
        <w:rPr>
          <w:sz w:val="20"/>
          <w:szCs w:val="20"/>
          <w:color w:val="auto"/>
        </w:rPr>
      </w:pPr>
    </w:p>
    <w:p>
      <w:pPr>
        <w:ind w:left="220" w:right="40" w:firstLine="1745"/>
        <w:spacing w:after="0" w:line="259" w:lineRule="auto"/>
        <w:rPr>
          <w:sz w:val="20"/>
          <w:szCs w:val="20"/>
          <w:color w:val="auto"/>
        </w:rPr>
      </w:pPr>
      <w:r>
        <w:rPr>
          <w:rFonts w:ascii="Arial" w:cs="Arial" w:eastAsia="Arial" w:hAnsi="Arial"/>
          <w:sz w:val="18"/>
          <w:szCs w:val="18"/>
          <w:color w:val="auto"/>
        </w:rPr>
        <w:t>In addition, in connection with our acquisition of ISI, we granted registration rights to the former owners of ISI, including Mr. Hyman, requiring us to file a shelf registration statement covering the resale of shares of our Class A common stock received by them upon exchange of certain limited partnership units of Evercore LP, and giving Mr. Hyman certain piggyback registration rights in connection with registered offerings of our common stock.</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Relationship with our Former Private Equity Funds</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ECP</w:t>
      </w:r>
    </w:p>
    <w:p>
      <w:pPr>
        <w:spacing w:after="0" w:line="185" w:lineRule="exact"/>
        <w:rPr>
          <w:sz w:val="20"/>
          <w:szCs w:val="20"/>
          <w:color w:val="auto"/>
        </w:rPr>
      </w:pPr>
    </w:p>
    <w:p>
      <w:pPr>
        <w:ind w:left="220" w:firstLine="1745"/>
        <w:spacing w:after="0" w:line="286" w:lineRule="auto"/>
        <w:rPr>
          <w:sz w:val="20"/>
          <w:szCs w:val="20"/>
          <w:color w:val="auto"/>
        </w:rPr>
      </w:pPr>
      <w:r>
        <w:rPr>
          <w:rFonts w:ascii="Arial" w:cs="Arial" w:eastAsia="Arial" w:hAnsi="Arial"/>
          <w:sz w:val="16"/>
          <w:szCs w:val="16"/>
          <w:color w:val="auto"/>
        </w:rPr>
        <w:t>Prior to our IPO, Mr. Altman was awarded the right to receive a portion of the carried interest earned by the general partner of the ECP II private equity fund. Following our reorganization in connection with the IPO, the general partners of these funds are no longer our consolidated subsidiaries, and we do not treat carried interest received from these entities by our employees as compensation. On December 31, 2014, ECP II was terminated. At the time of ECP II’s dissolution, it still held residual interests in a limited number of portfolio companies. To the extent ECP</w:t>
      </w:r>
    </w:p>
    <w:p>
      <w:pPr>
        <w:spacing w:after="0" w:line="1" w:lineRule="exact"/>
        <w:rPr>
          <w:sz w:val="20"/>
          <w:szCs w:val="20"/>
          <w:color w:val="auto"/>
        </w:rPr>
      </w:pPr>
    </w:p>
    <w:p>
      <w:pPr>
        <w:jc w:val="both"/>
        <w:ind w:left="220" w:right="240" w:firstLine="6"/>
        <w:spacing w:after="0" w:line="292" w:lineRule="auto"/>
        <w:tabs>
          <w:tab w:leader="none" w:pos="3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would have been entitled to receive any distributions with respect to such residual interests, the general partner has undertaken to distribute to the ECP II investors the portion allocable to them (subject to payment of any expenses incurred or any reasonable reserves taken with respect to ECP II and its dissolution). Evercore LP, through its subsidiaries, is a non-managing member of the general partner of ECP II and is entitled to receive such payments based on the amount of capital in ECP II that it contributed or subsequently funded. ECP II had been fully distributed as of December 31, 2019. Mr. Altman’s aggregate contributions to and receipt of proceeds from ECP II in 2019 was less than $120,000.</w:t>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Glisco</w:t>
      </w:r>
    </w:p>
    <w:p>
      <w:pPr>
        <w:spacing w:after="0" w:line="198" w:lineRule="exact"/>
        <w:rPr>
          <w:sz w:val="20"/>
          <w:szCs w:val="20"/>
          <w:color w:val="auto"/>
        </w:rPr>
      </w:pPr>
    </w:p>
    <w:p>
      <w:pPr>
        <w:ind w:left="220" w:right="20" w:firstLine="1745"/>
        <w:spacing w:after="0" w:line="290" w:lineRule="auto"/>
        <w:rPr>
          <w:sz w:val="20"/>
          <w:szCs w:val="20"/>
          <w:color w:val="auto"/>
        </w:rPr>
      </w:pPr>
      <w:r>
        <w:rPr>
          <w:rFonts w:ascii="Arial" w:cs="Arial" w:eastAsia="Arial" w:hAnsi="Arial"/>
          <w:sz w:val="16"/>
          <w:szCs w:val="16"/>
          <w:color w:val="auto"/>
        </w:rPr>
        <w:t>In 2016, the Company and the principals of its Mexican private equity business entered into an agreement to transfer ownership of its Mexican private equity business and related entities to Glisco Partners Inc. (“</w:t>
      </w:r>
      <w:r>
        <w:rPr>
          <w:rFonts w:ascii="Arial" w:cs="Arial" w:eastAsia="Arial" w:hAnsi="Arial"/>
          <w:sz w:val="16"/>
          <w:szCs w:val="16"/>
          <w:i w:val="1"/>
          <w:iCs w:val="1"/>
          <w:color w:val="auto"/>
        </w:rPr>
        <w:t>Glisco</w:t>
      </w:r>
      <w:r>
        <w:rPr>
          <w:rFonts w:ascii="Arial" w:cs="Arial" w:eastAsia="Arial" w:hAnsi="Arial"/>
          <w:sz w:val="16"/>
          <w:szCs w:val="16"/>
          <w:color w:val="auto"/>
        </w:rPr>
        <w:t>”), which assumed all responsibility for the management of the existing funds Glisco II and Glisco III (formerly Evercore Mexico Capital Partners II and III, respectively). Glisco is controlled by the principals. These principals ceased to be employed by Evercore following this transaction. Pursuant to the terms of the transaction, the Company will receive a fixed percentage of the management fees earned by Glisco for a period of up to 10 years, as well as a portion of the carried interest in the next two successor funds. The Company committed to invest capital in those successor funds consistent with the level of carried interest it owns and will retain its carried interest and its capital interests in the existing funds. The Company is entitled to 20% of the carried interest in such successor funds. In conjunction with this transaction, the Company entered into a transition services agreement to provide operational support to Glisco.</w:t>
      </w:r>
    </w:p>
    <w:p>
      <w:pPr>
        <w:spacing w:after="0" w:line="125" w:lineRule="exact"/>
        <w:rPr>
          <w:sz w:val="20"/>
          <w:szCs w:val="20"/>
          <w:color w:val="auto"/>
        </w:rPr>
      </w:pPr>
    </w:p>
    <w:p>
      <w:pPr>
        <w:ind w:left="220" w:right="20" w:firstLine="1745"/>
        <w:spacing w:after="0" w:line="279" w:lineRule="auto"/>
        <w:rPr>
          <w:sz w:val="20"/>
          <w:szCs w:val="20"/>
          <w:color w:val="auto"/>
        </w:rPr>
      </w:pPr>
      <w:r>
        <w:rPr>
          <w:rFonts w:ascii="Arial" w:cs="Arial" w:eastAsia="Arial" w:hAnsi="Arial"/>
          <w:sz w:val="17"/>
          <w:szCs w:val="17"/>
          <w:color w:val="auto"/>
        </w:rPr>
        <w:t>Following this transaction, the Company ceased to have a general partner’s interest in and deconsolidated GCP II and III (formerly Evercore Mexico Partners II and III), the general partners of Glisco II and Glisco III, respectively, and related subsidiaries. Evercore LP, through its subsidiaries, maintained an interest in the general partner of Glisco II and Glisco III and is entitled to (i) 50% of the carried interest realized from Glisco II and 45% of the carried interest realized from Glisco III and (ii) as an indirect investor in Glisco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60" w:firstLine="6"/>
        <w:spacing w:after="0" w:line="259" w:lineRule="auto"/>
        <w:tabs>
          <w:tab w:leader="none" w:pos="3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Glisco III, gains (or losses) on investments made by Glisco II and Glisco III based on the amount of capital that Evercore LP or its subsidiaries contributed or subsequently funded. For Glisco II and Glisco III, we will include as consolidated revenue all realized and unrealized carried interest earned by the general partners of Glisco II and Glisco III, although a portion of the carried interest is allocated to employees, including Mr. Arellano, and such amounts are recorded as compensation expense.</w:t>
      </w:r>
    </w:p>
    <w:p>
      <w:pPr>
        <w:spacing w:after="0" w:line="160" w:lineRule="exact"/>
        <w:rPr>
          <w:sz w:val="20"/>
          <w:szCs w:val="20"/>
          <w:color w:val="auto"/>
        </w:rPr>
      </w:pPr>
    </w:p>
    <w:p>
      <w:pPr>
        <w:ind w:left="220" w:right="160" w:firstLine="1745"/>
        <w:spacing w:after="0" w:line="269" w:lineRule="auto"/>
        <w:rPr>
          <w:sz w:val="20"/>
          <w:szCs w:val="20"/>
          <w:color w:val="auto"/>
        </w:rPr>
      </w:pPr>
      <w:r>
        <w:rPr>
          <w:rFonts w:ascii="Arial" w:cs="Arial" w:eastAsia="Arial" w:hAnsi="Arial"/>
          <w:sz w:val="17"/>
          <w:szCs w:val="17"/>
          <w:color w:val="auto"/>
        </w:rPr>
        <w:t>Carried interest entitles the general partners of Glisco II and Glisco III to a specified percentage of net investment gains that are generated on the capital invested by third-party investors in Glisco II and Glisco III. The general partners of each of Glisco II and Glisco III are entitled to a carried interest that allocates them 20% of the net investment gains realized on capital invested in Glisco II and Glisco III by third-party investors. Each of Glisco II and Glisco III includes a performance hurdle which requires them to return 8%, compounded annually, to third-party investors prior to the general partners receiving their 20% share of net profits realized by the third-party investors. The ultimate values of carried interest with respect to Glisco II and Glisco III are not determinable until the investments have been fully divested or otherwise monetized by the relevant fund, a process that can take many years. For Glisco II and Glisco III, carried interest is allocated on a fund-wide basis rather than on an investment-by-investment basis, and the vesting of carried interest for Glisco II and Glisco III is tied to the formation of the fund and other vesting thresholds. No carried interest will be paid to employees until such time as the carried interest is actually received by the general partners of Glisco II and Glisco III. Carried interest for Glisco II and Glisco III is subject to vesting, generally over a period of four years, and may only be transferred under limited circumstances.</w:t>
      </w:r>
    </w:p>
    <w:p>
      <w:pPr>
        <w:spacing w:after="0" w:line="14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Transactions with Our Mexican Private Equity Investments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Our investments in Glisco II and Glisco III as of December 31, 2019 were as follows: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920" w:type="dxa"/>
            <w:vAlign w:val="bottom"/>
            <w:vMerge w:val="restart"/>
          </w:tcPr>
          <w:p>
            <w:pPr>
              <w:ind w:left="2840"/>
              <w:spacing w:after="0"/>
              <w:rPr>
                <w:sz w:val="20"/>
                <w:szCs w:val="20"/>
                <w:color w:val="auto"/>
              </w:rPr>
            </w:pPr>
            <w:r>
              <w:rPr>
                <w:rFonts w:ascii="Arial" w:cs="Arial" w:eastAsia="Arial" w:hAnsi="Arial"/>
                <w:sz w:val="18"/>
                <w:szCs w:val="18"/>
                <w:b w:val="1"/>
                <w:bCs w:val="1"/>
                <w:color w:val="0016FF"/>
              </w:rPr>
              <w:t>Mexico Private Equity Funds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0016FF"/>
                <w:w w:val="91"/>
              </w:rPr>
              <w:t>Investments in Private</w:t>
            </w:r>
          </w:p>
        </w:tc>
        <w:tc>
          <w:tcPr>
            <w:tcW w:w="0" w:type="dxa"/>
            <w:vAlign w:val="bottom"/>
          </w:tcPr>
          <w:p>
            <w:pPr>
              <w:spacing w:after="0"/>
              <w:rPr>
                <w:sz w:val="1"/>
                <w:szCs w:val="1"/>
                <w:color w:val="auto"/>
              </w:rPr>
            </w:pPr>
          </w:p>
        </w:tc>
      </w:tr>
      <w:tr>
        <w:trPr>
          <w:trHeight w:val="234"/>
        </w:trPr>
        <w:tc>
          <w:tcPr>
            <w:tcW w:w="79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0016FF"/>
                <w:w w:val="91"/>
              </w:rPr>
              <w:t>Equity Funds</w:t>
            </w:r>
          </w:p>
        </w:tc>
        <w:tc>
          <w:tcPr>
            <w:tcW w:w="0" w:type="dxa"/>
            <w:vAlign w:val="bottom"/>
          </w:tcPr>
          <w:p>
            <w:pPr>
              <w:spacing w:after="0"/>
              <w:rPr>
                <w:sz w:val="1"/>
                <w:szCs w:val="1"/>
                <w:color w:val="auto"/>
              </w:rPr>
            </w:pPr>
          </w:p>
        </w:tc>
      </w:tr>
      <w:tr>
        <w:trPr>
          <w:trHeight w:val="210"/>
        </w:trPr>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Glisco II</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2,819,316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Glisco III</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939,219</w:t>
            </w:r>
          </w:p>
        </w:tc>
        <w:tc>
          <w:tcPr>
            <w:tcW w:w="0" w:type="dxa"/>
            <w:vAlign w:val="bottom"/>
          </w:tcPr>
          <w:p>
            <w:pPr>
              <w:spacing w:after="0"/>
              <w:rPr>
                <w:sz w:val="1"/>
                <w:szCs w:val="1"/>
                <w:color w:val="auto"/>
              </w:rPr>
            </w:pPr>
          </w:p>
        </w:tc>
      </w:tr>
      <w:tr>
        <w:trPr>
          <w:trHeight w:val="391"/>
        </w:trPr>
        <w:tc>
          <w:tcPr>
            <w:tcW w:w="7920" w:type="dxa"/>
            <w:vAlign w:val="bottom"/>
          </w:tcPr>
          <w:p>
            <w:pPr>
              <w:ind w:left="1860"/>
              <w:spacing w:after="0"/>
              <w:rPr>
                <w:sz w:val="20"/>
                <w:szCs w:val="20"/>
                <w:color w:val="auto"/>
              </w:rPr>
            </w:pPr>
            <w:r>
              <w:rPr>
                <w:rFonts w:ascii="Arial" w:cs="Arial" w:eastAsia="Arial" w:hAnsi="Arial"/>
                <w:sz w:val="18"/>
                <w:szCs w:val="18"/>
                <w:color w:val="auto"/>
              </w:rPr>
              <w:t>The investment period has lapsed for Glisco II and Glisco III.</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right="20" w:firstLine="1745"/>
        <w:spacing w:after="0" w:line="293" w:lineRule="auto"/>
        <w:rPr>
          <w:sz w:val="20"/>
          <w:szCs w:val="20"/>
          <w:color w:val="auto"/>
        </w:rPr>
      </w:pPr>
      <w:r>
        <w:rPr>
          <w:rFonts w:ascii="Arial" w:cs="Arial" w:eastAsia="Arial" w:hAnsi="Arial"/>
          <w:sz w:val="16"/>
          <w:szCs w:val="16"/>
          <w:color w:val="auto"/>
        </w:rPr>
        <w:t>Certain employees and current and former SMDs, including Messrs. Arellano, Schlosstein and Walsh, have also invested (either directly or through estate planning vehicles) their own capital through the general partners. These interests in the general partner of the Mexico Private Equity Funds are not subject to management fees or carried interest. These investment opportunities have been available to our SMDs and to those of our employees whom we have determined to have a status that reasonably permits us to offer them these types of investments in compliance with applicable laws. Each executive officer’s aggregate contributions to and receipt of proceeds from the Mexico Private Equity Funds in 2019 was less than $120,000. For 2019, there were no payments in respect of carried interest received by the general partner of our Mexico Private Equity Funds.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Relationship with Trilantic</w:t>
      </w:r>
    </w:p>
    <w:p>
      <w:pPr>
        <w:spacing w:after="0" w:line="202" w:lineRule="exact"/>
        <w:rPr>
          <w:sz w:val="20"/>
          <w:szCs w:val="20"/>
          <w:color w:val="auto"/>
        </w:rPr>
      </w:pPr>
    </w:p>
    <w:p>
      <w:pPr>
        <w:ind w:left="220" w:right="20" w:firstLine="1745"/>
        <w:spacing w:after="0" w:line="275" w:lineRule="auto"/>
        <w:rPr>
          <w:sz w:val="20"/>
          <w:szCs w:val="20"/>
          <w:color w:val="auto"/>
        </w:rPr>
      </w:pPr>
      <w:r>
        <w:rPr>
          <w:rFonts w:ascii="Arial" w:cs="Arial" w:eastAsia="Arial" w:hAnsi="Arial"/>
          <w:sz w:val="17"/>
          <w:szCs w:val="17"/>
          <w:color w:val="auto"/>
        </w:rPr>
        <w:t>We formed a strategic alliance with Trilantic to pursue private equity investment opportunities with Trilantic and to collaborate on the future growth of Trilantic’s business in 2010 and expanded our relationship on April 22, 2013 through a supplement agreement. As part of the original agreement and the supplement, we agreed to use commercially reasonable efforts to source investment opportunities for Trilantic IV and Trilantic V, and Trilantic agreed to use commercially reasonable efforts to refer to us mergers and acquisitions advisory services or restructuring advisory services from time to time with respect to selected portfolio companies of these Trilantic Funds.</w:t>
      </w:r>
    </w:p>
    <w:p>
      <w:pPr>
        <w:spacing w:after="0" w:line="136" w:lineRule="exact"/>
        <w:rPr>
          <w:sz w:val="20"/>
          <w:szCs w:val="20"/>
          <w:color w:val="auto"/>
        </w:rPr>
      </w:pPr>
    </w:p>
    <w:p>
      <w:pPr>
        <w:ind w:left="220" w:right="300" w:firstLine="1745"/>
        <w:spacing w:after="0" w:line="277" w:lineRule="auto"/>
        <w:rPr>
          <w:sz w:val="20"/>
          <w:szCs w:val="20"/>
          <w:color w:val="auto"/>
        </w:rPr>
      </w:pPr>
      <w:r>
        <w:rPr>
          <w:rFonts w:ascii="Arial" w:cs="Arial" w:eastAsia="Arial" w:hAnsi="Arial"/>
          <w:sz w:val="18"/>
          <w:szCs w:val="18"/>
          <w:color w:val="auto"/>
        </w:rPr>
        <w:t>In exchange for 500,000 Evercore LP limited partnership units that were later converted into 500,000 shares of our Class A common stock and sold, we received a minority economic interest in Trilantic</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75" w:lineRule="auto"/>
        <w:rPr>
          <w:sz w:val="20"/>
          <w:szCs w:val="20"/>
          <w:color w:val="auto"/>
        </w:rPr>
      </w:pPr>
      <w:r>
        <w:rPr>
          <w:rFonts w:ascii="Arial" w:cs="Arial" w:eastAsia="Arial" w:hAnsi="Arial"/>
          <w:sz w:val="17"/>
          <w:szCs w:val="17"/>
          <w:color w:val="auto"/>
        </w:rPr>
        <w:t>and the right to invest in Trilantic’s current and future private equity funds, beginning with Trilantic IV. In connection with the issuance of such limited partnership interests in Trilantic, we became a limited partner of Trilantic and are entitled to receive 10% of the aggregate amount of carried interest in respect of all of the portfolio investments made by Trilantic IV, up to $15 million. In addition, we committed $5 million of the total capital commitments of Trilantic V. As of December 31, 2019, the carrying value of our investment in Trilantic was $6,762,207, the carrying value of our investment in Trilantic IV was $104,518 and the carrying value of our investment in Trilantic V was $4,212,588.</w:t>
      </w:r>
    </w:p>
    <w:p>
      <w:pPr>
        <w:spacing w:after="0" w:line="149" w:lineRule="exact"/>
        <w:rPr>
          <w:sz w:val="20"/>
          <w:szCs w:val="20"/>
          <w:color w:val="auto"/>
        </w:rPr>
      </w:pPr>
    </w:p>
    <w:p>
      <w:pPr>
        <w:ind w:left="220" w:right="40" w:firstLine="1745"/>
        <w:spacing w:after="0" w:line="259" w:lineRule="auto"/>
        <w:rPr>
          <w:sz w:val="20"/>
          <w:szCs w:val="20"/>
          <w:color w:val="auto"/>
        </w:rPr>
      </w:pPr>
      <w:r>
        <w:rPr>
          <w:rFonts w:ascii="Arial" w:cs="Arial" w:eastAsia="Arial" w:hAnsi="Arial"/>
          <w:sz w:val="18"/>
          <w:szCs w:val="18"/>
          <w:color w:val="auto"/>
        </w:rPr>
        <w:t>Separately, certain of our SMDs (either directly or through estate planning vehicles) have committed to invest up to $15 million in Trilantic V. In 2019, Messrs. Schlosstein and Walsh made contributions to Trilantic V of $205,508 and $35,525, respectively, and received distributions of $527,401 and $86,536, respectively. Each other executive officer’s aggregate contributions to and receipt of proceeds in 2019 from Trilantic V was less than $120,000.</w:t>
      </w:r>
    </w:p>
    <w:p>
      <w:pPr>
        <w:spacing w:after="0" w:line="146" w:lineRule="exact"/>
        <w:rPr>
          <w:sz w:val="20"/>
          <w:szCs w:val="20"/>
          <w:color w:val="auto"/>
        </w:rPr>
      </w:pPr>
    </w:p>
    <w:p>
      <w:pPr>
        <w:ind w:left="220" w:right="640" w:firstLine="1745"/>
        <w:spacing w:after="0" w:line="461" w:lineRule="auto"/>
        <w:rPr>
          <w:sz w:val="20"/>
          <w:szCs w:val="20"/>
          <w:color w:val="auto"/>
        </w:rPr>
      </w:pPr>
      <w:r>
        <w:rPr>
          <w:rFonts w:ascii="Arial" w:cs="Arial" w:eastAsia="Arial" w:hAnsi="Arial"/>
          <w:sz w:val="18"/>
          <w:szCs w:val="18"/>
          <w:color w:val="auto"/>
        </w:rPr>
        <w:t xml:space="preserve">We and our affiliates are passive investors and do not participate in the management of any Trilantic-sponsored funds. </w:t>
      </w:r>
      <w:r>
        <w:rPr>
          <w:rFonts w:ascii="Arial" w:cs="Arial" w:eastAsia="Arial" w:hAnsi="Arial"/>
          <w:sz w:val="18"/>
          <w:szCs w:val="18"/>
          <w:b w:val="1"/>
          <w:bCs w:val="1"/>
          <w:color w:val="auto"/>
        </w:rPr>
        <w:t>Evercore LP Partnership Agreement</w:t>
      </w:r>
    </w:p>
    <w:p>
      <w:pPr>
        <w:spacing w:after="0" w:line="1" w:lineRule="exact"/>
        <w:rPr>
          <w:sz w:val="20"/>
          <w:szCs w:val="20"/>
          <w:color w:val="auto"/>
        </w:rPr>
      </w:pPr>
    </w:p>
    <w:p>
      <w:pPr>
        <w:ind w:left="220" w:right="40" w:firstLine="1745"/>
        <w:spacing w:after="0" w:line="259" w:lineRule="auto"/>
        <w:rPr>
          <w:sz w:val="20"/>
          <w:szCs w:val="20"/>
          <w:color w:val="auto"/>
        </w:rPr>
      </w:pPr>
      <w:r>
        <w:rPr>
          <w:rFonts w:ascii="Arial" w:cs="Arial" w:eastAsia="Arial" w:hAnsi="Arial"/>
          <w:sz w:val="18"/>
          <w:szCs w:val="18"/>
          <w:color w:val="auto"/>
        </w:rPr>
        <w:t>We operate our business through Evercore LP and its subsidiaries and affiliates. As the general partner of Evercore LP, we have unilateral control over all of the affairs and decision making of Evercore LP. As such, we, through our officers, are responsible for all operational and administrative decisions of Evercore LP and the day-to-day management of Evercore LP’s business. Furthermore, we cannot be removed as the general partner of Evercore LP without our approval.</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Distributions</w:t>
      </w:r>
    </w:p>
    <w:p>
      <w:pPr>
        <w:spacing w:after="0" w:line="185" w:lineRule="exact"/>
        <w:rPr>
          <w:sz w:val="20"/>
          <w:szCs w:val="20"/>
          <w:color w:val="auto"/>
        </w:rPr>
      </w:pPr>
    </w:p>
    <w:p>
      <w:pPr>
        <w:ind w:left="220" w:right="120" w:firstLine="1745"/>
        <w:spacing w:after="0" w:line="296" w:lineRule="auto"/>
        <w:rPr>
          <w:sz w:val="20"/>
          <w:szCs w:val="20"/>
          <w:color w:val="auto"/>
        </w:rPr>
      </w:pPr>
      <w:r>
        <w:rPr>
          <w:rFonts w:ascii="Arial" w:cs="Arial" w:eastAsia="Arial" w:hAnsi="Arial"/>
          <w:sz w:val="16"/>
          <w:szCs w:val="16"/>
          <w:color w:val="auto"/>
        </w:rPr>
        <w:t>Pursuant to the Partnership Agreement of Evercore LP, we have the right to determine when distributions will be made to the partners of Evercore LP and the amount of any such distributions. If we authorize a distribution, such distribution will be made to the partners of Evercore LP (1) in the case of a tax distribution (as described below), to the holders of limited partnership units and interests in proportion to the amount of taxable income of Evercore LP allocated to such holder and (2) in the case of other distributions, pro-rata in accordance with the percentages of the holders’ respective limited partnership units (provided that holders of Class I-P and K-P units are not entitled to distributions).</w:t>
      </w:r>
    </w:p>
    <w:p>
      <w:pPr>
        <w:spacing w:after="0" w:line="134" w:lineRule="exact"/>
        <w:rPr>
          <w:sz w:val="20"/>
          <w:szCs w:val="20"/>
          <w:color w:val="auto"/>
        </w:rPr>
      </w:pPr>
    </w:p>
    <w:p>
      <w:pPr>
        <w:ind w:left="220" w:right="100" w:firstLine="1745"/>
        <w:spacing w:after="0" w:line="269" w:lineRule="auto"/>
        <w:rPr>
          <w:sz w:val="20"/>
          <w:szCs w:val="20"/>
          <w:color w:val="auto"/>
        </w:rPr>
      </w:pPr>
      <w:r>
        <w:rPr>
          <w:rFonts w:ascii="Arial" w:cs="Arial" w:eastAsia="Arial" w:hAnsi="Arial"/>
          <w:sz w:val="17"/>
          <w:szCs w:val="17"/>
          <w:color w:val="auto"/>
        </w:rPr>
        <w:t>The holders of limited partnership units and interests in Evercore LP will incur U.S. federal, state and local income taxes and foreign taxes on their proportionate share of any net taxable income of Evercore LP. Net profits and net losses of Evercore LP will generally be allocated to its partners pro-rata in accordance with the percentages of their respective limited partnership units and interests. The Partnership Agreement provides for cash distributions to the partners of Evercore LP if we determine that the taxable income of Evercore LP will give rise to taxable income for its partners. In accordance with the Partnership Agreement, we intend to cause Evercore LP to make cash distributions to the holders of limited partnership units and interests of Evercore LP for purposes of funding their tax obligations in respect of the income of Evercore LP that is allocated to them. Generally, these tax distributions will be computed based on our estimate of the net taxable income of Evercore LP allocable to such holder of limited partnership units and interests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45" w:lineRule="exact"/>
        <w:rPr>
          <w:sz w:val="20"/>
          <w:szCs w:val="20"/>
          <w:color w:val="auto"/>
        </w:rPr>
      </w:pPr>
    </w:p>
    <w:p>
      <w:pPr>
        <w:ind w:left="220" w:right="660" w:firstLine="1745"/>
        <w:spacing w:after="0" w:line="277" w:lineRule="auto"/>
        <w:rPr>
          <w:sz w:val="20"/>
          <w:szCs w:val="20"/>
          <w:color w:val="auto"/>
        </w:rPr>
      </w:pPr>
      <w:r>
        <w:rPr>
          <w:rFonts w:ascii="Arial" w:cs="Arial" w:eastAsia="Arial" w:hAnsi="Arial"/>
          <w:sz w:val="18"/>
          <w:szCs w:val="18"/>
          <w:color w:val="auto"/>
        </w:rPr>
        <w:t>For 2019, Messrs. Altman, Hyman and Schlosstein received $1,465,677, $4,959,503, and $1,232,000, respectively, as distributions on limited partnership units.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Dissolution</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Evercore LP may be dissolved only upon the occurrence of certain unlikely events specified in the Partnership Agreement.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Upon dissolution, Evercore LP will be liquidated and the proceeds from any liquidation shall be applied and distributed in the following order:</w:t>
      </w:r>
    </w:p>
    <w:p>
      <w:pPr>
        <w:spacing w:after="0" w:line="222" w:lineRule="exact"/>
        <w:rPr>
          <w:sz w:val="20"/>
          <w:szCs w:val="20"/>
          <w:color w:val="auto"/>
        </w:rPr>
      </w:pPr>
    </w:p>
    <w:p>
      <w:pPr>
        <w:ind w:left="660" w:hanging="436"/>
        <w:spacing w:after="0"/>
        <w:tabs>
          <w:tab w:leader="none" w:pos="660" w:val="left"/>
        </w:tabs>
        <w:numPr>
          <w:ilvl w:val="0"/>
          <w:numId w:val="30"/>
        </w:numPr>
        <w:rPr>
          <w:rFonts w:ascii="Arial" w:cs="Arial" w:eastAsia="Arial" w:hAnsi="Arial"/>
          <w:sz w:val="18"/>
          <w:szCs w:val="18"/>
          <w:color w:val="0A26FF"/>
        </w:rPr>
      </w:pPr>
      <w:r>
        <w:rPr>
          <w:rFonts w:ascii="Arial" w:cs="Arial" w:eastAsia="Arial" w:hAnsi="Arial"/>
          <w:sz w:val="18"/>
          <w:szCs w:val="18"/>
          <w:color w:val="auto"/>
        </w:rPr>
        <w:t>First, to pay the debts, liabilities and expenses of Evercore LP;</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30"/>
        </w:numPr>
        <w:rPr>
          <w:rFonts w:ascii="Arial" w:cs="Arial" w:eastAsia="Arial" w:hAnsi="Arial"/>
          <w:sz w:val="18"/>
          <w:szCs w:val="18"/>
          <w:color w:val="0A26FF"/>
        </w:rPr>
      </w:pPr>
      <w:r>
        <w:rPr>
          <w:rFonts w:ascii="Arial" w:cs="Arial" w:eastAsia="Arial" w:hAnsi="Arial"/>
          <w:sz w:val="18"/>
          <w:szCs w:val="18"/>
          <w:color w:val="auto"/>
        </w:rPr>
        <w:t>Second, as reserve cash for contingent liabilities of Evercore LP; and</w:t>
      </w:r>
    </w:p>
    <w:p>
      <w:pPr>
        <w:spacing w:after="0" w:line="225" w:lineRule="exact"/>
        <w:rPr>
          <w:rFonts w:ascii="Arial" w:cs="Arial" w:eastAsia="Arial" w:hAnsi="Arial"/>
          <w:sz w:val="18"/>
          <w:szCs w:val="18"/>
          <w:color w:val="0A26FF"/>
        </w:rPr>
      </w:pPr>
    </w:p>
    <w:p>
      <w:pPr>
        <w:ind w:left="660" w:hanging="436"/>
        <w:spacing w:after="0"/>
        <w:tabs>
          <w:tab w:leader="none" w:pos="660" w:val="left"/>
        </w:tabs>
        <w:numPr>
          <w:ilvl w:val="0"/>
          <w:numId w:val="30"/>
        </w:numPr>
        <w:rPr>
          <w:rFonts w:ascii="Arial" w:cs="Arial" w:eastAsia="Arial" w:hAnsi="Arial"/>
          <w:sz w:val="18"/>
          <w:szCs w:val="18"/>
          <w:color w:val="0A26FF"/>
        </w:rPr>
      </w:pPr>
      <w:r>
        <w:rPr>
          <w:rFonts w:ascii="Arial" w:cs="Arial" w:eastAsia="Arial" w:hAnsi="Arial"/>
          <w:sz w:val="18"/>
          <w:szCs w:val="18"/>
          <w:color w:val="auto"/>
        </w:rPr>
        <w:t>Third, pro-rata in respect of all partnership units, as set forth in Section 9.03 of the Partnership Agreement.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Use of Corporate Aircraft</w:t>
      </w:r>
    </w:p>
    <w:p>
      <w:pPr>
        <w:spacing w:after="0" w:line="189" w:lineRule="exact"/>
        <w:rPr>
          <w:sz w:val="20"/>
          <w:szCs w:val="20"/>
          <w:color w:val="auto"/>
        </w:rPr>
      </w:pPr>
    </w:p>
    <w:p>
      <w:pPr>
        <w:ind w:left="220" w:right="580" w:firstLine="1745"/>
        <w:spacing w:after="0" w:line="277" w:lineRule="auto"/>
        <w:rPr>
          <w:sz w:val="20"/>
          <w:szCs w:val="20"/>
          <w:color w:val="auto"/>
        </w:rPr>
      </w:pPr>
      <w:r>
        <w:rPr>
          <w:rFonts w:ascii="Arial" w:cs="Arial" w:eastAsia="Arial" w:hAnsi="Arial"/>
          <w:sz w:val="18"/>
          <w:szCs w:val="18"/>
          <w:color w:val="auto"/>
        </w:rPr>
        <w:t>For security, safety and health reasons, our Board adopted a policy requiring our Senior Chairman, CEO and Executive Chairman to use business aircraft for certain business air travel to the extent practical.</w:t>
      </w:r>
    </w:p>
    <w:p>
      <w:pPr>
        <w:spacing w:after="0" w:line="143" w:lineRule="exact"/>
        <w:rPr>
          <w:sz w:val="20"/>
          <w:szCs w:val="20"/>
          <w:color w:val="auto"/>
        </w:rPr>
      </w:pPr>
    </w:p>
    <w:p>
      <w:pPr>
        <w:ind w:left="220" w:firstLine="1745"/>
        <w:spacing w:after="0" w:line="269" w:lineRule="auto"/>
        <w:rPr>
          <w:sz w:val="20"/>
          <w:szCs w:val="20"/>
          <w:color w:val="auto"/>
        </w:rPr>
      </w:pPr>
      <w:r>
        <w:rPr>
          <w:rFonts w:ascii="Arial" w:cs="Arial" w:eastAsia="Arial" w:hAnsi="Arial"/>
          <w:sz w:val="17"/>
          <w:szCs w:val="17"/>
          <w:color w:val="auto"/>
        </w:rPr>
        <w:t>While the primary use of business aircraft is for business purposes, because of the benefit afforded to us in terms of security and productivity while traveling for personal reasons, we allow Messrs. Altman, Schlosstein and Weinberg to use the aircraft for personal travel, when the aircraft are not being used for Company business. Under these arrangements, Messrs. Altman, Schlosstein and Weinberg must reimburse us for the incremental cost associated with their personal use of the aircraft. Mr. Weinberg did not use the aircraft for personal travel in 2019, and Messrs. Altman and Schlosstein reimbursed us for their personal use of the aircraft in 2019 in amounts equal to $453,264 and $357,783, respectively, which equaled or exceeded the incremental costs associated with such use. Depending on the nature of the aircraft and applicable regulatory guidelines, the required amount of reimbursement was calculated by assessing either (i) the maximum amount of reimbursement allowed by Federal Aviation Administration rules (including enumerated direct costs such as fuel, crew travel expenses, landing fees, flight planning and an additional amount equal to 100% of fuel costs) or (ii) 100% of the costs charged to the Company by certificated air carriers/fractional program operators for personal flights, including a proportionate share of the annual management fees (where applicable). In addition, on limited occasion, we have allowed a business-related flight to deviate and land at an airport other than its destination to drop-off or pick-up a non-business traveler, without such change in destination being treated as an incremental cost.</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Transactions with Other 5% Shareholders</w:t>
      </w:r>
    </w:p>
    <w:p>
      <w:pPr>
        <w:spacing w:after="0" w:line="189" w:lineRule="exact"/>
        <w:rPr>
          <w:sz w:val="20"/>
          <w:szCs w:val="20"/>
          <w:color w:val="auto"/>
        </w:rPr>
      </w:pPr>
    </w:p>
    <w:p>
      <w:pPr>
        <w:ind w:left="220" w:right="80" w:firstLine="1745"/>
        <w:spacing w:after="0" w:line="301" w:lineRule="auto"/>
        <w:rPr>
          <w:sz w:val="20"/>
          <w:szCs w:val="20"/>
          <w:color w:val="auto"/>
        </w:rPr>
      </w:pPr>
      <w:r>
        <w:rPr>
          <w:rFonts w:ascii="Arial" w:cs="Arial" w:eastAsia="Arial" w:hAnsi="Arial"/>
          <w:sz w:val="16"/>
          <w:szCs w:val="16"/>
          <w:color w:val="auto"/>
        </w:rPr>
        <w:t>From time to time, we engage in ordinary course transactions with entities or affiliates of entities that are the beneficial owner of more than 5% of our outstanding common stock. For example, BlackRock and Vanguard are clients of our Institutional Equities business and BlackRock is an investor in Glisco II. All of our transactions with these 5% holders and their affiliates were arms-length transactions entered into in the ordinary course of business, with management and other fees based on the prevailing rates for non-related persons.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Ordinary Course Transactions with Executive Officers and Directors</w:t>
      </w:r>
    </w:p>
    <w:p>
      <w:pPr>
        <w:spacing w:after="0" w:line="189" w:lineRule="exact"/>
        <w:rPr>
          <w:sz w:val="20"/>
          <w:szCs w:val="20"/>
          <w:color w:val="auto"/>
        </w:rPr>
      </w:pPr>
    </w:p>
    <w:p>
      <w:pPr>
        <w:ind w:left="220" w:firstLine="1745"/>
        <w:spacing w:after="0" w:line="254" w:lineRule="auto"/>
        <w:rPr>
          <w:sz w:val="20"/>
          <w:szCs w:val="20"/>
          <w:color w:val="auto"/>
        </w:rPr>
      </w:pPr>
      <w:r>
        <w:rPr>
          <w:rFonts w:ascii="Arial" w:cs="Arial" w:eastAsia="Arial" w:hAnsi="Arial"/>
          <w:sz w:val="18"/>
          <w:szCs w:val="18"/>
          <w:color w:val="auto"/>
        </w:rPr>
        <w:t>From time to time, certain executive officers, directors and other affiliates of ours, their family members, and related business organizations or charitable foundations may utilize our services as customers in the ordinary course of our business, such as by holding investments in various Evercore Wealth Management investment vehicles or accounts or by purchasing research services from our equity sales, trading and research business, Evercore ISI. These products and services are offered and provided in the ordinary course of business on substantially the same terms as those prevailing at the time for comparable transactions for similarly situated customers. For certain types of products and services offered by Evercore Wealth Management, certain of our executive officers and other affiliates receive or may be eligible to receive discounts that are available to our employees or SMDs generally.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Policy Regarding Transactions with Related Persons</w:t>
      </w:r>
    </w:p>
    <w:p>
      <w:pPr>
        <w:spacing w:after="0" w:line="202" w:lineRule="exact"/>
        <w:rPr>
          <w:sz w:val="20"/>
          <w:szCs w:val="20"/>
          <w:color w:val="auto"/>
        </w:rPr>
      </w:pPr>
    </w:p>
    <w:p>
      <w:pPr>
        <w:ind w:left="220" w:firstLine="1745"/>
        <w:spacing w:after="0" w:line="286" w:lineRule="auto"/>
        <w:rPr>
          <w:sz w:val="20"/>
          <w:szCs w:val="20"/>
          <w:color w:val="auto"/>
        </w:rPr>
      </w:pPr>
      <w:r>
        <w:rPr>
          <w:rFonts w:ascii="Arial" w:cs="Arial" w:eastAsia="Arial" w:hAnsi="Arial"/>
          <w:sz w:val="16"/>
          <w:szCs w:val="16"/>
          <w:color w:val="auto"/>
        </w:rPr>
        <w:t xml:space="preserve">Our Related Person Transaction Policy, which is available on our website at </w:t>
      </w:r>
      <w:r>
        <w:rPr>
          <w:rFonts w:ascii="Arial" w:cs="Arial" w:eastAsia="Arial" w:hAnsi="Arial"/>
          <w:sz w:val="16"/>
          <w:szCs w:val="16"/>
          <w:i w:val="1"/>
          <w:iCs w:val="1"/>
          <w:color w:val="auto"/>
        </w:rPr>
        <w:t>www.evercore.com</w:t>
      </w:r>
      <w:r>
        <w:rPr>
          <w:rFonts w:ascii="Arial" w:cs="Arial" w:eastAsia="Arial" w:hAnsi="Arial"/>
          <w:sz w:val="16"/>
          <w:szCs w:val="16"/>
          <w:color w:val="auto"/>
        </w:rPr>
        <w:t xml:space="preserve"> under the “For Investors” link, requires that Related Person Transactions (defined below) must be approved or ratified by the Nominating and Corporate Governance Committee of the Board unless they have been deemed pre-approved. In determining whether to approve or ratify a Related Person Transaction, the Nominating and Corporate Governance Committee will take into account, among other factors it deems appropriate, whether the Related Person Transaction is on terms no less favorable than terms generally available to an unaffiliated third party under the same or similar circumstances and the extent of the Related Person’s interest in the transaction. Under the policy, certain Related Person Transactions are pre-approved, including routine commercial transactions in the ordinary course or transactions that are approved by other committees of the Board. A “Related Person” is any of our executive officers, directors or director nominees, any shareholder owning at least 5% of our stock, or any immediate family member of any of the foregoing persons. A “Related Person Transaction” means any financial transaction, arrangement or relationship or series of similar financial transactions, arrangements or relationships involving more than $120,000 in which we are a participant and in which a Related Person has a direct or indirect material interest. All Related Person Transactions were approved in accordance with our Related Person Transaction Policy, other than those discussed under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Receivable Agreement</w:t>
      </w:r>
      <w:r>
        <w:rPr>
          <w:rFonts w:ascii="Arial" w:cs="Arial" w:eastAsia="Arial" w:hAnsi="Arial"/>
          <w:sz w:val="16"/>
          <w:szCs w:val="16"/>
          <w:color w:val="auto"/>
        </w:rPr>
        <w:t>” on page 27, “</w:t>
      </w:r>
      <w:r>
        <w:rPr>
          <w:rFonts w:ascii="Arial" w:cs="Arial" w:eastAsia="Arial" w:hAnsi="Arial"/>
          <w:sz w:val="16"/>
          <w:szCs w:val="16"/>
          <w:b w:val="1"/>
          <w:bCs w:val="1"/>
          <w:color w:val="auto"/>
        </w:rPr>
        <w:t>—Registration Rights Agreements</w:t>
      </w:r>
      <w:r>
        <w:rPr>
          <w:rFonts w:ascii="Arial" w:cs="Arial" w:eastAsia="Arial" w:hAnsi="Arial"/>
          <w:sz w:val="16"/>
          <w:szCs w:val="16"/>
          <w:color w:val="auto"/>
        </w:rPr>
        <w:t>” on page 28, “</w:t>
      </w:r>
      <w:r>
        <w:rPr>
          <w:rFonts w:ascii="Arial" w:cs="Arial" w:eastAsia="Arial" w:hAnsi="Arial"/>
          <w:sz w:val="16"/>
          <w:szCs w:val="16"/>
          <w:b w:val="1"/>
          <w:bCs w:val="1"/>
          <w:color w:val="auto"/>
        </w:rPr>
        <w:t>—Relationship with our Former Private Equity Funds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page 28 and “</w:t>
      </w:r>
      <w:r>
        <w:rPr>
          <w:rFonts w:ascii="Arial" w:cs="Arial" w:eastAsia="Arial" w:hAnsi="Arial"/>
          <w:sz w:val="16"/>
          <w:szCs w:val="16"/>
          <w:b w:val="1"/>
          <w:bCs w:val="1"/>
          <w:color w:val="auto"/>
        </w:rPr>
        <w:t>—Evercore LP Partnership Agreement</w:t>
      </w:r>
      <w:r>
        <w:rPr>
          <w:rFonts w:ascii="Arial" w:cs="Arial" w:eastAsia="Arial" w:hAnsi="Arial"/>
          <w:sz w:val="16"/>
          <w:szCs w:val="16"/>
          <w:color w:val="auto"/>
        </w:rPr>
        <w:t>” on page 30, which were undertaken prior to the adoption of the policy.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0016FF"/>
        </w:rPr>
        <w:t>CORPORATE GOVERNANCE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220" w:right="80" w:firstLine="1745"/>
        <w:spacing w:after="0" w:line="259" w:lineRule="auto"/>
        <w:rPr>
          <w:sz w:val="20"/>
          <w:szCs w:val="20"/>
          <w:color w:val="auto"/>
        </w:rPr>
      </w:pPr>
      <w:r>
        <w:rPr>
          <w:rFonts w:ascii="Arial" w:cs="Arial" w:eastAsia="Arial" w:hAnsi="Arial"/>
          <w:sz w:val="18"/>
          <w:szCs w:val="18"/>
          <w:color w:val="auto"/>
        </w:rPr>
        <w:t>Pursuant to the General Corporation Law of the State of Delaware, the state in which we are organized, and our Amended and Restated Bylaws, our business, property and affairs are managed by or under the direction of our Board. Members of our Board are kept informed of our business through discussions with our executive officers and other officers, by reviewing materials provided to them by management and by participating in meetings of the Board and its committees.</w:t>
      </w:r>
    </w:p>
    <w:p>
      <w:pPr>
        <w:spacing w:after="0" w:line="16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NYSE and SEC Requirements</w:t>
      </w:r>
    </w:p>
    <w:p>
      <w:pPr>
        <w:spacing w:after="0" w:line="185" w:lineRule="exact"/>
        <w:rPr>
          <w:sz w:val="20"/>
          <w:szCs w:val="20"/>
          <w:color w:val="auto"/>
        </w:rPr>
      </w:pPr>
    </w:p>
    <w:p>
      <w:pPr>
        <w:ind w:left="220" w:right="60" w:firstLine="1745"/>
        <w:spacing w:after="0" w:line="291" w:lineRule="auto"/>
        <w:rPr>
          <w:sz w:val="20"/>
          <w:szCs w:val="20"/>
          <w:color w:val="auto"/>
        </w:rPr>
      </w:pPr>
      <w:r>
        <w:rPr>
          <w:rFonts w:ascii="Arial" w:cs="Arial" w:eastAsia="Arial" w:hAnsi="Arial"/>
          <w:sz w:val="16"/>
          <w:szCs w:val="16"/>
          <w:color w:val="auto"/>
        </w:rPr>
        <w:t>Under the NYSE’s corporate governance rules, no director qualifies as independent unless our Board affirmatively determines that the director has no “material relationship” with us, either directly or as a partner, shareholder or officer of an organization that has a relationship with us. Under NYSE rules, directors who have relationships covered by one of five bright-line independence tests established by the NYSE may not be found to be independent. In addition, audit committee members are subject to heightened independence requirements under NYSE rules and Rule 10A-3 under the Exchange Act. NYSE rules require that in affirmatively determining the independence of any director who will serve on the Compensation Committee, the Board must consider all factors specifically relevant to determining whether a director has a relationship to us that is material to that director’s ability to be independent from management in connection with the duties of a compensation committee member.</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Corporate Governance Principles and Categorical Independence Standards</w:t>
      </w:r>
    </w:p>
    <w:p>
      <w:pPr>
        <w:spacing w:after="0" w:line="198" w:lineRule="exact"/>
        <w:rPr>
          <w:sz w:val="20"/>
          <w:szCs w:val="20"/>
          <w:color w:val="auto"/>
        </w:rPr>
      </w:pPr>
    </w:p>
    <w:p>
      <w:pPr>
        <w:ind w:left="220" w:right="60" w:firstLine="1745"/>
        <w:spacing w:after="0" w:line="254" w:lineRule="auto"/>
        <w:rPr>
          <w:sz w:val="20"/>
          <w:szCs w:val="20"/>
          <w:color w:val="auto"/>
        </w:rPr>
      </w:pPr>
      <w:r>
        <w:rPr>
          <w:rFonts w:ascii="Arial" w:cs="Arial" w:eastAsia="Arial" w:hAnsi="Arial"/>
          <w:sz w:val="18"/>
          <w:szCs w:val="18"/>
          <w:color w:val="auto"/>
        </w:rPr>
        <w:t xml:space="preserve">In order to provide guidance on the composition and function of our governing body, our Board adopted our Corporate Governance Principles, which include, among other things, our categorical standards of director independence. The complete version of our Corporate Governance Principles is available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“For Investors” link. We will provide a printed copy of the Corporate Governance Principles to any shareholder who requests them by contacting Investor Relations. These categorical independence standards establish certain relationships that our Board, in its judgment, has deemed to be material or immaterial for purposes of assessing a director’s independence. In the event a director maintains any relationship with us that is not specifically addressed in these standards, the Board will determine whether such relationship is material.</w:t>
      </w:r>
    </w:p>
    <w:p>
      <w:pPr>
        <w:spacing w:after="0" w:line="154" w:lineRule="exact"/>
        <w:rPr>
          <w:sz w:val="20"/>
          <w:szCs w:val="20"/>
          <w:color w:val="auto"/>
        </w:rPr>
      </w:pPr>
    </w:p>
    <w:p>
      <w:pPr>
        <w:ind w:left="220" w:firstLine="1745"/>
        <w:spacing w:after="0" w:line="270" w:lineRule="auto"/>
        <w:rPr>
          <w:sz w:val="20"/>
          <w:szCs w:val="20"/>
          <w:color w:val="auto"/>
        </w:rPr>
      </w:pPr>
      <w:r>
        <w:rPr>
          <w:rFonts w:ascii="Arial" w:cs="Arial" w:eastAsia="Arial" w:hAnsi="Arial"/>
          <w:sz w:val="17"/>
          <w:szCs w:val="17"/>
          <w:color w:val="auto"/>
        </w:rPr>
        <w:t>The Board has determined that the following relationships should not be considered material relationships that would impair a director’s independence: (1) relationships where a director, or an immediate family member of the director, is an executive officer or director of another company in which we beneficially own less than 10% of the outstanding voting shares of that company; (2) relationships where a director, or an immediate family member of that director, serves as an executive officer, director or trustee of a charitable organization, and our annual charitable contributions to the organization (excluding contributions by us under any established matching gift program) are less than the greater of $1,000,000 or 2% of that organization’s consolidated gross revenues in its most recent fiscal year; and (3) relationships where a director is a current employee, or such director’s immediate family member is a current executive officer, of another company that has made payments to, or received payment from, us for property or services in an amount which, in any of the preceding three fiscal years, did not exceed the greater of $1,000,000 or 2% of the consolidated gross revenues of such other company.</w:t>
      </w:r>
    </w:p>
    <w:p>
      <w:pPr>
        <w:spacing w:after="0" w:line="140" w:lineRule="exact"/>
        <w:rPr>
          <w:sz w:val="20"/>
          <w:szCs w:val="20"/>
          <w:color w:val="auto"/>
        </w:rPr>
      </w:pPr>
    </w:p>
    <w:p>
      <w:pPr>
        <w:jc w:val="both"/>
        <w:ind w:left="220" w:right="320" w:firstLine="1745"/>
        <w:spacing w:after="0" w:line="263" w:lineRule="auto"/>
        <w:rPr>
          <w:sz w:val="20"/>
          <w:szCs w:val="20"/>
          <w:color w:val="auto"/>
        </w:rPr>
      </w:pPr>
      <w:r>
        <w:rPr>
          <w:rFonts w:ascii="Arial" w:cs="Arial" w:eastAsia="Arial" w:hAnsi="Arial"/>
          <w:sz w:val="18"/>
          <w:szCs w:val="18"/>
          <w:color w:val="auto"/>
        </w:rPr>
        <w:t>Our Corporate Governance Principles also provide, among other things, that all non-management directors must notify the Board of his or her retirement, change in employer and any other significant change in the director’s principal professional occupation or roles and responsibilities and,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63" w:lineRule="auto"/>
        <w:rPr>
          <w:sz w:val="20"/>
          <w:szCs w:val="20"/>
          <w:color w:val="auto"/>
        </w:rPr>
      </w:pPr>
      <w:r>
        <w:rPr>
          <w:rFonts w:ascii="Arial" w:cs="Arial" w:eastAsia="Arial" w:hAnsi="Arial"/>
          <w:sz w:val="18"/>
          <w:szCs w:val="18"/>
          <w:color w:val="auto"/>
        </w:rPr>
        <w:t>connection with any such change, tender his or her resignation from the Board (and the applicable Board committees) for consideration by the Board. The Board would then consider the continued appropriateness of Board membership under the new circumstances and the action, if any, to be taken with respect to such resignation.</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Evaluations of Director Independence</w:t>
      </w:r>
    </w:p>
    <w:p>
      <w:pPr>
        <w:spacing w:after="0" w:line="185" w:lineRule="exact"/>
        <w:rPr>
          <w:sz w:val="20"/>
          <w:szCs w:val="20"/>
          <w:color w:val="auto"/>
        </w:rPr>
      </w:pPr>
    </w:p>
    <w:p>
      <w:pPr>
        <w:ind w:left="220" w:right="20" w:firstLine="1745"/>
        <w:spacing w:after="0" w:line="296" w:lineRule="auto"/>
        <w:rPr>
          <w:sz w:val="20"/>
          <w:szCs w:val="20"/>
          <w:color w:val="auto"/>
        </w:rPr>
      </w:pPr>
      <w:r>
        <w:rPr>
          <w:rFonts w:ascii="Arial" w:cs="Arial" w:eastAsia="Arial" w:hAnsi="Arial"/>
          <w:sz w:val="16"/>
          <w:szCs w:val="16"/>
          <w:color w:val="auto"/>
        </w:rPr>
        <w:t>The Nominating and Corporate Governance Committee undertook its annual review of director independence and reviewed its findings with our Board. During this review, our Board considered transactions and relationships between each director, or any member of his or her immediate family, and us, our subsidiaries and affiliates, including those reported under “</w:t>
      </w:r>
      <w:r>
        <w:rPr>
          <w:rFonts w:ascii="Arial" w:cs="Arial" w:eastAsia="Arial" w:hAnsi="Arial"/>
          <w:sz w:val="16"/>
          <w:szCs w:val="16"/>
          <w:b w:val="1"/>
          <w:bCs w:val="1"/>
          <w:color w:val="auto"/>
        </w:rPr>
        <w:t>Related Person Transactions and Other Information</w:t>
      </w:r>
      <w:r>
        <w:rPr>
          <w:rFonts w:ascii="Arial" w:cs="Arial" w:eastAsia="Arial" w:hAnsi="Arial"/>
          <w:sz w:val="16"/>
          <w:szCs w:val="16"/>
          <w:color w:val="auto"/>
        </w:rPr>
        <w:t>” above (on page 27). Our Board also examined transactions and relationships between directors or their affiliates and members of our senior management. The purpose of this review was to determine whether any such relationships or transactions compromised a director’s independence.</w:t>
      </w:r>
    </w:p>
    <w:p>
      <w:pPr>
        <w:spacing w:after="0" w:line="161" w:lineRule="exact"/>
        <w:rPr>
          <w:sz w:val="20"/>
          <w:szCs w:val="20"/>
          <w:color w:val="auto"/>
        </w:rPr>
      </w:pPr>
    </w:p>
    <w:p>
      <w:pPr>
        <w:ind w:left="220" w:firstLine="1745"/>
        <w:spacing w:after="0" w:line="271" w:lineRule="auto"/>
        <w:rPr>
          <w:sz w:val="20"/>
          <w:szCs w:val="20"/>
          <w:color w:val="auto"/>
        </w:rPr>
      </w:pPr>
      <w:r>
        <w:rPr>
          <w:rFonts w:ascii="Arial" w:cs="Arial" w:eastAsia="Arial" w:hAnsi="Arial"/>
          <w:sz w:val="17"/>
          <w:szCs w:val="17"/>
          <w:color w:val="auto"/>
        </w:rPr>
        <w:t>As a result of this review, our Board affirmatively determined that each of Messrs. Beattie, Millard, Overlock, Wheeler and Wilson, Mses. Carlton, Futter, Harris and Williamson and Sir Simon Robertson is independent under NYSE rules and the categorical standards for director independence set forth in the Corporate Governance Principles. In reaching this determination, the Board considered the fact that Mr. Beattie is a partner of Simpson Thacher and Ms. Harris was formerly a partner at Simpson Thacher, which provides legal services to us and our affiliates. In reaching this conclusion with respect to Mr. Beattie and Ms. Harris, it was noted that in 2019 payments from us to Simpson Thacher were less than 1% of Simpson Thacher’s revenues. In connection with Mr. Beattie, it was also noted that Simpson Thacher’s partnership income attributed to payments from us in 2019 resulted in less than $10,000 in income to Mr. Beattie. In connection with Ms. Harris, it was also noted that Ms. Harris has not been a Simpson Thacher partner since 1998 and has never represented us or any of our affiliates.</w:t>
      </w:r>
    </w:p>
    <w:p>
      <w:pPr>
        <w:spacing w:after="0" w:line="138" w:lineRule="exact"/>
        <w:rPr>
          <w:sz w:val="20"/>
          <w:szCs w:val="20"/>
          <w:color w:val="auto"/>
        </w:rPr>
      </w:pPr>
    </w:p>
    <w:p>
      <w:pPr>
        <w:ind w:left="220" w:right="80" w:firstLine="1745"/>
        <w:spacing w:after="0" w:line="277" w:lineRule="auto"/>
        <w:rPr>
          <w:sz w:val="20"/>
          <w:szCs w:val="20"/>
          <w:color w:val="auto"/>
        </w:rPr>
      </w:pPr>
      <w:r>
        <w:rPr>
          <w:rFonts w:ascii="Arial" w:cs="Arial" w:eastAsia="Arial" w:hAnsi="Arial"/>
          <w:sz w:val="18"/>
          <w:szCs w:val="18"/>
          <w:color w:val="auto"/>
        </w:rPr>
        <w:t>Our Board has also determined that the members of the Audit Committee and Compensation Committee are also independent under the applicable NYSE and SEC rules mentioned above.</w:t>
      </w:r>
    </w:p>
    <w:p>
      <w:pPr>
        <w:spacing w:after="0" w:line="14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Messrs. Altman, Schlosstein and Weinberg are not considered to be independent directors as a result of their employment with</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Committees of the Board</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left="220" w:right="80" w:firstLine="1745"/>
        <w:spacing w:after="0" w:line="277" w:lineRule="auto"/>
        <w:rPr>
          <w:sz w:val="20"/>
          <w:szCs w:val="20"/>
          <w:color w:val="auto"/>
        </w:rPr>
      </w:pPr>
      <w:r>
        <w:rPr>
          <w:rFonts w:ascii="Arial" w:cs="Arial" w:eastAsia="Arial" w:hAnsi="Arial"/>
          <w:sz w:val="18"/>
          <w:szCs w:val="18"/>
          <w:color w:val="auto"/>
        </w:rPr>
        <w:t>Our Board has three standing committees: an Audit Committee, a Compensation Committee and a Nominating and Corporate Governance Committee.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1745"/>
        <w:spacing w:after="0" w:line="277" w:lineRule="auto"/>
        <w:rPr>
          <w:sz w:val="20"/>
          <w:szCs w:val="20"/>
          <w:color w:val="auto"/>
        </w:rPr>
      </w:pPr>
      <w:r>
        <w:rPr>
          <w:rFonts w:ascii="Arial" w:cs="Arial" w:eastAsia="Arial" w:hAnsi="Arial"/>
          <w:sz w:val="18"/>
          <w:szCs w:val="18"/>
          <w:color w:val="auto"/>
        </w:rPr>
        <w:t>The following table shows the membership of each of our Board’s standing committees as of April 22, 2020 and the number of in-person and telephonic meetings held by each of those committees during 2019:</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820" w:type="dxa"/>
            <w:vAlign w:val="bottom"/>
            <w:shd w:val="clear" w:color="auto" w:fill="E0FCF9"/>
          </w:tcPr>
          <w:p>
            <w:pPr>
              <w:spacing w:after="0"/>
              <w:rPr>
                <w:sz w:val="17"/>
                <w:szCs w:val="17"/>
                <w:color w:val="auto"/>
              </w:rPr>
            </w:pPr>
          </w:p>
        </w:tc>
        <w:tc>
          <w:tcPr>
            <w:tcW w:w="300" w:type="dxa"/>
            <w:vAlign w:val="bottom"/>
            <w:shd w:val="clear" w:color="auto" w:fill="E0FCF9"/>
          </w:tcPr>
          <w:p>
            <w:pPr>
              <w:spacing w:after="0"/>
              <w:rPr>
                <w:sz w:val="17"/>
                <w:szCs w:val="17"/>
                <w:color w:val="auto"/>
              </w:rPr>
            </w:pPr>
          </w:p>
        </w:tc>
        <w:tc>
          <w:tcPr>
            <w:tcW w:w="1220" w:type="dxa"/>
            <w:vAlign w:val="bottom"/>
            <w:shd w:val="clear" w:color="auto" w:fill="E0FCF9"/>
          </w:tcPr>
          <w:p>
            <w:pPr>
              <w:spacing w:after="0"/>
              <w:rPr>
                <w:sz w:val="17"/>
                <w:szCs w:val="17"/>
                <w:color w:val="auto"/>
              </w:rPr>
            </w:pPr>
          </w:p>
        </w:tc>
        <w:tc>
          <w:tcPr>
            <w:tcW w:w="300" w:type="dxa"/>
            <w:vAlign w:val="bottom"/>
            <w:shd w:val="clear" w:color="auto" w:fill="E0FCF9"/>
          </w:tcPr>
          <w:p>
            <w:pPr>
              <w:spacing w:after="0"/>
              <w:rPr>
                <w:sz w:val="17"/>
                <w:szCs w:val="17"/>
                <w:color w:val="auto"/>
              </w:rPr>
            </w:pPr>
          </w:p>
        </w:tc>
        <w:tc>
          <w:tcPr>
            <w:tcW w:w="1460" w:type="dxa"/>
            <w:vAlign w:val="bottom"/>
            <w:shd w:val="clear" w:color="auto" w:fill="E0FCF9"/>
          </w:tcPr>
          <w:p>
            <w:pPr>
              <w:spacing w:after="0"/>
              <w:rPr>
                <w:sz w:val="17"/>
                <w:szCs w:val="17"/>
                <w:color w:val="auto"/>
              </w:rPr>
            </w:pPr>
          </w:p>
        </w:tc>
        <w:tc>
          <w:tcPr>
            <w:tcW w:w="300" w:type="dxa"/>
            <w:vAlign w:val="bottom"/>
            <w:shd w:val="clear" w:color="auto" w:fill="E0FCF9"/>
          </w:tcPr>
          <w:p>
            <w:pPr>
              <w:spacing w:after="0"/>
              <w:rPr>
                <w:sz w:val="17"/>
                <w:szCs w:val="17"/>
                <w:color w:val="auto"/>
              </w:rPr>
            </w:pP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2"/>
              </w:rPr>
              <w:t>Nominating and</w:t>
            </w:r>
          </w:p>
        </w:tc>
        <w:tc>
          <w:tcPr>
            <w:tcW w:w="0" w:type="dxa"/>
            <w:vAlign w:val="bottom"/>
          </w:tcPr>
          <w:p>
            <w:pPr>
              <w:spacing w:after="0"/>
              <w:rPr>
                <w:sz w:val="1"/>
                <w:szCs w:val="1"/>
                <w:color w:val="auto"/>
              </w:rPr>
            </w:pPr>
          </w:p>
        </w:tc>
      </w:tr>
      <w:tr>
        <w:trPr>
          <w:trHeight w:val="216"/>
        </w:trPr>
        <w:tc>
          <w:tcPr>
            <w:tcW w:w="582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22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460" w:type="dxa"/>
            <w:vAlign w:val="bottom"/>
            <w:shd w:val="clear" w:color="auto" w:fill="E0FCF9"/>
          </w:tcPr>
          <w:p>
            <w:pPr>
              <w:spacing w:after="0"/>
              <w:rPr>
                <w:sz w:val="18"/>
                <w:szCs w:val="18"/>
                <w:color w:val="auto"/>
              </w:rPr>
            </w:pPr>
          </w:p>
        </w:tc>
        <w:tc>
          <w:tcPr>
            <w:tcW w:w="300" w:type="dxa"/>
            <w:vAlign w:val="bottom"/>
            <w:shd w:val="clear" w:color="auto" w:fill="E0FCF9"/>
          </w:tcPr>
          <w:p>
            <w:pPr>
              <w:spacing w:after="0"/>
              <w:rPr>
                <w:sz w:val="18"/>
                <w:szCs w:val="18"/>
                <w:color w:val="auto"/>
              </w:rPr>
            </w:pP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2"/>
              </w:rPr>
              <w:t>Corporate</w:t>
            </w:r>
          </w:p>
        </w:tc>
        <w:tc>
          <w:tcPr>
            <w:tcW w:w="0" w:type="dxa"/>
            <w:vAlign w:val="bottom"/>
          </w:tcPr>
          <w:p>
            <w:pPr>
              <w:spacing w:after="0"/>
              <w:rPr>
                <w:sz w:val="1"/>
                <w:szCs w:val="1"/>
                <w:color w:val="auto"/>
              </w:rPr>
            </w:pPr>
          </w:p>
        </w:tc>
      </w:tr>
      <w:tr>
        <w:trPr>
          <w:trHeight w:val="216"/>
        </w:trPr>
        <w:tc>
          <w:tcPr>
            <w:tcW w:w="6120" w:type="dxa"/>
            <w:vAlign w:val="bottom"/>
            <w:gridSpan w:val="2"/>
            <w:vMerge w:val="restart"/>
            <w:shd w:val="clear" w:color="auto" w:fill="E0FCF9"/>
          </w:tcPr>
          <w:p>
            <w:pPr>
              <w:ind w:left="80"/>
              <w:spacing w:after="0"/>
              <w:rPr>
                <w:sz w:val="20"/>
                <w:szCs w:val="20"/>
                <w:color w:val="auto"/>
              </w:rPr>
            </w:pPr>
            <w:r>
              <w:rPr>
                <w:rFonts w:ascii="Arial" w:cs="Arial" w:eastAsia="Arial" w:hAnsi="Arial"/>
                <w:sz w:val="18"/>
                <w:szCs w:val="18"/>
                <w:b w:val="1"/>
                <w:bCs w:val="1"/>
                <w:color w:val="0016FF"/>
              </w:rPr>
              <w:t>Director</w:t>
            </w:r>
          </w:p>
        </w:tc>
        <w:tc>
          <w:tcPr>
            <w:tcW w:w="1520" w:type="dxa"/>
            <w:vAlign w:val="bottom"/>
            <w:gridSpan w:val="2"/>
            <w:shd w:val="clear" w:color="auto" w:fill="E0FCF9"/>
          </w:tcPr>
          <w:p>
            <w:pPr>
              <w:jc w:val="center"/>
              <w:ind w:right="280"/>
              <w:spacing w:after="0"/>
              <w:rPr>
                <w:sz w:val="20"/>
                <w:szCs w:val="20"/>
                <w:color w:val="auto"/>
              </w:rPr>
            </w:pPr>
            <w:r>
              <w:rPr>
                <w:rFonts w:ascii="Arial" w:cs="Arial" w:eastAsia="Arial" w:hAnsi="Arial"/>
                <w:sz w:val="18"/>
                <w:szCs w:val="18"/>
                <w:b w:val="1"/>
                <w:bCs w:val="1"/>
                <w:color w:val="0016FF"/>
                <w:w w:val="95"/>
              </w:rPr>
              <w:t>Audit</w:t>
            </w:r>
          </w:p>
        </w:tc>
        <w:tc>
          <w:tcPr>
            <w:tcW w:w="1760" w:type="dxa"/>
            <w:vAlign w:val="bottom"/>
            <w:gridSpan w:val="2"/>
            <w:shd w:val="clear" w:color="auto" w:fill="E0FCF9"/>
          </w:tcPr>
          <w:p>
            <w:pPr>
              <w:jc w:val="center"/>
              <w:ind w:right="300"/>
              <w:spacing w:after="0"/>
              <w:rPr>
                <w:sz w:val="20"/>
                <w:szCs w:val="20"/>
                <w:color w:val="auto"/>
              </w:rPr>
            </w:pPr>
            <w:r>
              <w:rPr>
                <w:rFonts w:ascii="Arial" w:cs="Arial" w:eastAsia="Arial" w:hAnsi="Arial"/>
                <w:sz w:val="18"/>
                <w:szCs w:val="18"/>
                <w:b w:val="1"/>
                <w:bCs w:val="1"/>
                <w:color w:val="0016FF"/>
                <w:w w:val="87"/>
              </w:rPr>
              <w:t>Compensation</w:t>
            </w: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0"/>
              </w:rPr>
              <w:t>Governance</w:t>
            </w:r>
          </w:p>
        </w:tc>
        <w:tc>
          <w:tcPr>
            <w:tcW w:w="0" w:type="dxa"/>
            <w:vAlign w:val="bottom"/>
          </w:tcPr>
          <w:p>
            <w:pPr>
              <w:spacing w:after="0"/>
              <w:rPr>
                <w:sz w:val="1"/>
                <w:szCs w:val="1"/>
                <w:color w:val="auto"/>
              </w:rPr>
            </w:pPr>
          </w:p>
        </w:tc>
      </w:tr>
      <w:tr>
        <w:trPr>
          <w:trHeight w:val="234"/>
        </w:trPr>
        <w:tc>
          <w:tcPr>
            <w:tcW w:w="6120" w:type="dxa"/>
            <w:vAlign w:val="bottom"/>
            <w:gridSpan w:val="2"/>
            <w:vMerge w:val="continue"/>
            <w:shd w:val="clear" w:color="auto" w:fill="E0FCF9"/>
          </w:tcPr>
          <w:p>
            <w:pPr>
              <w:spacing w:after="0"/>
              <w:rPr>
                <w:sz w:val="20"/>
                <w:szCs w:val="20"/>
                <w:color w:val="auto"/>
              </w:rPr>
            </w:pPr>
          </w:p>
        </w:tc>
        <w:tc>
          <w:tcPr>
            <w:tcW w:w="1520" w:type="dxa"/>
            <w:vAlign w:val="bottom"/>
            <w:gridSpan w:val="2"/>
            <w:shd w:val="clear" w:color="auto" w:fill="E0FCF9"/>
          </w:tcPr>
          <w:p>
            <w:pPr>
              <w:jc w:val="center"/>
              <w:ind w:right="300"/>
              <w:spacing w:after="0"/>
              <w:rPr>
                <w:sz w:val="20"/>
                <w:szCs w:val="20"/>
                <w:color w:val="auto"/>
              </w:rPr>
            </w:pPr>
            <w:r>
              <w:rPr>
                <w:rFonts w:ascii="Arial" w:cs="Arial" w:eastAsia="Arial" w:hAnsi="Arial"/>
                <w:sz w:val="18"/>
                <w:szCs w:val="18"/>
                <w:b w:val="1"/>
                <w:bCs w:val="1"/>
                <w:color w:val="0016FF"/>
                <w:w w:val="92"/>
              </w:rPr>
              <w:t>Committee</w:t>
            </w:r>
          </w:p>
        </w:tc>
        <w:tc>
          <w:tcPr>
            <w:tcW w:w="1760" w:type="dxa"/>
            <w:vAlign w:val="bottom"/>
            <w:gridSpan w:val="2"/>
            <w:shd w:val="clear" w:color="auto" w:fill="E0FCF9"/>
          </w:tcPr>
          <w:p>
            <w:pPr>
              <w:jc w:val="center"/>
              <w:ind w:right="300"/>
              <w:spacing w:after="0"/>
              <w:rPr>
                <w:sz w:val="20"/>
                <w:szCs w:val="20"/>
                <w:color w:val="auto"/>
              </w:rPr>
            </w:pPr>
            <w:r>
              <w:rPr>
                <w:rFonts w:ascii="Arial" w:cs="Arial" w:eastAsia="Arial" w:hAnsi="Arial"/>
                <w:sz w:val="18"/>
                <w:szCs w:val="18"/>
                <w:b w:val="1"/>
                <w:bCs w:val="1"/>
                <w:color w:val="0016FF"/>
                <w:w w:val="92"/>
              </w:rPr>
              <w:t>Committee</w:t>
            </w:r>
          </w:p>
        </w:tc>
        <w:tc>
          <w:tcPr>
            <w:tcW w:w="16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2"/>
              </w:rPr>
              <w:t>Committee</w:t>
            </w:r>
          </w:p>
        </w:tc>
        <w:tc>
          <w:tcPr>
            <w:tcW w:w="0" w:type="dxa"/>
            <w:vAlign w:val="bottom"/>
          </w:tcPr>
          <w:p>
            <w:pPr>
              <w:spacing w:after="0"/>
              <w:rPr>
                <w:sz w:val="1"/>
                <w:szCs w:val="1"/>
                <w:color w:val="auto"/>
              </w:rPr>
            </w:pPr>
          </w:p>
        </w:tc>
      </w:tr>
      <w:tr>
        <w:trPr>
          <w:trHeight w:val="195"/>
        </w:trPr>
        <w:tc>
          <w:tcPr>
            <w:tcW w:w="58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Richard I. Beattie</w:t>
            </w:r>
          </w:p>
        </w:tc>
        <w:tc>
          <w:tcPr>
            <w:tcW w:w="30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Pamela G. Carlton</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Ellen V. Futter</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Gail B. Harris</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Robert B. Millard</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Chair</w:t>
            </w:r>
          </w:p>
        </w:tc>
        <w:tc>
          <w:tcPr>
            <w:tcW w:w="1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Willard J. Overlock, Jr.</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Sir Simon M. Robertson</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William J. Wheeler</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Chair</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Sarah K. Williamson</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Kendrick R. Wilson III</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X</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6120" w:type="dxa"/>
            <w:vAlign w:val="bottom"/>
            <w:gridSpan w:val="2"/>
          </w:tcPr>
          <w:p>
            <w:pPr>
              <w:ind w:left="80"/>
              <w:spacing w:after="0"/>
              <w:rPr>
                <w:sz w:val="20"/>
                <w:szCs w:val="20"/>
                <w:color w:val="auto"/>
              </w:rPr>
            </w:pPr>
            <w:r>
              <w:rPr>
                <w:rFonts w:ascii="Arial" w:cs="Arial" w:eastAsia="Arial" w:hAnsi="Arial"/>
                <w:sz w:val="18"/>
                <w:szCs w:val="18"/>
                <w:color w:val="auto"/>
              </w:rPr>
              <w:t>2019 Meetings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right="40" w:firstLine="1745"/>
        <w:spacing w:after="0" w:line="263" w:lineRule="auto"/>
        <w:rPr>
          <w:sz w:val="20"/>
          <w:szCs w:val="20"/>
          <w:color w:val="auto"/>
        </w:rPr>
      </w:pPr>
      <w:r>
        <w:rPr>
          <w:rFonts w:ascii="Arial" w:cs="Arial" w:eastAsia="Arial" w:hAnsi="Arial"/>
          <w:sz w:val="18"/>
          <w:szCs w:val="18"/>
          <w:color w:val="auto"/>
        </w:rPr>
        <w:t xml:space="preserve">Our Board has adopted a charter for each of the three standing committees that addresses the composition and function of each committee. You can find links to these materials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“For Investors” link, and we will provide a printed copy of these materials to any shareholder who requests it by contacting Investor Relations.</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85" w:lineRule="exact"/>
        <w:rPr>
          <w:sz w:val="20"/>
          <w:szCs w:val="20"/>
          <w:color w:val="auto"/>
        </w:rPr>
      </w:pPr>
    </w:p>
    <w:p>
      <w:pPr>
        <w:ind w:left="220" w:right="140" w:firstLine="1745"/>
        <w:spacing w:after="0" w:line="287"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Audit Committee assists our Board in fulfilling its responsibility relating to the oversight of: (1) the quality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integrity of our financial statements, (2) our compliance with legal and regulatory requirements, (3) our independent registered public accounting firm’s qualifications and independence, (4) the performance of our internal audit function and independent registered public accounting firm and</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 risk management and compliance with our Code of Business Conduct and Ethics.</w:t>
      </w:r>
    </w:p>
    <w:p>
      <w:pPr>
        <w:spacing w:after="0" w:line="211" w:lineRule="exact"/>
        <w:rPr>
          <w:sz w:val="20"/>
          <w:szCs w:val="20"/>
          <w:color w:val="auto"/>
        </w:rPr>
      </w:pPr>
    </w:p>
    <w:p>
      <w:pPr>
        <w:ind w:left="220" w:right="120" w:firstLine="1745"/>
        <w:spacing w:after="0" w:line="254" w:lineRule="auto"/>
        <w:rPr>
          <w:sz w:val="20"/>
          <w:szCs w:val="20"/>
          <w:color w:val="auto"/>
        </w:rPr>
      </w:pPr>
      <w:r>
        <w:rPr>
          <w:rFonts w:ascii="Arial" w:cs="Arial" w:eastAsia="Arial" w:hAnsi="Arial"/>
          <w:sz w:val="18"/>
          <w:szCs w:val="18"/>
          <w:b w:val="1"/>
          <w:bCs w:val="1"/>
          <w:i w:val="1"/>
          <w:iCs w:val="1"/>
          <w:color w:val="auto"/>
        </w:rPr>
        <w:t>Financial Literacy and Expertise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has determined that each of the members of the Audit Committee in 2019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2020 is “financially literate” within the meaning of the listing standards of the NYSE. In addition, our Board has determined that each of Mr. Wheeler and Ms. Williamson qualifies as an “Audit Committee Financial Expert” as defined by applicable SEC regulations and that each has “accounting or related financial management expertise” within the meaning of the listing standards of the NYSE. The Board reached its conclusion as to Mr. Wheeler’s qualification based on, among other things, his experience as chief financial officer at a large multinational public company, his executive leadership experience and his experience with financial institutions and the Board reached its conclusion as to Ms. Williamson’s qualification based on, among other things, her experience with financial reporting and internal auditing, including with respect to oversight of public accountants.</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85" w:lineRule="exact"/>
        <w:rPr>
          <w:sz w:val="20"/>
          <w:szCs w:val="20"/>
          <w:color w:val="auto"/>
        </w:rPr>
      </w:pPr>
    </w:p>
    <w:p>
      <w:pPr>
        <w:ind w:left="220" w:right="80" w:firstLine="1745"/>
        <w:spacing w:after="0" w:line="255" w:lineRule="auto"/>
        <w:rPr>
          <w:sz w:val="20"/>
          <w:szCs w:val="20"/>
          <w:color w:val="auto"/>
        </w:rPr>
      </w:pPr>
      <w:r>
        <w:rPr>
          <w:rFonts w:ascii="Arial" w:cs="Arial" w:eastAsia="Arial" w:hAnsi="Arial"/>
          <w:sz w:val="18"/>
          <w:szCs w:val="18"/>
          <w:color w:val="auto"/>
        </w:rPr>
        <w:t>The Compensation Committee discharges the responsibilities of our Board relating to the oversight of our compensation programs and compensation of our executives. Each of the members of the Compensation Committee in 2019 was and in 2020 is an “outside director” within the meaning of Section 162(m) of the Code as in effect during 2017 and a “non-employee director” within the meaning of Exchange Act Rule 16b-3. In fulfilling its responsibilities, the Compensation Committee can delegate any or all of its responsibilities to a subcommittee of the Compensation Committee. For information on the Compensation Committee’s processes and procedures for considering and determining executive and director compensation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280"/>
        <w:spacing w:after="0" w:line="282" w:lineRule="auto"/>
        <w:rPr>
          <w:sz w:val="20"/>
          <w:szCs w:val="20"/>
          <w:color w:val="auto"/>
        </w:rPr>
      </w:pPr>
      <w:r>
        <w:rPr>
          <w:rFonts w:ascii="Arial" w:cs="Arial" w:eastAsia="Arial" w:hAnsi="Arial"/>
          <w:sz w:val="18"/>
          <w:szCs w:val="18"/>
          <w:color w:val="auto"/>
        </w:rPr>
        <w:t>and the role of executive officers in determining and recommending the amount and form of such compensation, see “</w:t>
      </w:r>
      <w:r>
        <w:rPr>
          <w:rFonts w:ascii="Arial" w:cs="Arial" w:eastAsia="Arial" w:hAnsi="Arial"/>
          <w:sz w:val="18"/>
          <w:szCs w:val="18"/>
          <w:b w:val="1"/>
          <w:bCs w:val="1"/>
          <w:color w:val="auto"/>
        </w:rPr>
        <w:t>Director Compensation</w:t>
      </w:r>
      <w:r>
        <w:rPr>
          <w:rFonts w:ascii="Arial" w:cs="Arial" w:eastAsia="Arial" w:hAnsi="Arial"/>
          <w:sz w:val="18"/>
          <w:szCs w:val="18"/>
          <w:color w:val="auto"/>
        </w:rPr>
        <w:t>” on page 40 and “</w:t>
      </w:r>
      <w:r>
        <w:rPr>
          <w:rFonts w:ascii="Arial" w:cs="Arial" w:eastAsia="Arial" w:hAnsi="Arial"/>
          <w:sz w:val="18"/>
          <w:szCs w:val="18"/>
          <w:b w:val="1"/>
          <w:bCs w:val="1"/>
          <w:color w:val="auto"/>
        </w:rPr>
        <w:t>Compensation Discussion &amp; Analysis</w:t>
      </w:r>
      <w:r>
        <w:rPr>
          <w:rFonts w:ascii="Arial" w:cs="Arial" w:eastAsia="Arial" w:hAnsi="Arial"/>
          <w:sz w:val="18"/>
          <w:szCs w:val="18"/>
          <w:color w:val="auto"/>
        </w:rPr>
        <w:t>” on page 42.</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85" w:lineRule="exact"/>
        <w:rPr>
          <w:sz w:val="20"/>
          <w:szCs w:val="20"/>
          <w:color w:val="auto"/>
        </w:rPr>
      </w:pPr>
    </w:p>
    <w:p>
      <w:pPr>
        <w:ind w:left="220" w:right="100" w:firstLine="1745"/>
        <w:spacing w:after="0" w:line="273" w:lineRule="auto"/>
        <w:rPr>
          <w:sz w:val="20"/>
          <w:szCs w:val="20"/>
          <w:color w:val="auto"/>
        </w:rPr>
      </w:pPr>
      <w:r>
        <w:rPr>
          <w:rFonts w:ascii="Arial" w:cs="Arial" w:eastAsia="Arial" w:hAnsi="Arial"/>
          <w:sz w:val="17"/>
          <w:szCs w:val="17"/>
          <w:color w:val="auto"/>
        </w:rPr>
        <w:t>During the last fiscal year, each of Messrs. Millard, Overlock and Wheeler, Ms. Williamson and Sir Simon Robertson served as members of our Compensation Committee, and no member of our Compensation Committee during fiscal year 2019 was an employee or officer or former employee or officer of the Company or had any interest in a transaction requiring disclosure under Item 404 of Regulation S-K during fiscal year 2019. None of our executive officers has served as a member of a board of directors or a compensation committee of a board of directors of any other entity which has an executive officer serving as a member of our Board or Compensation Committee, and there are no other matters regarding interlocks or insider participation that are required to be disclosed.</w:t>
      </w:r>
    </w:p>
    <w:p>
      <w:pPr>
        <w:spacing w:after="0" w:line="1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8" w:lineRule="exact"/>
        <w:rPr>
          <w:sz w:val="20"/>
          <w:szCs w:val="20"/>
          <w:color w:val="auto"/>
        </w:rPr>
      </w:pPr>
    </w:p>
    <w:p>
      <w:pPr>
        <w:ind w:left="220" w:firstLine="1745"/>
        <w:spacing w:after="0" w:line="268" w:lineRule="auto"/>
        <w:rPr>
          <w:sz w:val="20"/>
          <w:szCs w:val="20"/>
          <w:color w:val="auto"/>
        </w:rPr>
      </w:pPr>
      <w:r>
        <w:rPr>
          <w:rFonts w:ascii="Arial" w:cs="Arial" w:eastAsia="Arial" w:hAnsi="Arial"/>
          <w:sz w:val="17"/>
          <w:szCs w:val="17"/>
          <w:color w:val="auto"/>
        </w:rPr>
        <w:t>The Nominating and Corporate Governance Committee assists our Board in fulfilling its responsibility relating to corporate governance by (1) identifying individuals qualified to become directors and recommending that our Board select the candidates for all directorships to be filled by our Board or by our shareholders, (2) overseeing the evaluation of the Board, (3) developing and recommending the content of our Corporate Governance Principles and Code of Business Conduct and Ethics to our Board and (4) otherwise taking a leadership role in shaping our corporate governance. In evaluating candidates for directorships, our Board, with the help of the Nominating and Corporate Governance Committee, takes into account a variety of factors it considers appropriate, which may include the following: strength of character and leadership skills; general business acumen and experience; knowledge of strategy, finance, international business, government affairs and familiarity with our business and industry; age; number of other board seats; willingness to commit the necessary time; and whether the nominee assists in achieving a mix of members that represents a diversity of background and experience—all to ensure an active Board whose members work well together and possess the collective knowledge and expertise required to maximize the effectiveness of the Board. Accordingly, although diversity may be a consideration in the Nominating and Corporate Governance Committee’s process, the Nominating and Corporate Governance Committee and the Board do not have a formal policy with regard to the consideration of diversity in identifying director nominees. From time to time, the Nominating and Corporate Governance Committee and the Board have engaged a third-party search firm to assist in identifying potential nominees for our Board. Ms. Carlton was identified by the Nominating and Corporate Governance Committee as a qualified candidate for joining the Board due to her breadth of experience and skills.</w:t>
      </w:r>
    </w:p>
    <w:p>
      <w:pPr>
        <w:spacing w:after="0" w:line="14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Shareholder Recommendations for Director Nominations</w:t>
      </w:r>
    </w:p>
    <w:p>
      <w:pPr>
        <w:spacing w:after="0" w:line="185" w:lineRule="exact"/>
        <w:rPr>
          <w:sz w:val="20"/>
          <w:szCs w:val="20"/>
          <w:color w:val="auto"/>
        </w:rPr>
      </w:pPr>
    </w:p>
    <w:p>
      <w:pPr>
        <w:ind w:left="220" w:right="100" w:firstLine="1745"/>
        <w:spacing w:after="0" w:line="296" w:lineRule="auto"/>
        <w:rPr>
          <w:sz w:val="20"/>
          <w:szCs w:val="20"/>
          <w:color w:val="auto"/>
        </w:rPr>
      </w:pPr>
      <w:r>
        <w:rPr>
          <w:rFonts w:ascii="Arial" w:cs="Arial" w:eastAsia="Arial" w:hAnsi="Arial"/>
          <w:sz w:val="16"/>
          <w:szCs w:val="16"/>
          <w:color w:val="auto"/>
        </w:rPr>
        <w:t>As noted above, the Nominating and Corporate Governance Committee considers recommendations for nomination to our Board, including nominations submitted by shareholders. Such recommendations should be sent to the attention of our Corporate Secretary. Any recommendations submitted to the Corporate Secretary should be in writing and should include any supporting material the shareholder considers appropriate in support of that recommendation, but must include the information that would be required under the rules of the SEC to be included in a Proxy Statement soliciting proxies for the election of such candidate and a signed consent of the candidate to serve as one of our directors if elected.</w:t>
      </w:r>
    </w:p>
    <w:p>
      <w:pPr>
        <w:spacing w:after="0" w:line="161" w:lineRule="exact"/>
        <w:rPr>
          <w:sz w:val="20"/>
          <w:szCs w:val="20"/>
          <w:color w:val="auto"/>
        </w:rPr>
      </w:pPr>
    </w:p>
    <w:p>
      <w:pPr>
        <w:ind w:left="220" w:firstLine="1745"/>
        <w:spacing w:after="0" w:line="255" w:lineRule="auto"/>
        <w:rPr>
          <w:sz w:val="20"/>
          <w:szCs w:val="20"/>
          <w:color w:val="auto"/>
        </w:rPr>
      </w:pPr>
      <w:r>
        <w:rPr>
          <w:rFonts w:ascii="Arial" w:cs="Arial" w:eastAsia="Arial" w:hAnsi="Arial"/>
          <w:sz w:val="18"/>
          <w:szCs w:val="18"/>
          <w:color w:val="auto"/>
        </w:rPr>
        <w:t>The Nominating and Corporate Governance Committee evaluates all potential candidates in the same manner, regardless of the source of the recommendation. Based on the information provided to the Nominating and Corporate Governance Committee, it will make an initial determination whether to conduct a full evaluation of a candidate. As part of the full evaluation process, the Nominating and Corporate Governance Committee may conduct interviews, obtain additional background information and conduct reference checks of candidates. The Nominating and Corporate Governance Committee may also ask the candidate to meet with management and other members of our Board. When the Nominating and Corporate Governance Committee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59" w:lineRule="auto"/>
        <w:rPr>
          <w:sz w:val="20"/>
          <w:szCs w:val="20"/>
          <w:color w:val="auto"/>
        </w:rPr>
      </w:pPr>
      <w:r>
        <w:rPr>
          <w:rFonts w:ascii="Arial" w:cs="Arial" w:eastAsia="Arial" w:hAnsi="Arial"/>
          <w:sz w:val="18"/>
          <w:szCs w:val="18"/>
          <w:color w:val="auto"/>
        </w:rPr>
        <w:t>reviews a potential candidate, the Nominating and Corporate Governance Committee looks specifically at the candidate’s qualifications in light of our needs and the needs of the Board at that time, given the current mix of director attributes. In evaluating a candidate, our Board, with the assistance of the Nominating and Corporate Governance Committee, takes into account a variety of additional factors as described in our Corporate Governance Principles.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Meeting Attendance</w:t>
      </w:r>
    </w:p>
    <w:p>
      <w:pPr>
        <w:spacing w:after="0" w:line="189" w:lineRule="exact"/>
        <w:rPr>
          <w:sz w:val="20"/>
          <w:szCs w:val="20"/>
          <w:color w:val="auto"/>
        </w:rPr>
      </w:pPr>
    </w:p>
    <w:p>
      <w:pPr>
        <w:ind w:left="220" w:right="140" w:firstLine="1745"/>
        <w:spacing w:after="0" w:line="275" w:lineRule="auto"/>
        <w:rPr>
          <w:sz w:val="20"/>
          <w:szCs w:val="20"/>
          <w:color w:val="auto"/>
        </w:rPr>
      </w:pPr>
      <w:r>
        <w:rPr>
          <w:rFonts w:ascii="Arial" w:cs="Arial" w:eastAsia="Arial" w:hAnsi="Arial"/>
          <w:sz w:val="17"/>
          <w:szCs w:val="17"/>
          <w:color w:val="auto"/>
        </w:rPr>
        <w:t>During 2019, our Board held six formal meetings, and our Board’s standing committees held a total of 20 meetings (eight Audit Committee, eight Compensation Committee and four Nominating and Corporate Governance Committee meetings). Each of our directors attended at least 90% of the combined total number of Board meetings and meetings of the Board committees on which he or she served (during the periods that he or she served). Our policy is that all of our directors, absent special circumstances, should attend our Annual Meeting of Stockholders. All of our then incumbent directors attended our 2019 Annual Meeting of Stockholders.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Executive Sessions, Role of the Chairman of our Board, CEO and Lead Director</w:t>
      </w:r>
    </w:p>
    <w:p>
      <w:pPr>
        <w:spacing w:after="0" w:line="202" w:lineRule="exact"/>
        <w:rPr>
          <w:sz w:val="20"/>
          <w:szCs w:val="20"/>
          <w:color w:val="auto"/>
        </w:rPr>
      </w:pPr>
    </w:p>
    <w:p>
      <w:pPr>
        <w:ind w:left="220" w:right="40" w:firstLine="1745"/>
        <w:spacing w:after="0" w:line="263" w:lineRule="auto"/>
        <w:rPr>
          <w:sz w:val="20"/>
          <w:szCs w:val="20"/>
          <w:color w:val="auto"/>
        </w:rPr>
      </w:pPr>
      <w:r>
        <w:rPr>
          <w:rFonts w:ascii="Arial" w:cs="Arial" w:eastAsia="Arial" w:hAnsi="Arial"/>
          <w:sz w:val="18"/>
          <w:szCs w:val="18"/>
          <w:color w:val="auto"/>
        </w:rPr>
        <w:t>Our Corporate Governance Principles require our non-management directors, all of whom are also independent under applicable regulations and our Corporate Governance Principles, to have at least one meeting per year without management present. We complied with this requirement in 2019, as our non-management directors meet regularly in executive session.</w:t>
      </w:r>
    </w:p>
    <w:p>
      <w:pPr>
        <w:spacing w:after="0" w:line="143" w:lineRule="exact"/>
        <w:rPr>
          <w:sz w:val="20"/>
          <w:szCs w:val="20"/>
          <w:color w:val="auto"/>
        </w:rPr>
      </w:pPr>
    </w:p>
    <w:p>
      <w:pPr>
        <w:ind w:left="220" w:right="80" w:firstLine="1745"/>
        <w:spacing w:after="0" w:line="254" w:lineRule="auto"/>
        <w:rPr>
          <w:sz w:val="20"/>
          <w:szCs w:val="20"/>
          <w:color w:val="auto"/>
        </w:rPr>
      </w:pPr>
      <w:r>
        <w:rPr>
          <w:rFonts w:ascii="Arial" w:cs="Arial" w:eastAsia="Arial" w:hAnsi="Arial"/>
          <w:sz w:val="18"/>
          <w:szCs w:val="18"/>
          <w:color w:val="auto"/>
        </w:rPr>
        <w:t>We have no fixed policy with respect to the separation of the offices of the Chairman of the Board and CEO. The Board believes that the separation of the offices of the Chairman of the Board and CEO is best decided on a case-by-case basis from time to time. In order to facilitate communications among non-management directors and management and to preside over executive sessions, Ms. Harris was selected to serve as the lead director. Under the guidance of the Nominating and Corporate Governance Committee, each year the Board reviews the structure of our Board and its committees as a part of its annual self-evaluation process and, as part of that process, considers, among other things, issues of structure, leadership and oversight needs and skills to guide the company in executing its long term strategic objectives. The Board is satisfied that its current structure and processes are appropriate.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Oversight of Risk Management by the Board</w:t>
      </w:r>
    </w:p>
    <w:p>
      <w:pPr>
        <w:spacing w:after="0" w:line="202" w:lineRule="exact"/>
        <w:rPr>
          <w:sz w:val="20"/>
          <w:szCs w:val="20"/>
          <w:color w:val="auto"/>
        </w:rPr>
      </w:pPr>
    </w:p>
    <w:p>
      <w:pPr>
        <w:ind w:left="220" w:firstLine="1745"/>
        <w:spacing w:after="0" w:line="269" w:lineRule="auto"/>
        <w:rPr>
          <w:sz w:val="20"/>
          <w:szCs w:val="20"/>
          <w:color w:val="auto"/>
        </w:rPr>
      </w:pPr>
      <w:r>
        <w:rPr>
          <w:rFonts w:ascii="Arial" w:cs="Arial" w:eastAsia="Arial" w:hAnsi="Arial"/>
          <w:sz w:val="17"/>
          <w:szCs w:val="17"/>
          <w:color w:val="auto"/>
        </w:rPr>
        <w:t>We are exposed to a number of risks, and we regularly identify and evaluate these risks and develop plans to manage them effectively. The Audit Committee is charged with a majority of the risk oversight responsibilities on behalf of the Board (including risk associated with cybersecurity), our Compensation Committee is charged with the oversight responsibility related to our compensation programs and the Nominating and Corporate Governance Committee assists the Board in fulfilling its oversight responsibilities with respect to the management of risks associated with board organization, membership and structure and succession planning for our directors. The Audit Committee also works with members of senior management to review our cybersecurity policies and procedures. The Board is aware of the threats presented by cybersecurity incidents and is committed to preventing and mitigating the effects of any such incidents. Our CFO and General Counsel both report directly to our CEO and meet with the Audit Committee at least four times a year in conjunction with a review of our quarterly and annual periodic SEC filings to discuss important risks we face, highlighting any new risks that may have arisen since they last met. Our CFO and General Counsel update our Audit Committee as to changes in our risks on a periodic basis. In addition, all non-management members of the Board are invited to attend all committee meetings, regardless of whether the individual sits on the specific committee. Outside of formal meetings, Board members have regular access to senior executives, including our CFO and General Counsel.</w:t>
      </w:r>
    </w:p>
    <w:p>
      <w:pPr>
        <w:spacing w:after="0" w:line="138" w:lineRule="exact"/>
        <w:rPr>
          <w:sz w:val="20"/>
          <w:szCs w:val="20"/>
          <w:color w:val="auto"/>
        </w:rPr>
      </w:pPr>
    </w:p>
    <w:p>
      <w:pPr>
        <w:ind w:left="220" w:right="80" w:firstLine="1745"/>
        <w:spacing w:after="0" w:line="277" w:lineRule="auto"/>
        <w:rPr>
          <w:sz w:val="20"/>
          <w:szCs w:val="20"/>
          <w:color w:val="auto"/>
        </w:rPr>
      </w:pPr>
      <w:r>
        <w:rPr>
          <w:rFonts w:ascii="Arial" w:cs="Arial" w:eastAsia="Arial" w:hAnsi="Arial"/>
          <w:sz w:val="18"/>
          <w:szCs w:val="18"/>
          <w:color w:val="auto"/>
        </w:rPr>
        <w:t>Each of our business unit leaders is responsible for various aspects of risk management associated with their business, and our executive officers, including our CEO, CFO and General Counsel, also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color w:val="auto"/>
        </w:rPr>
        <w:t>have the primary responsibility for enterprise-wide risk management. Our CFO and General Counsel work closely with members of senior management, including our accounting staff, our internal audit department, our information technology department and our compliance department to monitor and manage risk.</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Shareholder Engagement</w:t>
      </w:r>
    </w:p>
    <w:p>
      <w:pPr>
        <w:spacing w:after="0" w:line="189" w:lineRule="exact"/>
        <w:rPr>
          <w:sz w:val="20"/>
          <w:szCs w:val="20"/>
          <w:color w:val="auto"/>
        </w:rPr>
      </w:pPr>
    </w:p>
    <w:p>
      <w:pPr>
        <w:ind w:left="220" w:firstLine="1745"/>
        <w:spacing w:after="0" w:line="275" w:lineRule="auto"/>
        <w:rPr>
          <w:sz w:val="20"/>
          <w:szCs w:val="20"/>
          <w:color w:val="auto"/>
        </w:rPr>
      </w:pPr>
      <w:r>
        <w:rPr>
          <w:rFonts w:ascii="Arial" w:cs="Arial" w:eastAsia="Arial" w:hAnsi="Arial"/>
          <w:sz w:val="17"/>
          <w:szCs w:val="17"/>
          <w:color w:val="auto"/>
        </w:rPr>
        <w:t>As we have done in the past, in 2019 we engaged in extensive shareholder outreach, reaching out to shareholders representing nearly two-thirds of our outstanding shares then held by unaffiliated shareholders. In our meetings and other engagement with shareholders, we primarily discussed feedback on our executive compensation program, financial performance, corporate governance initiatives and other matters. Please see “</w:t>
      </w:r>
      <w:r>
        <w:rPr>
          <w:rFonts w:ascii="Arial" w:cs="Arial" w:eastAsia="Arial" w:hAnsi="Arial"/>
          <w:sz w:val="17"/>
          <w:szCs w:val="17"/>
          <w:b w:val="1"/>
          <w:bCs w:val="1"/>
          <w:color w:val="auto"/>
        </w:rPr>
        <w:t>Compensation Discussion and Analysis — 2019 Say on Pay Vote</w:t>
      </w:r>
      <w:r>
        <w:rPr>
          <w:rFonts w:ascii="Arial" w:cs="Arial" w:eastAsia="Arial" w:hAnsi="Arial"/>
          <w:sz w:val="17"/>
          <w:szCs w:val="17"/>
          <w:color w:val="auto"/>
        </w:rPr>
        <w:t>” on page 52 for more information on our recent engagement efforts, as well as key shareholder feedback provided to us during the engagement process.</w:t>
      </w:r>
    </w:p>
    <w:p>
      <w:pPr>
        <w:spacing w:after="0" w:line="136" w:lineRule="exact"/>
        <w:rPr>
          <w:sz w:val="20"/>
          <w:szCs w:val="20"/>
          <w:color w:val="auto"/>
        </w:rPr>
      </w:pPr>
    </w:p>
    <w:p>
      <w:pPr>
        <w:ind w:left="220" w:right="300" w:firstLine="1745"/>
        <w:spacing w:after="0" w:line="275" w:lineRule="auto"/>
        <w:rPr>
          <w:sz w:val="20"/>
          <w:szCs w:val="20"/>
          <w:color w:val="auto"/>
        </w:rPr>
      </w:pPr>
      <w:r>
        <w:rPr>
          <w:rFonts w:ascii="Arial" w:cs="Arial" w:eastAsia="Arial" w:hAnsi="Arial"/>
          <w:sz w:val="17"/>
          <w:szCs w:val="17"/>
          <w:color w:val="auto"/>
        </w:rPr>
        <w:t xml:space="preserve">We are committed to having an open dialogue, and we proactively engage with shareholders in discussions regarding our objectives. We view an open dialogue with our shareholders as a valuable tool that allows us to better appreciate our shareholders’ perspective. Our senior management frequently meets face-to-face and communicates telephonically with our shareholders. We carefully consider the feedback we receive from our shareholders in meetings and through other communications. We also participate in investor conferences, and we make investor presentations available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“For Investors” link.</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Communicating with the Board</w:t>
      </w:r>
    </w:p>
    <w:p>
      <w:pPr>
        <w:spacing w:after="0" w:line="189" w:lineRule="exact"/>
        <w:rPr>
          <w:sz w:val="20"/>
          <w:szCs w:val="20"/>
          <w:color w:val="auto"/>
        </w:rPr>
      </w:pPr>
    </w:p>
    <w:p>
      <w:pPr>
        <w:jc w:val="both"/>
        <w:ind w:left="220" w:right="500" w:firstLine="1745"/>
        <w:spacing w:after="0" w:line="291" w:lineRule="auto"/>
        <w:rPr>
          <w:sz w:val="20"/>
          <w:szCs w:val="20"/>
          <w:color w:val="auto"/>
        </w:rPr>
      </w:pPr>
      <w:r>
        <w:rPr>
          <w:rFonts w:ascii="Arial" w:cs="Arial" w:eastAsia="Arial" w:hAnsi="Arial"/>
          <w:sz w:val="16"/>
          <w:szCs w:val="16"/>
          <w:color w:val="auto"/>
        </w:rPr>
        <w:t>Interested parties may communicate directly with our Board, our non-management directors or an individual director by writing to our Corporate Secretary and specifying whether such communication should be addressed to the attention of (1) the Board as a whole,</w:t>
      </w:r>
    </w:p>
    <w:p>
      <w:pPr>
        <w:ind w:left="220" w:right="40" w:firstLine="6"/>
        <w:spacing w:after="0" w:line="295" w:lineRule="auto"/>
        <w:tabs>
          <w:tab w:leader="none" w:pos="4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non-management directors as a group or (3) the name of the individual director, as applicable. Communications will be distributed to our Board, non-management directors as a group or to any individual director or directors as appropriate, depending on the facts and circumstances outlined in the communication. In that regard, our Board has requested that certain items that are unrelated to its duties and responsibilities should be excluded, such as spam, junk mail and mass mailings, resumes and other forms of job inquiries, surveys and business solicitations or advertisements.</w:t>
      </w:r>
    </w:p>
    <w:p>
      <w:pPr>
        <w:spacing w:after="0" w:line="121" w:lineRule="exact"/>
        <w:rPr>
          <w:sz w:val="20"/>
          <w:szCs w:val="20"/>
          <w:color w:val="auto"/>
        </w:rPr>
      </w:pPr>
    </w:p>
    <w:p>
      <w:pPr>
        <w:ind w:left="220" w:right="100" w:firstLine="1745"/>
        <w:spacing w:after="0" w:line="259" w:lineRule="auto"/>
        <w:rPr>
          <w:sz w:val="20"/>
          <w:szCs w:val="20"/>
          <w:color w:val="auto"/>
        </w:rPr>
      </w:pPr>
      <w:r>
        <w:rPr>
          <w:rFonts w:ascii="Arial" w:cs="Arial" w:eastAsia="Arial" w:hAnsi="Arial"/>
          <w:sz w:val="18"/>
          <w:szCs w:val="18"/>
          <w:color w:val="auto"/>
        </w:rPr>
        <w:t>In addition, material that is unduly hostile, threatening, illegal or similarly unsuitable will be excluded, with the provision that any communication that is filtered out must be made available to any non-management director upon request. Any concerns relating to accounting, internal control over financial reporting or auditing matters will be brought to the attention of our Audit Committee. In addition, for such matters, shareholders and others are encouraged to use our hotline discussed below.</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Hotline for Accounting, Auditing and Other Matters</w:t>
      </w:r>
    </w:p>
    <w:p>
      <w:pPr>
        <w:spacing w:after="0" w:line="189" w:lineRule="exact"/>
        <w:rPr>
          <w:sz w:val="20"/>
          <w:szCs w:val="20"/>
          <w:color w:val="auto"/>
        </w:rPr>
      </w:pPr>
    </w:p>
    <w:p>
      <w:pPr>
        <w:ind w:left="220" w:right="40" w:firstLine="1745"/>
        <w:spacing w:after="0" w:line="273" w:lineRule="auto"/>
        <w:rPr>
          <w:sz w:val="20"/>
          <w:szCs w:val="20"/>
          <w:color w:val="auto"/>
        </w:rPr>
      </w:pPr>
      <w:r>
        <w:rPr>
          <w:rFonts w:ascii="Arial" w:cs="Arial" w:eastAsia="Arial" w:hAnsi="Arial"/>
          <w:sz w:val="17"/>
          <w:szCs w:val="17"/>
          <w:color w:val="auto"/>
        </w:rPr>
        <w:t>As part of the Audit Committee’s role to establish procedures for the receipt of complaints regarding accounting, internal accounting controls or auditing matters, we established a hotline for the anonymous submission of concerns regarding questionable accounting, internal control over financial reporting, auditing matters, and other matters. Communications are distributed to the Board, or to any individual director as appropriate, depending on the facts and circumstances outlined in the communication. Any matters reported through the hotline that involve accounting, internal control over financial reporting, audit matters or any fraud involving management or persons who have a significant role in our internal control over financial reporting will be reported to the Chairman of our Audit Committee.</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02" w:lineRule="exact"/>
        <w:rPr>
          <w:sz w:val="20"/>
          <w:szCs w:val="20"/>
          <w:color w:val="auto"/>
        </w:rPr>
      </w:pPr>
    </w:p>
    <w:p>
      <w:pPr>
        <w:ind w:left="220" w:right="660" w:firstLine="1745"/>
        <w:spacing w:after="0" w:line="277" w:lineRule="auto"/>
        <w:rPr>
          <w:sz w:val="20"/>
          <w:szCs w:val="20"/>
          <w:color w:val="auto"/>
        </w:rPr>
      </w:pPr>
      <w:r>
        <w:rPr>
          <w:rFonts w:ascii="Arial" w:cs="Arial" w:eastAsia="Arial" w:hAnsi="Arial"/>
          <w:sz w:val="18"/>
          <w:szCs w:val="18"/>
          <w:color w:val="auto"/>
        </w:rPr>
        <w:t>We have a Code of Business Conduct and Ethics applicable to all of our employees, including our CEO, our CFO, our Controller (or persons performing similar functions) and our Board. You can find a link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 xml:space="preserve">to our Code of Business Conduct and Ethics on our website at </w:t>
      </w:r>
      <w:r>
        <w:rPr>
          <w:rFonts w:ascii="Arial" w:cs="Arial" w:eastAsia="Arial" w:hAnsi="Arial"/>
          <w:sz w:val="18"/>
          <w:szCs w:val="18"/>
          <w:i w:val="1"/>
          <w:iCs w:val="1"/>
          <w:color w:val="auto"/>
        </w:rPr>
        <w:t>www.evercore.com</w:t>
      </w:r>
      <w:r>
        <w:rPr>
          <w:rFonts w:ascii="Arial" w:cs="Arial" w:eastAsia="Arial" w:hAnsi="Arial"/>
          <w:sz w:val="18"/>
          <w:szCs w:val="18"/>
          <w:color w:val="auto"/>
        </w:rPr>
        <w:t xml:space="preserve"> under the “For Investors” link, and we will provide a printed copy of our Code of Business Conduct and Ethics to any shareholder who contacts Investor Relations and requests a copy. To the extent required to be disclosed, we will post amendments to, or any waivers from, our Code of Business Conduct and Ethics at the same location on our website as our Code of Business Conduct and Ethics.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0016FF"/>
        </w:rPr>
        <w:t>DIRECTOR COMPENSATION</w:t>
      </w:r>
    </w:p>
    <w:p>
      <w:pPr>
        <w:spacing w:after="0" w:line="192" w:lineRule="exact"/>
        <w:rPr>
          <w:sz w:val="20"/>
          <w:szCs w:val="20"/>
          <w:color w:val="auto"/>
        </w:rPr>
      </w:pPr>
    </w:p>
    <w:p>
      <w:pPr>
        <w:ind w:left="220" w:right="20" w:firstLine="1745"/>
        <w:spacing w:after="0" w:line="259" w:lineRule="auto"/>
        <w:rPr>
          <w:sz w:val="20"/>
          <w:szCs w:val="20"/>
          <w:color w:val="auto"/>
        </w:rPr>
      </w:pPr>
      <w:r>
        <w:rPr>
          <w:rFonts w:ascii="Arial" w:cs="Arial" w:eastAsia="Arial" w:hAnsi="Arial"/>
          <w:sz w:val="18"/>
          <w:szCs w:val="18"/>
          <w:color w:val="auto"/>
        </w:rPr>
        <w:t>Our policy is to not pay director compensation to directors who are also our employees. The Board’s non-employee director compensation policies provide for non-management directors to receive a one-time award of RSUs with a value of $50,000 upon initial appointment to the Board, which vest on the second anniversary of the grant date. Non-management directors also receive an annual retainer and RSU grant, as outlined below.</w:t>
      </w:r>
    </w:p>
    <w:p>
      <w:pPr>
        <w:sectPr>
          <w:pgSz w:w="11900" w:h="16838" w:orient="portrait"/>
          <w:cols w:equalWidth="0" w:num="1">
            <w:col w:w="11120"/>
          </w:cols>
          <w:pgMar w:left="320" w:top="459" w:right="459" w:bottom="1440" w:gutter="0" w:footer="0" w:header="0"/>
        </w:sectPr>
      </w:pP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0016FF"/>
              </w:rPr>
              <w:t>($)</w:t>
            </w:r>
          </w:p>
        </w:tc>
      </w:tr>
      <w:tr>
        <w:trPr>
          <w:trHeight w:val="398"/>
        </w:trPr>
        <w:tc>
          <w:tcPr>
            <w:tcW w:w="5080" w:type="dxa"/>
            <w:vAlign w:val="bottom"/>
          </w:tcPr>
          <w:p>
            <w:pPr>
              <w:spacing w:after="0"/>
              <w:rPr>
                <w:sz w:val="20"/>
                <w:szCs w:val="20"/>
                <w:color w:val="auto"/>
              </w:rPr>
            </w:pPr>
            <w:r>
              <w:rPr>
                <w:rFonts w:ascii="Arial" w:cs="Arial" w:eastAsia="Arial" w:hAnsi="Arial"/>
                <w:sz w:val="18"/>
                <w:szCs w:val="18"/>
                <w:color w:val="auto"/>
              </w:rPr>
              <w:t>Annual Compensation:</w:t>
            </w:r>
          </w:p>
        </w:tc>
        <w:tc>
          <w:tcPr>
            <w:tcW w:w="580" w:type="dxa"/>
            <w:vAlign w:val="bottom"/>
          </w:tcPr>
          <w:p>
            <w:pPr>
              <w:spacing w:after="0"/>
              <w:rPr>
                <w:sz w:val="24"/>
                <w:szCs w:val="24"/>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Retainer</w:t>
            </w:r>
          </w:p>
        </w:tc>
        <w:tc>
          <w:tcPr>
            <w:tcW w:w="5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RSU Grant</w:t>
            </w:r>
          </w:p>
        </w:tc>
        <w:tc>
          <w:tcPr>
            <w:tcW w:w="5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Committee Chairs</w:t>
            </w: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One-Time RSU Grant upon Joining the Board</w:t>
            </w: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-967740</wp:posOffset>
            </wp:positionV>
            <wp:extent cx="699516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075"/>
        <w:spacing w:after="0"/>
        <w:rPr>
          <w:sz w:val="20"/>
          <w:szCs w:val="20"/>
          <w:color w:val="auto"/>
        </w:rPr>
      </w:pPr>
      <w:r>
        <w:rPr>
          <w:rFonts w:ascii="Arial" w:cs="Arial" w:eastAsia="Arial" w:hAnsi="Arial"/>
          <w:sz w:val="18"/>
          <w:szCs w:val="18"/>
          <w:b w:val="1"/>
          <w:bCs w:val="1"/>
          <w:color w:val="0016FF"/>
        </w:rPr>
        <w:t>Key Payment and Vesting Features</w:t>
      </w:r>
    </w:p>
    <w:p>
      <w:pPr>
        <w:spacing w:after="0" w:line="40" w:lineRule="exact"/>
        <w:rPr>
          <w:sz w:val="20"/>
          <w:szCs w:val="20"/>
          <w:color w:val="auto"/>
        </w:rPr>
      </w:pPr>
    </w:p>
    <w:p>
      <w:pPr>
        <w:ind w:left="175" w:right="440" w:hanging="175"/>
        <w:spacing w:after="0" w:line="274" w:lineRule="auto"/>
        <w:tabs>
          <w:tab w:leader="none" w:pos="179" w:val="left"/>
        </w:tabs>
        <w:numPr>
          <w:ilvl w:val="0"/>
          <w:numId w:val="32"/>
        </w:numPr>
        <w:rPr>
          <w:rFonts w:ascii="MS PGothic" w:cs="MS PGothic" w:eastAsia="MS PGothic" w:hAnsi="MS PGothic"/>
          <w:sz w:val="17"/>
          <w:szCs w:val="17"/>
          <w:color w:val="auto"/>
        </w:rPr>
      </w:pPr>
      <w:r>
        <w:rPr>
          <w:rFonts w:ascii="Arial" w:cs="Arial" w:eastAsia="Arial" w:hAnsi="Arial"/>
          <w:sz w:val="17"/>
          <w:szCs w:val="17"/>
          <w:color w:val="auto"/>
        </w:rPr>
        <w:t>Retainer payable 100% in cash or 50% in cash and 50% in Class A common stock, at director’s election.</w:t>
      </w:r>
    </w:p>
    <w:p>
      <w:pPr>
        <w:ind w:left="175" w:right="340" w:hanging="175"/>
        <w:spacing w:after="0" w:line="281" w:lineRule="auto"/>
        <w:tabs>
          <w:tab w:leader="none" w:pos="169"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Annual RSU grants vest on the first anniversary of the grant date.</w:t>
      </w:r>
    </w:p>
    <w:p>
      <w:pPr>
        <w:spacing w:after="0" w:line="1" w:lineRule="exact"/>
        <w:rPr>
          <w:rFonts w:ascii="MS PGothic" w:cs="MS PGothic" w:eastAsia="MS PGothic" w:hAnsi="MS PGothic"/>
          <w:sz w:val="16"/>
          <w:szCs w:val="16"/>
          <w:color w:val="auto"/>
        </w:rPr>
      </w:pPr>
    </w:p>
    <w:p>
      <w:pPr>
        <w:ind w:left="175" w:right="380" w:hanging="175"/>
        <w:spacing w:after="0" w:line="290" w:lineRule="auto"/>
        <w:tabs>
          <w:tab w:leader="none" w:pos="179" w:val="left"/>
        </w:tabs>
        <w:numPr>
          <w:ilvl w:val="0"/>
          <w:numId w:val="32"/>
        </w:numPr>
        <w:rPr>
          <w:rFonts w:ascii="MS PGothic" w:cs="MS PGothic" w:eastAsia="MS PGothic" w:hAnsi="MS PGothic"/>
          <w:sz w:val="17"/>
          <w:szCs w:val="17"/>
          <w:color w:val="auto"/>
        </w:rPr>
      </w:pPr>
      <w:r>
        <w:rPr>
          <w:rFonts w:ascii="Arial" w:cs="Arial" w:eastAsia="Arial" w:hAnsi="Arial"/>
          <w:sz w:val="17"/>
          <w:szCs w:val="17"/>
          <w:color w:val="auto"/>
        </w:rPr>
        <w:t>One-time RSU grants vest on the second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-856615</wp:posOffset>
            </wp:positionV>
            <wp:extent cx="3077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425"/>
            <w:col w:w="4835"/>
          </w:cols>
          <w:pgMar w:left="320" w:top="459" w:right="459" w:bottom="1440" w:gutter="0" w:footer="0" w:header="0"/>
          <w:type w:val="continuous"/>
        </w:sectPr>
      </w:pPr>
    </w:p>
    <w:p>
      <w:pPr>
        <w:spacing w:after="0" w:line="12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The Board believes that our payment structure is consistent with the compensation practices of our direct peers and similarly</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situated companies.</w:t>
      </w:r>
    </w:p>
    <w:p>
      <w:pPr>
        <w:spacing w:after="0" w:line="166" w:lineRule="exact"/>
        <w:rPr>
          <w:sz w:val="20"/>
          <w:szCs w:val="20"/>
          <w:color w:val="auto"/>
        </w:rPr>
      </w:pPr>
    </w:p>
    <w:p>
      <w:pPr>
        <w:ind w:left="220" w:right="140" w:firstLine="1745"/>
        <w:spacing w:after="0" w:line="261" w:lineRule="auto"/>
        <w:rPr>
          <w:sz w:val="20"/>
          <w:szCs w:val="20"/>
          <w:color w:val="auto"/>
        </w:rPr>
      </w:pPr>
      <w:r>
        <w:rPr>
          <w:rFonts w:ascii="Arial" w:cs="Arial" w:eastAsia="Arial" w:hAnsi="Arial"/>
          <w:sz w:val="18"/>
          <w:szCs w:val="18"/>
          <w:b w:val="1"/>
          <w:bCs w:val="1"/>
          <w:color w:val="0A26FF"/>
        </w:rPr>
        <w:t>Other Compensation</w:t>
      </w:r>
      <w:r>
        <w:rPr>
          <w:rFonts w:ascii="Arial" w:cs="Arial" w:eastAsia="Arial" w:hAnsi="Arial"/>
          <w:sz w:val="18"/>
          <w:szCs w:val="18"/>
          <w:color w:val="000000"/>
        </w:rPr>
        <w:t>. Non-management directors are further reimbursed for travel and related expenses associated with</w:t>
      </w:r>
      <w:r>
        <w:rPr>
          <w:rFonts w:ascii="Arial" w:cs="Arial" w:eastAsia="Arial" w:hAnsi="Arial"/>
          <w:sz w:val="18"/>
          <w:szCs w:val="18"/>
          <w:b w:val="1"/>
          <w:bCs w:val="1"/>
          <w:color w:val="0A26FF"/>
        </w:rPr>
        <w:t xml:space="preserve"> </w:t>
      </w:r>
      <w:r>
        <w:rPr>
          <w:rFonts w:ascii="Arial" w:cs="Arial" w:eastAsia="Arial" w:hAnsi="Arial"/>
          <w:sz w:val="18"/>
          <w:szCs w:val="18"/>
          <w:color w:val="000000"/>
        </w:rPr>
        <w:t>attendance at Board or committee meetings, as well as expenses for continuing education programs related to their role as members of the Board. For administrative ease in dealing with our transfer agent and our stock plan administrator, equity awards that would otherwise result in fractional shares are rounded up to the nearest whole share.</w:t>
      </w:r>
    </w:p>
    <w:p>
      <w:pPr>
        <w:spacing w:after="0" w:line="153" w:lineRule="exact"/>
        <w:rPr>
          <w:sz w:val="20"/>
          <w:szCs w:val="20"/>
          <w:color w:val="auto"/>
        </w:rPr>
      </w:pPr>
    </w:p>
    <w:p>
      <w:pPr>
        <w:ind w:left="220" w:right="80" w:firstLine="1745"/>
        <w:spacing w:after="0" w:line="255" w:lineRule="auto"/>
        <w:rPr>
          <w:sz w:val="20"/>
          <w:szCs w:val="20"/>
          <w:color w:val="auto"/>
        </w:rPr>
      </w:pPr>
      <w:r>
        <w:rPr>
          <w:rFonts w:ascii="Arial" w:cs="Arial" w:eastAsia="Arial" w:hAnsi="Arial"/>
          <w:sz w:val="18"/>
          <w:szCs w:val="18"/>
          <w:b w:val="1"/>
          <w:bCs w:val="1"/>
          <w:color w:val="0A26FF"/>
        </w:rPr>
        <w:t>Details on 2019 RSU Grants</w:t>
      </w:r>
      <w:r>
        <w:rPr>
          <w:rFonts w:ascii="Arial" w:cs="Arial" w:eastAsia="Arial" w:hAnsi="Arial"/>
          <w:sz w:val="18"/>
          <w:szCs w:val="18"/>
          <w:color w:val="000000"/>
        </w:rPr>
        <w:t>. In connection with her initial appointment to the Board, on October 24, 2019 Ms. Carlton</w:t>
      </w:r>
      <w:r>
        <w:rPr>
          <w:rFonts w:ascii="Arial" w:cs="Arial" w:eastAsia="Arial" w:hAnsi="Arial"/>
          <w:sz w:val="18"/>
          <w:szCs w:val="18"/>
          <w:b w:val="1"/>
          <w:bCs w:val="1"/>
          <w:color w:val="0A26FF"/>
        </w:rPr>
        <w:t xml:space="preserve"> </w:t>
      </w:r>
      <w:r>
        <w:rPr>
          <w:rFonts w:ascii="Arial" w:cs="Arial" w:eastAsia="Arial" w:hAnsi="Arial"/>
          <w:sz w:val="18"/>
          <w:szCs w:val="18"/>
          <w:color w:val="000000"/>
        </w:rPr>
        <w:t>received an award of 653 RSUs with a value of approximately $50,000, based on the average of the high and low average share price during each day of the 10-trading-day period from October 10, 2019 through October 23, 2019. These RSUs will vest on the second anniversary of the grant date. Additionally, each non-management director (other than Ms. Carlton, who was appointed to the Board after our 2019 annual meeting) received, upon his or her re-election to the Board on June 18, 2019, an award of 1,037 RSUs with a value of approximately $90,000, based on the average of the high and low average share price during each day of the 10-trading-day period from June 4, 2019 through June 17, 2019. These RSUs will vest on the first anniversary of the grant date.</w:t>
      </w:r>
    </w:p>
    <w:p>
      <w:pPr>
        <w:spacing w:after="0" w:line="148" w:lineRule="exact"/>
        <w:rPr>
          <w:sz w:val="20"/>
          <w:szCs w:val="20"/>
          <w:color w:val="auto"/>
        </w:rPr>
      </w:pPr>
    </w:p>
    <w:p>
      <w:pPr>
        <w:ind w:left="220" w:firstLine="1745"/>
        <w:spacing w:after="0" w:line="270" w:lineRule="auto"/>
        <w:rPr>
          <w:sz w:val="20"/>
          <w:szCs w:val="20"/>
          <w:color w:val="auto"/>
        </w:rPr>
      </w:pPr>
      <w:r>
        <w:rPr>
          <w:rFonts w:ascii="Arial" w:cs="Arial" w:eastAsia="Arial" w:hAnsi="Arial"/>
          <w:sz w:val="17"/>
          <w:szCs w:val="17"/>
          <w:b w:val="1"/>
          <w:bCs w:val="1"/>
          <w:color w:val="0A26FF"/>
        </w:rPr>
        <w:t>Equity Ownership Guideline: 3x Most Recent Annual Retainer</w:t>
      </w:r>
      <w:r>
        <w:rPr>
          <w:rFonts w:ascii="Arial" w:cs="Arial" w:eastAsia="Arial" w:hAnsi="Arial"/>
          <w:sz w:val="17"/>
          <w:szCs w:val="17"/>
          <w:color w:val="000000"/>
        </w:rPr>
        <w:t>. Our Board has also adopted equity ownership guidelines</w:t>
      </w:r>
      <w:r>
        <w:rPr>
          <w:rFonts w:ascii="Arial" w:cs="Arial" w:eastAsia="Arial" w:hAnsi="Arial"/>
          <w:sz w:val="17"/>
          <w:szCs w:val="17"/>
          <w:b w:val="1"/>
          <w:bCs w:val="1"/>
          <w:color w:val="0A26FF"/>
        </w:rPr>
        <w:t xml:space="preserve"> </w:t>
      </w:r>
      <w:r>
        <w:rPr>
          <w:rFonts w:ascii="Arial" w:cs="Arial" w:eastAsia="Arial" w:hAnsi="Arial"/>
          <w:sz w:val="17"/>
          <w:szCs w:val="17"/>
          <w:color w:val="000000"/>
        </w:rPr>
        <w:t>that require our non-management directors to own shares of Class A common stock, including RSUs awarded in connection with service on the Board, shares beneficially owned by his or her immediate family members residing in the same household and shares held in trust for the benefit of the director or his or her immediate family members, with a value equal to or greater than three times the director’s most recently paid annual retainer. Until a director meets the required ownership level, he or she must retain 100% of shares received upon vesting of RSUs (other than shares sold to satisfy tax obligations associated with vesting) awarded in connection with service on the Board. Compliance with these guidelines may be waived, at the discretion of our Nominating and Corporate Governance Committee, if compliance would create severe hardship for a non-management director or prevent him or her from complying with a court order. It is expected that these instances will be rare and, in these cases, our Nominating and Corporate Governance Committee will develop alternative ownership guidelines that reflect the intent of these guidelines and the director’s personal circumstances.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20" w:firstLine="1745"/>
        <w:spacing w:after="0" w:line="277" w:lineRule="auto"/>
        <w:rPr>
          <w:sz w:val="20"/>
          <w:szCs w:val="20"/>
          <w:color w:val="auto"/>
        </w:rPr>
      </w:pPr>
      <w:r>
        <w:rPr>
          <w:rFonts w:ascii="Arial" w:cs="Arial" w:eastAsia="Arial" w:hAnsi="Arial"/>
          <w:sz w:val="18"/>
          <w:szCs w:val="18"/>
          <w:color w:val="auto"/>
        </w:rPr>
        <w:t>The following table provides summary information concerning compensation paid or accrued by us to or on behalf of our non-management directors for services rendered to us during 2019.</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720" w:type="dxa"/>
            <w:vAlign w:val="bottom"/>
            <w:gridSpan w:val="2"/>
          </w:tcPr>
          <w:p>
            <w:pPr>
              <w:ind w:left="100"/>
              <w:spacing w:after="0"/>
              <w:rPr>
                <w:sz w:val="20"/>
                <w:szCs w:val="20"/>
                <w:color w:val="auto"/>
              </w:rPr>
            </w:pPr>
            <w:r>
              <w:rPr>
                <w:rFonts w:ascii="Arial" w:cs="Arial" w:eastAsia="Arial" w:hAnsi="Arial"/>
                <w:sz w:val="18"/>
                <w:szCs w:val="18"/>
                <w:b w:val="1"/>
                <w:bCs w:val="1"/>
                <w:color w:val="auto"/>
              </w:rPr>
              <w:t>Director Compensation in 2019</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0016FF"/>
                <w:w w:val="89"/>
              </w:rPr>
              <w:t>Fees Earned</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0016FF"/>
                <w:w w:val="92"/>
              </w:rPr>
              <w:t>or Paid in</w:t>
            </w:r>
          </w:p>
        </w:tc>
        <w:tc>
          <w:tcPr>
            <w:tcW w:w="1540" w:type="dxa"/>
            <w:vAlign w:val="bottom"/>
            <w:gridSpan w:val="2"/>
          </w:tcPr>
          <w:p>
            <w:pPr>
              <w:ind w:left="400"/>
              <w:spacing w:after="0"/>
              <w:rPr>
                <w:sz w:val="20"/>
                <w:szCs w:val="20"/>
                <w:color w:val="auto"/>
              </w:rPr>
            </w:pPr>
            <w:r>
              <w:rPr>
                <w:rFonts w:ascii="Arial" w:cs="Arial" w:eastAsia="Arial" w:hAnsi="Arial"/>
                <w:sz w:val="18"/>
                <w:szCs w:val="18"/>
                <w:b w:val="1"/>
                <w:bCs w:val="1"/>
                <w:color w:val="0016FF"/>
              </w:rPr>
              <w:t>Stock</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vMerge w:val="restart"/>
          </w:tcPr>
          <w:p>
            <w:pPr>
              <w:ind w:left="2980"/>
              <w:spacing w:after="0"/>
              <w:rPr>
                <w:sz w:val="20"/>
                <w:szCs w:val="20"/>
                <w:color w:val="auto"/>
              </w:rPr>
            </w:pPr>
            <w:r>
              <w:rPr>
                <w:rFonts w:ascii="Arial" w:cs="Arial" w:eastAsia="Arial" w:hAnsi="Arial"/>
                <w:sz w:val="18"/>
                <w:szCs w:val="18"/>
                <w:b w:val="1"/>
                <w:bCs w:val="1"/>
                <w:color w:val="0016FF"/>
              </w:rPr>
              <w:t>Name</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0016FF"/>
                <w:w w:val="90"/>
              </w:rPr>
              <w:t>Cash</w:t>
            </w: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0016FF"/>
              </w:rPr>
              <w:t>Awards(1)</w:t>
            </w:r>
          </w:p>
        </w:tc>
        <w:tc>
          <w:tcPr>
            <w:tcW w:w="1120" w:type="dxa"/>
            <w:vAlign w:val="bottom"/>
          </w:tcPr>
          <w:p>
            <w:pPr>
              <w:ind w:left="360"/>
              <w:spacing w:after="0"/>
              <w:rPr>
                <w:sz w:val="20"/>
                <w:szCs w:val="20"/>
                <w:color w:val="auto"/>
              </w:rPr>
            </w:pPr>
            <w:r>
              <w:rPr>
                <w:rFonts w:ascii="Arial" w:cs="Arial" w:eastAsia="Arial" w:hAnsi="Arial"/>
                <w:sz w:val="18"/>
                <w:szCs w:val="18"/>
                <w:b w:val="1"/>
                <w:bCs w:val="1"/>
                <w:color w:val="0016FF"/>
              </w:rPr>
              <w:t>Total</w:t>
            </w:r>
          </w:p>
        </w:tc>
        <w:tc>
          <w:tcPr>
            <w:tcW w:w="0" w:type="dxa"/>
            <w:vAlign w:val="bottom"/>
          </w:tcPr>
          <w:p>
            <w:pPr>
              <w:spacing w:after="0"/>
              <w:rPr>
                <w:sz w:val="1"/>
                <w:szCs w:val="1"/>
                <w:color w:val="auto"/>
              </w:rPr>
            </w:pPr>
          </w:p>
        </w:tc>
      </w:tr>
      <w:tr>
        <w:trPr>
          <w:trHeight w:val="234"/>
        </w:trPr>
        <w:tc>
          <w:tcPr>
            <w:tcW w:w="6720" w:type="dxa"/>
            <w:vAlign w:val="bottom"/>
            <w:gridSpan w:val="2"/>
            <w:vMerge w:val="continue"/>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0016FF"/>
                <w:w w:val="90"/>
              </w:rPr>
              <w:t>($)</w:t>
            </w:r>
          </w:p>
        </w:tc>
        <w:tc>
          <w:tcPr>
            <w:tcW w:w="3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0016FF"/>
                <w:w w:val="99"/>
              </w:rPr>
              <w:t>($)</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016FF"/>
                <w:w w:val="99"/>
              </w:rPr>
              <w:t>($)</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Richard I. Beattie</w:t>
            </w: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90,000</w:t>
            </w: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180,489</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Pamela G. Carlton(2)</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48,097</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48,097</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Ellen V. Futter</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180,489</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Gail B. Harris</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110,000</w:t>
            </w:r>
          </w:p>
        </w:tc>
        <w:tc>
          <w:tcPr>
            <w:tcW w:w="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200,489</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Robert B. Millard</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110,000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200,489</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Willard J. Overlock, Jr.</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90,000</w:t>
            </w:r>
          </w:p>
        </w:tc>
        <w:tc>
          <w:tcPr>
            <w:tcW w:w="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180,489</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Sir Simon M. Robertson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180,489</w:t>
            </w:r>
          </w:p>
        </w:tc>
        <w:tc>
          <w:tcPr>
            <w:tcW w:w="0" w:type="dxa"/>
            <w:vAlign w:val="bottom"/>
          </w:tcPr>
          <w:p>
            <w:pPr>
              <w:spacing w:after="0"/>
              <w:rPr>
                <w:sz w:val="1"/>
                <w:szCs w:val="1"/>
                <w:color w:val="auto"/>
              </w:rPr>
            </w:pPr>
          </w:p>
        </w:tc>
      </w:tr>
      <w:tr>
        <w:trPr>
          <w:trHeight w:val="216"/>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William J. Wheeler</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110,000</w:t>
            </w:r>
          </w:p>
        </w:tc>
        <w:tc>
          <w:tcPr>
            <w:tcW w:w="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200,489</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Sarah K. Williamson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180,489</w:t>
            </w:r>
          </w:p>
        </w:tc>
        <w:tc>
          <w:tcPr>
            <w:tcW w:w="0" w:type="dxa"/>
            <w:vAlign w:val="bottom"/>
          </w:tcPr>
          <w:p>
            <w:pPr>
              <w:spacing w:after="0"/>
              <w:rPr>
                <w:sz w:val="1"/>
                <w:szCs w:val="1"/>
                <w:color w:val="auto"/>
              </w:rPr>
            </w:pPr>
          </w:p>
        </w:tc>
      </w:tr>
      <w:tr>
        <w:trPr>
          <w:trHeight w:val="230"/>
        </w:trPr>
        <w:tc>
          <w:tcPr>
            <w:tcW w:w="6720" w:type="dxa"/>
            <w:vAlign w:val="bottom"/>
            <w:gridSpan w:val="2"/>
          </w:tcPr>
          <w:p>
            <w:pPr>
              <w:ind w:left="80"/>
              <w:spacing w:after="0"/>
              <w:rPr>
                <w:sz w:val="20"/>
                <w:szCs w:val="20"/>
                <w:color w:val="auto"/>
              </w:rPr>
            </w:pPr>
            <w:r>
              <w:rPr>
                <w:rFonts w:ascii="Arial" w:cs="Arial" w:eastAsia="Arial" w:hAnsi="Arial"/>
                <w:sz w:val="18"/>
                <w:szCs w:val="18"/>
                <w:color w:val="auto"/>
              </w:rPr>
              <w:t>Kendrick R. Wilson III</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90,000</w:t>
            </w:r>
          </w:p>
        </w:tc>
        <w:tc>
          <w:tcPr>
            <w:tcW w:w="3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90,489</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180,489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397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22" w:lineRule="exact"/>
        <w:rPr>
          <w:sz w:val="20"/>
          <w:szCs w:val="20"/>
          <w:color w:val="auto"/>
        </w:rPr>
      </w:pPr>
    </w:p>
    <w:p>
      <w:pPr>
        <w:ind w:left="660" w:right="20" w:hanging="436"/>
        <w:spacing w:after="0" w:line="243" w:lineRule="auto"/>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amounts reflected in the Stock Awards column represent the grant date fair value of the awards made during 2019, as computed in accordance with FASB ASC Topic 718. The grant date fair value of the awards reflected in the table above is based on the average of the high and low trading price of the Class A common stock on the date of grant, which would be October 24, 2019 ($73.66) in the case of the RSUs granted to Ms. Carlton in connection with her appointment to the Board and June 18, 2019 ($87.26) in the case of the annual RSUs award granted to all other directors. For Ms. Carlton, the grant date fair value of the initial RSU awards differs from $50,000 because the number of RSUs granted to Ms. Carlton was determined based on the average of the high and low average share price during each day of the 10-trading-day period from October 10, 2019 through October 23, 2019 ($76.58). For our other non-management directors, the grant date fair value of the annual RSU awards differs from $90,000 because the number of RSUs granted to directors was determined based on the average of the high and low average share price during each day of the 10-trading-day period from June 4, 2019 through June 17, 2019 ($86.87). As of December 31, 2019, each of the directors (other than Ms. Carlton, who was appointed to the Board after our 2019 annual meeting) held 1,037 unvested RSUs, which vest on June 18, 2020, Mses. Futter and Williamson held an additional 528 unvested RSUs which they received upon their initial appointment to the Board and which vest on April 27, 2020 and Mr. Wilson held an additional 569 unvested RSUs, which he received upon his initial appointment to the Board and which vest on October 26, 2020. As of December 31, 2019, Ms. Carlton held 653 unvested RSUs, which she received upon her initial appointment to the Board and which vest on October 24, 2021.</w:t>
      </w:r>
    </w:p>
    <w:p>
      <w:pPr>
        <w:spacing w:after="0" w:line="184" w:lineRule="exact"/>
        <w:rPr>
          <w:rFonts w:ascii="Arial" w:cs="Arial" w:eastAsia="Arial" w:hAnsi="Arial"/>
          <w:sz w:val="13"/>
          <w:szCs w:val="13"/>
          <w:color w:val="auto"/>
        </w:rPr>
      </w:pPr>
    </w:p>
    <w:p>
      <w:pPr>
        <w:ind w:left="660" w:right="120" w:hanging="436"/>
        <w:spacing w:after="0" w:line="253"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Ms. Carlton joined the Board on October 22, 2019 and was not paid any portion of the cash retainer or granted any portion of the annual RSU award in respect of her partial year of service in 2019.</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16FF"/>
        </w:rPr>
        <w:t>COMPENSATION DISCUSSION &amp; ANALYSIS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The following discussions and tables provide summary information concerning compensation for our NEOs, who for 2019 are: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Messrs. Altman, Schlosstein, Weinberg, Walsh and Sibbald.</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FFFFF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72" w:lineRule="exact"/>
        <w:rPr>
          <w:sz w:val="20"/>
          <w:szCs w:val="20"/>
          <w:color w:val="auto"/>
        </w:rPr>
      </w:pPr>
    </w:p>
    <w:p>
      <w:pPr>
        <w:ind w:left="220" w:firstLine="1745"/>
        <w:spacing w:after="0" w:line="296" w:lineRule="auto"/>
        <w:rPr>
          <w:sz w:val="20"/>
          <w:szCs w:val="20"/>
          <w:color w:val="auto"/>
        </w:rPr>
      </w:pPr>
      <w:r>
        <w:rPr>
          <w:rFonts w:ascii="Arial" w:cs="Arial" w:eastAsia="Arial" w:hAnsi="Arial"/>
          <w:sz w:val="16"/>
          <w:szCs w:val="16"/>
          <w:color w:val="auto"/>
        </w:rPr>
        <w:t>Our executive compensation program reflects the Company’s commitment to pay for performance. Executives that serve in our business units, including those that are NEOs, are paid largely on their contribution to our success and the success of their respective business units, motivating them to conduct the business in a manner that produces superior results over the long term. Also, in determining compensation, we take into account the executive’s promotion of and adherence to our core values, which are critical to our reputation and culture. This executive summary provides an overview of 2019 performance, 2019 compensation highlights, 2019 Say on Pay results and our related shareholder outreach efforts.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Organization and Key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42430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03415" cy="424307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(see page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of</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Named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(see page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20"/>
        <w:spacing w:after="0" w:line="258" w:lineRule="auto"/>
        <w:rPr>
          <w:sz w:val="20"/>
          <w:szCs w:val="20"/>
          <w:color w:val="auto"/>
        </w:rPr>
      </w:pPr>
      <w:r>
        <w:rPr>
          <w:rFonts w:ascii="Arial" w:cs="Arial" w:eastAsia="Arial" w:hAnsi="Arial"/>
          <w:sz w:val="18"/>
          <w:szCs w:val="18"/>
          <w:b w:val="1"/>
          <w:bCs w:val="1"/>
          <w:color w:val="auto"/>
        </w:rPr>
        <w:t>2019 Say on Pay Vote and Shareholder Engagement (see page 52)</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16FF"/>
        </w:rPr>
        <w:t>Delivering strong financial results</w:t>
      </w:r>
    </w:p>
    <w:p>
      <w:pPr>
        <w:spacing w:after="0" w:line="135" w:lineRule="exact"/>
        <w:rPr>
          <w:sz w:val="20"/>
          <w:szCs w:val="20"/>
          <w:color w:val="auto"/>
        </w:rPr>
      </w:pPr>
    </w:p>
    <w:p>
      <w:pPr>
        <w:ind w:left="228" w:hanging="228"/>
        <w:spacing w:after="0"/>
        <w:tabs>
          <w:tab w:leader="none" w:pos="228"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Second consecutive year of Adjusted revenues in excess of $2 billion*</w:t>
      </w:r>
    </w:p>
    <w:p>
      <w:pPr>
        <w:spacing w:after="0" w:line="130" w:lineRule="exact"/>
        <w:rPr>
          <w:rFonts w:ascii="MS PGothic" w:cs="MS PGothic" w:eastAsia="MS PGothic" w:hAnsi="MS PGothic"/>
          <w:sz w:val="18"/>
          <w:szCs w:val="18"/>
          <w:color w:val="auto"/>
        </w:rPr>
      </w:pPr>
    </w:p>
    <w:p>
      <w:pPr>
        <w:ind w:left="228" w:hanging="228"/>
        <w:spacing w:after="0"/>
        <w:tabs>
          <w:tab w:leader="none" w:pos="228"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Strong Earnings and Earnings Per Share for 2019 on both a U.S. GAAP and an Adjusted basis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16FF"/>
        </w:rPr>
        <w:t>Returning significant capital to shareholders</w:t>
      </w:r>
    </w:p>
    <w:p>
      <w:pPr>
        <w:spacing w:after="0" w:line="135" w:lineRule="exact"/>
        <w:rPr>
          <w:sz w:val="20"/>
          <w:szCs w:val="20"/>
          <w:color w:val="auto"/>
        </w:rPr>
      </w:pPr>
    </w:p>
    <w:p>
      <w:pPr>
        <w:ind w:left="228" w:hanging="228"/>
        <w:spacing w:after="0"/>
        <w:tabs>
          <w:tab w:leader="none" w:pos="228"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$391.6 million returned to shareholders during the year through dividends and equity repurchases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16FF"/>
        </w:rPr>
        <w:t>Links pay to performance and promotes alignment with shareholders</w:t>
      </w:r>
    </w:p>
    <w:p>
      <w:pPr>
        <w:spacing w:after="0" w:line="135" w:lineRule="exact"/>
        <w:rPr>
          <w:sz w:val="20"/>
          <w:szCs w:val="20"/>
          <w:color w:val="auto"/>
        </w:rPr>
      </w:pPr>
    </w:p>
    <w:p>
      <w:pPr>
        <w:ind w:left="208" w:right="40" w:hanging="208"/>
        <w:spacing w:after="0" w:line="277" w:lineRule="auto"/>
        <w:tabs>
          <w:tab w:leader="none" w:pos="212"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Our NEO compensation reflects our strong performance in 2019 and the growth in key operating metrics, while taking into account our performance relative to our record 2018 performance</w:t>
      </w:r>
    </w:p>
    <w:p>
      <w:pPr>
        <w:spacing w:after="0" w:line="75" w:lineRule="exact"/>
        <w:rPr>
          <w:rFonts w:ascii="MS PGothic" w:cs="MS PGothic" w:eastAsia="MS PGothic" w:hAnsi="MS PGothic"/>
          <w:sz w:val="18"/>
          <w:szCs w:val="18"/>
          <w:color w:val="auto"/>
        </w:rPr>
      </w:pPr>
    </w:p>
    <w:p>
      <w:pPr>
        <w:ind w:left="208" w:right="200" w:hanging="208"/>
        <w:spacing w:after="0" w:line="277" w:lineRule="auto"/>
        <w:tabs>
          <w:tab w:leader="none" w:pos="212"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No increases to base salaries for our NEOs since they joined us, and base salary continues to represent a minority of total annual compensation</w:t>
      </w:r>
    </w:p>
    <w:p>
      <w:pPr>
        <w:spacing w:after="0" w:line="75" w:lineRule="exact"/>
        <w:rPr>
          <w:rFonts w:ascii="MS PGothic" w:cs="MS PGothic" w:eastAsia="MS PGothic" w:hAnsi="MS PGothic"/>
          <w:sz w:val="18"/>
          <w:szCs w:val="18"/>
          <w:color w:val="auto"/>
        </w:rPr>
      </w:pPr>
    </w:p>
    <w:p>
      <w:pPr>
        <w:ind w:left="228" w:hanging="228"/>
        <w:spacing w:after="0"/>
        <w:tabs>
          <w:tab w:leader="none" w:pos="228"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No guaranteed bonuses for any of our NEOs</w:t>
      </w:r>
    </w:p>
    <w:p>
      <w:pPr>
        <w:spacing w:after="0" w:line="130" w:lineRule="exact"/>
        <w:rPr>
          <w:rFonts w:ascii="MS PGothic" w:cs="MS PGothic" w:eastAsia="MS PGothic" w:hAnsi="MS PGothic"/>
          <w:sz w:val="18"/>
          <w:szCs w:val="18"/>
          <w:color w:val="auto"/>
        </w:rPr>
      </w:pPr>
    </w:p>
    <w:p>
      <w:pPr>
        <w:ind w:left="208" w:right="560" w:hanging="208"/>
        <w:spacing w:after="0" w:line="277" w:lineRule="auto"/>
        <w:tabs>
          <w:tab w:leader="none" w:pos="212"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50% of 2019 NEO incentive compensation awarded in RSUs, which are unvested and are delivered over four years, consistent with market practice</w:t>
      </w:r>
    </w:p>
    <w:p>
      <w:pPr>
        <w:spacing w:after="0" w:line="75" w:lineRule="exact"/>
        <w:rPr>
          <w:rFonts w:ascii="MS PGothic" w:cs="MS PGothic" w:eastAsia="MS PGothic" w:hAnsi="MS PGothic"/>
          <w:sz w:val="18"/>
          <w:szCs w:val="18"/>
          <w:color w:val="auto"/>
        </w:rPr>
      </w:pPr>
    </w:p>
    <w:p>
      <w:pPr>
        <w:ind w:left="228" w:hanging="228"/>
        <w:spacing w:after="0"/>
        <w:tabs>
          <w:tab w:leader="none" w:pos="228"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Formal equity ownership guidelines and clawback and anti-hedging policies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16FF"/>
        </w:rPr>
        <w:t>Shareholder Engagement and Key Shareholder Feedback</w:t>
      </w:r>
    </w:p>
    <w:p>
      <w:pPr>
        <w:spacing w:after="0" w:line="135" w:lineRule="exact"/>
        <w:rPr>
          <w:sz w:val="20"/>
          <w:szCs w:val="20"/>
          <w:color w:val="auto"/>
        </w:rPr>
      </w:pPr>
    </w:p>
    <w:p>
      <w:pPr>
        <w:ind w:left="208" w:right="80" w:hanging="208"/>
        <w:spacing w:after="0" w:line="339" w:lineRule="auto"/>
        <w:tabs>
          <w:tab w:leader="none" w:pos="209"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The proxy advisors and our shareholders have historically supported our executive compensation program. We believe this is due to the Company’s exemplary business performance and a close alignment between performance and pay</w:t>
      </w:r>
    </w:p>
    <w:p>
      <w:pPr>
        <w:spacing w:after="0" w:line="33" w:lineRule="exact"/>
        <w:rPr>
          <w:rFonts w:ascii="MS PGothic" w:cs="MS PGothic" w:eastAsia="MS PGothic" w:hAnsi="MS PGothic"/>
          <w:sz w:val="16"/>
          <w:szCs w:val="16"/>
          <w:color w:val="auto"/>
        </w:rPr>
      </w:pPr>
    </w:p>
    <w:p>
      <w:pPr>
        <w:ind w:left="208" w:hanging="208"/>
        <w:spacing w:after="0" w:line="277" w:lineRule="auto"/>
        <w:tabs>
          <w:tab w:leader="none" w:pos="212"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Our executive compensation program has not changed in any material way since last year, when our shareholders supported our Say on Pay proposal at the 92% level</w:t>
      </w:r>
    </w:p>
    <w:p>
      <w:pPr>
        <w:spacing w:after="0" w:line="75" w:lineRule="exact"/>
        <w:rPr>
          <w:rFonts w:ascii="MS PGothic" w:cs="MS PGothic" w:eastAsia="MS PGothic" w:hAnsi="MS PGothic"/>
          <w:sz w:val="18"/>
          <w:szCs w:val="18"/>
          <w:color w:val="auto"/>
        </w:rPr>
      </w:pPr>
    </w:p>
    <w:p>
      <w:pPr>
        <w:ind w:left="208" w:right="540" w:hanging="208"/>
        <w:spacing w:after="0" w:line="277" w:lineRule="auto"/>
        <w:tabs>
          <w:tab w:leader="none" w:pos="209"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We believe, as evidenced by the results of our 2019 Say on Pay vote and shareholder outreach, that our shareholders support our executive compensation program</w:t>
      </w:r>
    </w:p>
    <w:p>
      <w:pPr>
        <w:spacing w:after="0" w:line="112" w:lineRule="exact"/>
        <w:rPr>
          <w:sz w:val="20"/>
          <w:szCs w:val="20"/>
          <w:color w:val="auto"/>
        </w:rPr>
      </w:pPr>
    </w:p>
    <w:p>
      <w:pPr>
        <w:sectPr>
          <w:pgSz w:w="11900" w:h="16838" w:orient="portrait"/>
          <w:cols w:equalWidth="0" w:num="2">
            <w:col w:w="1660" w:space="332"/>
            <w:col w:w="9128"/>
          </w:cols>
          <w:pgMar w:left="320" w:top="459" w:right="459" w:bottom="1440" w:gutter="0" w:footer="0" w:header="0"/>
          <w:type w:val="continuous"/>
        </w:sectPr>
      </w:pPr>
    </w:p>
    <w:p>
      <w:pPr>
        <w:ind w:left="660" w:hanging="436"/>
        <w:spacing w:after="0"/>
        <w:tabs>
          <w:tab w:leader="none" w:pos="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Adjusted Net Revenues and Adjusted Earnings Per Share are non-GAAP measures. See Annex A for further information and a reconciliation to U.S. GAAP amounts.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FFFFFF"/>
        </w:rPr>
        <w:t>2019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firstLine="1745"/>
        <w:spacing w:after="0" w:line="273" w:lineRule="auto"/>
        <w:rPr>
          <w:sz w:val="20"/>
          <w:szCs w:val="20"/>
          <w:color w:val="auto"/>
        </w:rPr>
      </w:pPr>
      <w:r>
        <w:rPr>
          <w:rFonts w:ascii="Arial" w:cs="Arial" w:eastAsia="Arial" w:hAnsi="Arial"/>
          <w:sz w:val="17"/>
          <w:szCs w:val="17"/>
          <w:color w:val="auto"/>
        </w:rPr>
        <w:t>As discussed throughout this Compensation Discussion and Analysis, in determining NEO compensation for 2019, our Compensation Committee considered the strong financial results achieved by the Company, the accomplishment of several strategic initiatives, the contributions each individual NEO made to the firm and the value created and capital returned to our shareholders, including through dividends and repurchases during 2019, but also took into account the Company’s performance relative to 2018. The Compensation Committee also took into account the promotion of and adherence to our core values—client focus, integrity, excellence, respect, investment in people and partnership—which are critical to our reputation and culture. The following are highlights of the Company’s 2019 performance.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Delivering Strong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36" w:lineRule="exact"/>
        <w:rPr>
          <w:sz w:val="20"/>
          <w:szCs w:val="20"/>
          <w:color w:val="auto"/>
        </w:rPr>
      </w:pPr>
    </w:p>
    <w:p>
      <w:pPr>
        <w:ind w:left="1400"/>
        <w:spacing w:after="0"/>
        <w:tabs>
          <w:tab w:leader="none" w:pos="7040" w:val="left"/>
        </w:tabs>
        <w:rPr>
          <w:sz w:val="20"/>
          <w:szCs w:val="20"/>
          <w:color w:val="auto"/>
        </w:rPr>
      </w:pPr>
      <w:r>
        <w:rPr>
          <w:rFonts w:ascii="Arial" w:cs="Arial" w:eastAsia="Arial" w:hAnsi="Arial"/>
          <w:sz w:val="18"/>
          <w:szCs w:val="18"/>
          <w:b w:val="1"/>
          <w:bCs w:val="1"/>
          <w:color w:val="0016FF"/>
        </w:rPr>
        <w:t>Adjusted Net Revenues of $2.03 billion*</w:t>
      </w:r>
      <w:r>
        <w:rPr>
          <w:sz w:val="20"/>
          <w:szCs w:val="20"/>
          <w:color w:val="auto"/>
        </w:rPr>
        <w:tab/>
      </w:r>
      <w:r>
        <w:rPr>
          <w:rFonts w:ascii="Arial" w:cs="Arial" w:eastAsia="Arial" w:hAnsi="Arial"/>
          <w:sz w:val="16"/>
          <w:szCs w:val="16"/>
          <w:b w:val="1"/>
          <w:bCs w:val="1"/>
          <w:color w:val="0016FF"/>
        </w:rPr>
        <w:t>Adjusted Earnings Per Share of $7.70*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94615</wp:posOffset>
            </wp:positionV>
            <wp:extent cx="5983605" cy="20059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8360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Returning Significant Capital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13" w:lineRule="exact"/>
        <w:rPr>
          <w:sz w:val="20"/>
          <w:szCs w:val="20"/>
          <w:color w:val="auto"/>
        </w:rPr>
      </w:pPr>
    </w:p>
    <w:p>
      <w:pPr>
        <w:ind w:left="1100" w:hanging="876"/>
        <w:spacing w:after="0"/>
        <w:tabs>
          <w:tab w:leader="none" w:pos="110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We returned $391.6 million of capital to shareholders during the year through dividends and equity repurchases.</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Through December 2019, quarterly dividends have grown over 200% since 2011.</w:t>
      </w:r>
    </w:p>
    <w:p>
      <w:pPr>
        <w:spacing w:after="0" w:line="225" w:lineRule="exact"/>
        <w:rPr>
          <w:rFonts w:ascii="MS PGothic" w:cs="MS PGothic" w:eastAsia="MS PGothic" w:hAnsi="MS PGothic"/>
          <w:sz w:val="18"/>
          <w:szCs w:val="18"/>
          <w:color w:val="auto"/>
        </w:rPr>
      </w:pPr>
    </w:p>
    <w:p>
      <w:pPr>
        <w:ind w:left="1100" w:right="840" w:hanging="876"/>
        <w:spacing w:after="0" w:line="342" w:lineRule="auto"/>
        <w:tabs>
          <w:tab w:leader="none" w:pos="1100" w:val="left"/>
        </w:tabs>
        <w:numPr>
          <w:ilvl w:val="0"/>
          <w:numId w:val="39"/>
        </w:numPr>
        <w:rPr>
          <w:rFonts w:ascii="MS PGothic" w:cs="MS PGothic" w:eastAsia="MS PGothic" w:hAnsi="MS PGothic"/>
          <w:sz w:val="16"/>
          <w:szCs w:val="16"/>
          <w:color w:val="auto"/>
        </w:rPr>
      </w:pPr>
      <w:r>
        <w:rPr>
          <w:rFonts w:ascii="Arial" w:cs="Arial" w:eastAsia="Arial" w:hAnsi="Arial"/>
          <w:sz w:val="16"/>
          <w:szCs w:val="16"/>
          <w:color w:val="auto"/>
        </w:rPr>
        <w:t>We have carefully managed and offset the dilutive effect of RSUs granted for bonuses and new hire or replacement awards on a cumulative basis over the past five years, as well as a portion of shares associated with investments and acquisitions.</w:t>
      </w:r>
    </w:p>
    <w:p>
      <w:pPr>
        <w:spacing w:after="0" w:line="52" w:lineRule="exact"/>
        <w:rPr>
          <w:sz w:val="20"/>
          <w:szCs w:val="20"/>
          <w:color w:val="auto"/>
        </w:rPr>
      </w:pPr>
    </w:p>
    <w:p>
      <w:pPr>
        <w:ind w:left="660" w:hanging="436"/>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Adjusted Net Revenues and Adjusted Earnings Per Share are non-GAAP measures. See Annex A for further information and a reconciliation to U.S. GAAP amounts.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FFFFFF"/>
        </w:rPr>
        <w:t>2019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jc w:val="both"/>
        <w:ind w:left="220" w:right="300" w:firstLine="1745"/>
        <w:spacing w:after="0" w:line="311" w:lineRule="auto"/>
        <w:rPr>
          <w:sz w:val="20"/>
          <w:szCs w:val="20"/>
          <w:color w:val="auto"/>
        </w:rPr>
      </w:pPr>
      <w:r>
        <w:rPr>
          <w:rFonts w:ascii="Arial" w:cs="Arial" w:eastAsia="Arial" w:hAnsi="Arial"/>
          <w:sz w:val="16"/>
          <w:szCs w:val="16"/>
          <w:color w:val="auto"/>
        </w:rPr>
        <w:t>Our pay for performance compensation program is designed to reward performance and align the long term interests of our executives with those of our shareholders – for example, through our equity ownership guidelines and by prohibiting hedging and pledging by our directors and executive officers. The following are highlights of our 2019 compensation structure, as determined by our Compensation Committee.</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right="280" w:hanging="876"/>
        <w:spacing w:after="0" w:line="347" w:lineRule="auto"/>
        <w:tabs>
          <w:tab w:leader="none" w:pos="1100" w:val="left"/>
        </w:tabs>
        <w:numPr>
          <w:ilvl w:val="0"/>
          <w:numId w:val="41"/>
        </w:numPr>
        <w:rPr>
          <w:rFonts w:ascii="MS PGothic" w:cs="MS PGothic" w:eastAsia="MS PGothic" w:hAnsi="MS PGothic"/>
          <w:sz w:val="16"/>
          <w:szCs w:val="16"/>
          <w:color w:val="auto"/>
        </w:rPr>
      </w:pPr>
      <w:r>
        <w:rPr>
          <w:rFonts w:ascii="Arial" w:cs="Arial" w:eastAsia="Arial" w:hAnsi="Arial"/>
          <w:sz w:val="16"/>
          <w:szCs w:val="16"/>
          <w:b w:val="1"/>
          <w:bCs w:val="1"/>
          <w:color w:val="0A26FF"/>
        </w:rPr>
        <w:t xml:space="preserve">Performance Drives Changes in Pay. </w:t>
      </w:r>
      <w:r>
        <w:rPr>
          <w:rFonts w:ascii="Arial" w:cs="Arial" w:eastAsia="Arial" w:hAnsi="Arial"/>
          <w:sz w:val="16"/>
          <w:szCs w:val="16"/>
          <w:color w:val="000000"/>
        </w:rPr>
        <w:t>Compensation is linked to the performance of Evercore and our executives’ individual</w:t>
      </w:r>
      <w:r>
        <w:rPr>
          <w:rFonts w:ascii="Arial" w:cs="Arial" w:eastAsia="Arial" w:hAnsi="Arial"/>
          <w:sz w:val="16"/>
          <w:szCs w:val="16"/>
          <w:b w:val="1"/>
          <w:bCs w:val="1"/>
          <w:color w:val="0A26FF"/>
        </w:rPr>
        <w:t xml:space="preserve"> </w:t>
      </w:r>
      <w:r>
        <w:rPr>
          <w:rFonts w:ascii="Arial" w:cs="Arial" w:eastAsia="Arial" w:hAnsi="Arial"/>
          <w:sz w:val="16"/>
          <w:szCs w:val="16"/>
          <w:color w:val="000000"/>
        </w:rPr>
        <w:t>performance, motivating our executive leadership to conduct the business in a manner that produces superior results over the long term.</w:t>
      </w:r>
    </w:p>
    <w:p>
      <w:pPr>
        <w:spacing w:after="0" w:line="115" w:lineRule="exact"/>
        <w:rPr>
          <w:rFonts w:ascii="MS PGothic" w:cs="MS PGothic" w:eastAsia="MS PGothic" w:hAnsi="MS PGothic"/>
          <w:sz w:val="16"/>
          <w:szCs w:val="16"/>
          <w:color w:val="auto"/>
        </w:rPr>
      </w:pPr>
    </w:p>
    <w:p>
      <w:pPr>
        <w:ind w:left="1100" w:hanging="876"/>
        <w:spacing w:after="0" w:line="258" w:lineRule="auto"/>
        <w:tabs>
          <w:tab w:leader="none" w:pos="1100" w:val="left"/>
        </w:tabs>
        <w:numPr>
          <w:ilvl w:val="0"/>
          <w:numId w:val="41"/>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NEO Compensation Reflects our Performance. </w:t>
      </w:r>
      <w:r>
        <w:rPr>
          <w:rFonts w:ascii="Arial" w:cs="Arial" w:eastAsia="Arial" w:hAnsi="Arial"/>
          <w:sz w:val="18"/>
          <w:szCs w:val="18"/>
          <w:color w:val="000000"/>
        </w:rPr>
        <w:t>Our NEO compensation reflects our successful performance in 2019, while giving</w:t>
      </w:r>
      <w:r>
        <w:rPr>
          <w:rFonts w:ascii="Arial" w:cs="Arial" w:eastAsia="Arial" w:hAnsi="Arial"/>
          <w:sz w:val="18"/>
          <w:szCs w:val="18"/>
          <w:b w:val="1"/>
          <w:bCs w:val="1"/>
          <w:color w:val="0A26FF"/>
        </w:rPr>
        <w:t xml:space="preserve"> </w:t>
      </w:r>
      <w:r>
        <w:rPr>
          <w:rFonts w:ascii="Arial" w:cs="Arial" w:eastAsia="Arial" w:hAnsi="Arial"/>
          <w:sz w:val="18"/>
          <w:szCs w:val="18"/>
          <w:color w:val="000000"/>
        </w:rPr>
        <w:t>appropriate consideration to our operating results relative to our record 2018 performance. In 2019, our Adjusted Net Revenues* and Adjusted EPS* decreased by approximately 2% and 15%, respectively, from our 2018 results. However, annual incentive compensation for our CEO and our Executive Chairman for 2019 decreased by over 40% and annual incentive compensation for our NEOs for 2019 on average decreased by over 35%.</w:t>
      </w:r>
    </w:p>
    <w:p>
      <w:pPr>
        <w:spacing w:after="0" w:line="183" w:lineRule="exact"/>
        <w:rPr>
          <w:rFonts w:ascii="MS PGothic" w:cs="MS PGothic" w:eastAsia="MS PGothic" w:hAnsi="MS PGothic"/>
          <w:sz w:val="18"/>
          <w:szCs w:val="18"/>
          <w:color w:val="auto"/>
        </w:rPr>
      </w:pPr>
    </w:p>
    <w:p>
      <w:pPr>
        <w:ind w:left="1100" w:hanging="876"/>
        <w:spacing w:after="0"/>
        <w:tabs>
          <w:tab w:leader="none" w:pos="1100" w:val="left"/>
        </w:tabs>
        <w:numPr>
          <w:ilvl w:val="0"/>
          <w:numId w:val="41"/>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No Guaranteed Bonuses. </w:t>
      </w:r>
      <w:r>
        <w:rPr>
          <w:rFonts w:ascii="Arial" w:cs="Arial" w:eastAsia="Arial" w:hAnsi="Arial"/>
          <w:sz w:val="18"/>
          <w:szCs w:val="18"/>
          <w:color w:val="000000"/>
        </w:rPr>
        <w:t>We do not provide guaranteed bonuses to any of our NEOs.</w:t>
      </w:r>
    </w:p>
    <w:p>
      <w:pPr>
        <w:spacing w:after="0" w:line="225" w:lineRule="exact"/>
        <w:rPr>
          <w:rFonts w:ascii="MS PGothic" w:cs="MS PGothic" w:eastAsia="MS PGothic" w:hAnsi="MS PGothic"/>
          <w:sz w:val="18"/>
          <w:szCs w:val="18"/>
          <w:color w:val="auto"/>
        </w:rPr>
      </w:pPr>
    </w:p>
    <w:p>
      <w:pPr>
        <w:ind w:left="1100" w:right="660" w:hanging="876"/>
        <w:spacing w:after="0" w:line="282" w:lineRule="auto"/>
        <w:tabs>
          <w:tab w:leader="none" w:pos="1100" w:val="left"/>
        </w:tabs>
        <w:numPr>
          <w:ilvl w:val="0"/>
          <w:numId w:val="41"/>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No Change in Base Salaries. </w:t>
      </w:r>
      <w:r>
        <w:rPr>
          <w:rFonts w:ascii="Arial" w:cs="Arial" w:eastAsia="Arial" w:hAnsi="Arial"/>
          <w:sz w:val="18"/>
          <w:szCs w:val="18"/>
          <w:color w:val="000000"/>
        </w:rPr>
        <w:t>We have not increased base salaries for our NEOs since they joined us, and base salary continues to</w:t>
      </w:r>
      <w:r>
        <w:rPr>
          <w:rFonts w:ascii="Arial" w:cs="Arial" w:eastAsia="Arial" w:hAnsi="Arial"/>
          <w:sz w:val="18"/>
          <w:szCs w:val="18"/>
          <w:b w:val="1"/>
          <w:bCs w:val="1"/>
          <w:color w:val="0A26FF"/>
        </w:rPr>
        <w:t xml:space="preserve"> </w:t>
      </w:r>
      <w:r>
        <w:rPr>
          <w:rFonts w:ascii="Arial" w:cs="Arial" w:eastAsia="Arial" w:hAnsi="Arial"/>
          <w:sz w:val="18"/>
          <w:szCs w:val="18"/>
          <w:color w:val="000000"/>
        </w:rPr>
        <w:t>represent a minority of total annual compensation.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right="500" w:hanging="876"/>
        <w:spacing w:after="0" w:line="282" w:lineRule="auto"/>
        <w:tabs>
          <w:tab w:leader="none" w:pos="110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Equity-Based Compensation Included in Bonus, Not Additional to Bonus. </w:t>
      </w:r>
      <w:r>
        <w:rPr>
          <w:rFonts w:ascii="Arial" w:cs="Arial" w:eastAsia="Arial" w:hAnsi="Arial"/>
          <w:sz w:val="18"/>
          <w:szCs w:val="18"/>
          <w:color w:val="000000"/>
        </w:rPr>
        <w:t>Our Compensation Committee determines the overall</w:t>
      </w:r>
      <w:r>
        <w:rPr>
          <w:rFonts w:ascii="Arial" w:cs="Arial" w:eastAsia="Arial" w:hAnsi="Arial"/>
          <w:sz w:val="18"/>
          <w:szCs w:val="18"/>
          <w:b w:val="1"/>
          <w:bCs w:val="1"/>
          <w:color w:val="0A26FF"/>
        </w:rPr>
        <w:t xml:space="preserve"> </w:t>
      </w:r>
      <w:r>
        <w:rPr>
          <w:rFonts w:ascii="Arial" w:cs="Arial" w:eastAsia="Arial" w:hAnsi="Arial"/>
          <w:sz w:val="18"/>
          <w:szCs w:val="18"/>
          <w:color w:val="000000"/>
        </w:rPr>
        <w:t>amount of incentive compensation to be awarded to our NEOs, inclusive of cash and RSUs.</w:t>
      </w:r>
    </w:p>
    <w:p>
      <w:pPr>
        <w:spacing w:after="0" w:line="161" w:lineRule="exact"/>
        <w:rPr>
          <w:rFonts w:ascii="MS PGothic" w:cs="MS PGothic" w:eastAsia="MS PGothic" w:hAnsi="MS PGothic"/>
          <w:sz w:val="18"/>
          <w:szCs w:val="18"/>
          <w:color w:val="auto"/>
        </w:rPr>
      </w:pPr>
    </w:p>
    <w:p>
      <w:pPr>
        <w:ind w:left="1100" w:right="160" w:hanging="876"/>
        <w:spacing w:after="0" w:line="266" w:lineRule="auto"/>
        <w:tabs>
          <w:tab w:leader="none" w:pos="110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50% of 2019 Bonus Delivered in RSUs Subject to Four Year Deferral. </w:t>
      </w:r>
      <w:r>
        <w:rPr>
          <w:rFonts w:ascii="Arial" w:cs="Arial" w:eastAsia="Arial" w:hAnsi="Arial"/>
          <w:sz w:val="18"/>
          <w:szCs w:val="18"/>
          <w:color w:val="000000"/>
        </w:rPr>
        <w:t>RSUs granted to our NEOs as a component of 2019 annual</w:t>
      </w:r>
      <w:r>
        <w:rPr>
          <w:rFonts w:ascii="Arial" w:cs="Arial" w:eastAsia="Arial" w:hAnsi="Arial"/>
          <w:sz w:val="18"/>
          <w:szCs w:val="18"/>
          <w:b w:val="1"/>
          <w:bCs w:val="1"/>
          <w:color w:val="0A26FF"/>
        </w:rPr>
        <w:t xml:space="preserve"> </w:t>
      </w:r>
      <w:r>
        <w:rPr>
          <w:rFonts w:ascii="Arial" w:cs="Arial" w:eastAsia="Arial" w:hAnsi="Arial"/>
          <w:sz w:val="18"/>
          <w:szCs w:val="18"/>
          <w:color w:val="000000"/>
        </w:rPr>
        <w:t>bonus are unvested and are delivered over four years, which is consistent with market practice, and enhances ongoing alignment with our shareholders.</w:t>
      </w:r>
    </w:p>
    <w:p>
      <w:pPr>
        <w:spacing w:after="0" w:line="175" w:lineRule="exact"/>
        <w:rPr>
          <w:rFonts w:ascii="MS PGothic" w:cs="MS PGothic" w:eastAsia="MS PGothic" w:hAnsi="MS PGothic"/>
          <w:sz w:val="18"/>
          <w:szCs w:val="18"/>
          <w:color w:val="auto"/>
        </w:rPr>
      </w:pPr>
    </w:p>
    <w:p>
      <w:pPr>
        <w:ind w:left="1100" w:right="60" w:hanging="876"/>
        <w:spacing w:after="0" w:line="282" w:lineRule="auto"/>
        <w:tabs>
          <w:tab w:leader="none" w:pos="110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Equity Ownership Guidelines and Significant Equity Ownership by NEOs. </w:t>
      </w:r>
      <w:r>
        <w:rPr>
          <w:rFonts w:ascii="Arial" w:cs="Arial" w:eastAsia="Arial" w:hAnsi="Arial"/>
          <w:sz w:val="18"/>
          <w:szCs w:val="18"/>
          <w:color w:val="000000"/>
        </w:rPr>
        <w:t>Each of our NEOs holds a meaningful amount of equity in</w:t>
      </w:r>
      <w:r>
        <w:rPr>
          <w:rFonts w:ascii="Arial" w:cs="Arial" w:eastAsia="Arial" w:hAnsi="Arial"/>
          <w:sz w:val="18"/>
          <w:szCs w:val="18"/>
          <w:b w:val="1"/>
          <w:bCs w:val="1"/>
          <w:color w:val="0A26FF"/>
        </w:rPr>
        <w:t xml:space="preserve"> </w:t>
      </w:r>
      <w:r>
        <w:rPr>
          <w:rFonts w:ascii="Arial" w:cs="Arial" w:eastAsia="Arial" w:hAnsi="Arial"/>
          <w:sz w:val="18"/>
          <w:szCs w:val="18"/>
          <w:color w:val="000000"/>
        </w:rPr>
        <w:t>our Company and met the formal equity ownership guidelines applicable to such NEO.</w:t>
      </w:r>
    </w:p>
    <w:p>
      <w:pPr>
        <w:spacing w:after="0" w:line="161" w:lineRule="exact"/>
        <w:rPr>
          <w:rFonts w:ascii="MS PGothic" w:cs="MS PGothic" w:eastAsia="MS PGothic" w:hAnsi="MS PGothic"/>
          <w:sz w:val="18"/>
          <w:szCs w:val="18"/>
          <w:color w:val="auto"/>
        </w:rPr>
      </w:pPr>
    </w:p>
    <w:p>
      <w:pPr>
        <w:ind w:left="1100" w:right="180" w:hanging="876"/>
        <w:spacing w:after="0" w:line="312" w:lineRule="auto"/>
        <w:tabs>
          <w:tab w:leader="none" w:pos="1100" w:val="left"/>
        </w:tabs>
        <w:numPr>
          <w:ilvl w:val="0"/>
          <w:numId w:val="42"/>
        </w:numPr>
        <w:rPr>
          <w:rFonts w:ascii="MS PGothic" w:cs="MS PGothic" w:eastAsia="MS PGothic" w:hAnsi="MS PGothic"/>
          <w:sz w:val="17"/>
          <w:szCs w:val="17"/>
          <w:color w:val="auto"/>
        </w:rPr>
      </w:pPr>
      <w:r>
        <w:rPr>
          <w:rFonts w:ascii="Arial" w:cs="Arial" w:eastAsia="Arial" w:hAnsi="Arial"/>
          <w:sz w:val="17"/>
          <w:szCs w:val="17"/>
          <w:b w:val="1"/>
          <w:bCs w:val="1"/>
          <w:color w:val="0A26FF"/>
        </w:rPr>
        <w:t xml:space="preserve">No Hedging or Pledging. </w:t>
      </w:r>
      <w:r>
        <w:rPr>
          <w:rFonts w:ascii="Arial" w:cs="Arial" w:eastAsia="Arial" w:hAnsi="Arial"/>
          <w:sz w:val="17"/>
          <w:szCs w:val="17"/>
          <w:color w:val="000000"/>
        </w:rPr>
        <w:t>All employees, including our NEOs, are prohibited from hedging their equity securities, and our anti-pledging</w:t>
      </w:r>
      <w:r>
        <w:rPr>
          <w:rFonts w:ascii="Arial" w:cs="Arial" w:eastAsia="Arial" w:hAnsi="Arial"/>
          <w:sz w:val="17"/>
          <w:szCs w:val="17"/>
          <w:b w:val="1"/>
          <w:bCs w:val="1"/>
          <w:color w:val="0A26FF"/>
        </w:rPr>
        <w:t xml:space="preserve"> </w:t>
      </w:r>
      <w:r>
        <w:rPr>
          <w:rFonts w:ascii="Arial" w:cs="Arial" w:eastAsia="Arial" w:hAnsi="Arial"/>
          <w:sz w:val="17"/>
          <w:szCs w:val="17"/>
          <w:color w:val="000000"/>
        </w:rPr>
        <w:t>policy prohibits directors and executive officers from pledging their equity without Compensation Committee approval.</w:t>
      </w:r>
    </w:p>
    <w:p>
      <w:pPr>
        <w:spacing w:after="0" w:line="139" w:lineRule="exact"/>
        <w:rPr>
          <w:rFonts w:ascii="MS PGothic" w:cs="MS PGothic" w:eastAsia="MS PGothic" w:hAnsi="MS PGothic"/>
          <w:sz w:val="17"/>
          <w:szCs w:val="17"/>
          <w:color w:val="auto"/>
        </w:rPr>
      </w:pPr>
    </w:p>
    <w:p>
      <w:pPr>
        <w:jc w:val="both"/>
        <w:ind w:left="1100" w:right="20" w:hanging="876"/>
        <w:spacing w:after="0" w:line="347" w:lineRule="auto"/>
        <w:tabs>
          <w:tab w:leader="none" w:pos="1100" w:val="left"/>
        </w:tabs>
        <w:numPr>
          <w:ilvl w:val="0"/>
          <w:numId w:val="42"/>
        </w:numPr>
        <w:rPr>
          <w:rFonts w:ascii="MS PGothic" w:cs="MS PGothic" w:eastAsia="MS PGothic" w:hAnsi="MS PGothic"/>
          <w:sz w:val="16"/>
          <w:szCs w:val="16"/>
          <w:color w:val="auto"/>
        </w:rPr>
      </w:pPr>
      <w:r>
        <w:rPr>
          <w:rFonts w:ascii="Arial" w:cs="Arial" w:eastAsia="Arial" w:hAnsi="Arial"/>
          <w:sz w:val="16"/>
          <w:szCs w:val="16"/>
          <w:b w:val="1"/>
          <w:bCs w:val="1"/>
          <w:color w:val="0A26FF"/>
        </w:rPr>
        <w:t xml:space="preserve">Clawback Policy. </w:t>
      </w:r>
      <w:r>
        <w:rPr>
          <w:rFonts w:ascii="Arial" w:cs="Arial" w:eastAsia="Arial" w:hAnsi="Arial"/>
          <w:sz w:val="16"/>
          <w:szCs w:val="16"/>
          <w:color w:val="000000"/>
        </w:rPr>
        <w:t>Our clawback policy provides for the recapture of incentive compensation awarded to SMDs in the event of misconduct</w:t>
      </w:r>
      <w:r>
        <w:rPr>
          <w:rFonts w:ascii="Arial" w:cs="Arial" w:eastAsia="Arial" w:hAnsi="Arial"/>
          <w:sz w:val="16"/>
          <w:szCs w:val="16"/>
          <w:b w:val="1"/>
          <w:bCs w:val="1"/>
          <w:color w:val="0A26FF"/>
        </w:rPr>
        <w:t xml:space="preserve"> </w:t>
      </w:r>
      <w:r>
        <w:rPr>
          <w:rFonts w:ascii="Arial" w:cs="Arial" w:eastAsia="Arial" w:hAnsi="Arial"/>
          <w:sz w:val="16"/>
          <w:szCs w:val="16"/>
          <w:color w:val="000000"/>
        </w:rPr>
        <w:t>by that SMD or a restatement of the financial results of the Company due to material noncompliance with financial reporting requirements.</w:t>
      </w:r>
    </w:p>
    <w:p>
      <w:pPr>
        <w:spacing w:after="0" w:line="48" w:lineRule="exact"/>
        <w:rPr>
          <w:sz w:val="20"/>
          <w:szCs w:val="20"/>
          <w:color w:val="auto"/>
        </w:rPr>
      </w:pPr>
    </w:p>
    <w:p>
      <w:pPr>
        <w:ind w:left="660" w:hanging="436"/>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Adjusted Net Revenues and Adjusted Earnings Per Share are non-GAAP measures. See Annex A for further information and a reconciliation to U.S. GAAP amounts.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Accountability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right="240" w:hanging="876"/>
        <w:spacing w:after="0" w:line="282" w:lineRule="auto"/>
        <w:tabs>
          <w:tab w:leader="none" w:pos="1100" w:val="left"/>
        </w:tabs>
        <w:numPr>
          <w:ilvl w:val="0"/>
          <w:numId w:val="44"/>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Annual Say on Pay Vote. </w:t>
      </w:r>
      <w:r>
        <w:rPr>
          <w:rFonts w:ascii="Arial" w:cs="Arial" w:eastAsia="Arial" w:hAnsi="Arial"/>
          <w:sz w:val="18"/>
          <w:szCs w:val="18"/>
          <w:color w:val="000000"/>
        </w:rPr>
        <w:t>Based on our Board’s recommendation and our shareholders’ advisory vote in 2017, we continue to hold an</w:t>
      </w:r>
      <w:r>
        <w:rPr>
          <w:rFonts w:ascii="Arial" w:cs="Arial" w:eastAsia="Arial" w:hAnsi="Arial"/>
          <w:sz w:val="18"/>
          <w:szCs w:val="18"/>
          <w:b w:val="1"/>
          <w:bCs w:val="1"/>
          <w:color w:val="0A26FF"/>
        </w:rPr>
        <w:t xml:space="preserve"> </w:t>
      </w:r>
      <w:r>
        <w:rPr>
          <w:rFonts w:ascii="Arial" w:cs="Arial" w:eastAsia="Arial" w:hAnsi="Arial"/>
          <w:sz w:val="18"/>
          <w:szCs w:val="18"/>
          <w:color w:val="000000"/>
        </w:rPr>
        <w:t>advisory vote each year on our executive compensation program.</w:t>
      </w:r>
    </w:p>
    <w:p>
      <w:pPr>
        <w:spacing w:after="0" w:line="161" w:lineRule="exact"/>
        <w:rPr>
          <w:rFonts w:ascii="MS PGothic" w:cs="MS PGothic" w:eastAsia="MS PGothic" w:hAnsi="MS PGothic"/>
          <w:sz w:val="18"/>
          <w:szCs w:val="18"/>
          <w:color w:val="auto"/>
        </w:rPr>
      </w:pPr>
    </w:p>
    <w:p>
      <w:pPr>
        <w:jc w:val="both"/>
        <w:ind w:left="1100" w:right="300" w:hanging="876"/>
        <w:spacing w:after="0" w:line="261" w:lineRule="auto"/>
        <w:tabs>
          <w:tab w:leader="none" w:pos="1100" w:val="left"/>
        </w:tabs>
        <w:numPr>
          <w:ilvl w:val="0"/>
          <w:numId w:val="44"/>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Strong Support for Executive Compensation Program. </w:t>
      </w:r>
      <w:r>
        <w:rPr>
          <w:rFonts w:ascii="Arial" w:cs="Arial" w:eastAsia="Arial" w:hAnsi="Arial"/>
          <w:sz w:val="18"/>
          <w:szCs w:val="18"/>
          <w:color w:val="000000"/>
        </w:rPr>
        <w:t>Our executive compensation program has not changed in any material way</w:t>
      </w:r>
      <w:r>
        <w:rPr>
          <w:rFonts w:ascii="Arial" w:cs="Arial" w:eastAsia="Arial" w:hAnsi="Arial"/>
          <w:sz w:val="18"/>
          <w:szCs w:val="18"/>
          <w:b w:val="1"/>
          <w:bCs w:val="1"/>
          <w:color w:val="0A26FF"/>
        </w:rPr>
        <w:t xml:space="preserve"> </w:t>
      </w:r>
      <w:r>
        <w:rPr>
          <w:rFonts w:ascii="Arial" w:cs="Arial" w:eastAsia="Arial" w:hAnsi="Arial"/>
          <w:sz w:val="18"/>
          <w:szCs w:val="18"/>
          <w:color w:val="000000"/>
        </w:rPr>
        <w:t>since last year, when our shareholders supported our 2019 Say on Pay proposal at the 92% level. We believe this support is due to the Company’s exemplary business performance, a close alignment between performance and pay, our extensive shareholder engagement process and disclosure regarding our executive compensation program.</w:t>
      </w:r>
    </w:p>
    <w:p>
      <w:pPr>
        <w:spacing w:after="0" w:line="179" w:lineRule="exact"/>
        <w:rPr>
          <w:rFonts w:ascii="MS PGothic" w:cs="MS PGothic" w:eastAsia="MS PGothic" w:hAnsi="MS PGothic"/>
          <w:sz w:val="18"/>
          <w:szCs w:val="18"/>
          <w:color w:val="auto"/>
        </w:rPr>
      </w:pPr>
    </w:p>
    <w:p>
      <w:pPr>
        <w:ind w:left="1100" w:hanging="876"/>
        <w:spacing w:after="0" w:line="312" w:lineRule="auto"/>
        <w:tabs>
          <w:tab w:leader="none" w:pos="1100" w:val="left"/>
        </w:tabs>
        <w:numPr>
          <w:ilvl w:val="0"/>
          <w:numId w:val="44"/>
        </w:numPr>
        <w:rPr>
          <w:rFonts w:ascii="MS PGothic" w:cs="MS PGothic" w:eastAsia="MS PGothic" w:hAnsi="MS PGothic"/>
          <w:sz w:val="17"/>
          <w:szCs w:val="17"/>
          <w:color w:val="auto"/>
        </w:rPr>
      </w:pPr>
      <w:r>
        <w:rPr>
          <w:rFonts w:ascii="Arial" w:cs="Arial" w:eastAsia="Arial" w:hAnsi="Arial"/>
          <w:sz w:val="17"/>
          <w:szCs w:val="17"/>
          <w:b w:val="1"/>
          <w:bCs w:val="1"/>
          <w:color w:val="0A26FF"/>
        </w:rPr>
        <w:t xml:space="preserve">Majority Voting Resignation Policy. </w:t>
      </w:r>
      <w:r>
        <w:rPr>
          <w:rFonts w:ascii="Arial" w:cs="Arial" w:eastAsia="Arial" w:hAnsi="Arial"/>
          <w:sz w:val="17"/>
          <w:szCs w:val="17"/>
          <w:color w:val="000000"/>
        </w:rPr>
        <w:t>Our majority voting resignation policy provides that a director that receives the support of less than</w:t>
      </w:r>
      <w:r>
        <w:rPr>
          <w:rFonts w:ascii="Arial" w:cs="Arial" w:eastAsia="Arial" w:hAnsi="Arial"/>
          <w:sz w:val="17"/>
          <w:szCs w:val="17"/>
          <w:b w:val="1"/>
          <w:bCs w:val="1"/>
          <w:color w:val="0A26FF"/>
        </w:rPr>
        <w:t xml:space="preserve"> </w:t>
      </w:r>
      <w:r>
        <w:rPr>
          <w:rFonts w:ascii="Arial" w:cs="Arial" w:eastAsia="Arial" w:hAnsi="Arial"/>
          <w:sz w:val="17"/>
          <w:szCs w:val="17"/>
          <w:color w:val="000000"/>
        </w:rPr>
        <w:t>a majority of votes cast must tender his or her resignation, which our Board will then determine whether to accept.</w:t>
      </w:r>
    </w:p>
    <w:p>
      <w:pPr>
        <w:spacing w:after="0" w:line="139" w:lineRule="exact"/>
        <w:rPr>
          <w:rFonts w:ascii="MS PGothic" w:cs="MS PGothic" w:eastAsia="MS PGothic" w:hAnsi="MS PGothic"/>
          <w:sz w:val="17"/>
          <w:szCs w:val="17"/>
          <w:color w:val="auto"/>
        </w:rPr>
      </w:pPr>
    </w:p>
    <w:p>
      <w:pPr>
        <w:ind w:left="1100" w:hanging="876"/>
        <w:spacing w:after="0" w:line="261" w:lineRule="auto"/>
        <w:tabs>
          <w:tab w:leader="none" w:pos="1100" w:val="left"/>
        </w:tabs>
        <w:numPr>
          <w:ilvl w:val="0"/>
          <w:numId w:val="44"/>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Extensive Shareholder Engagement and Feedback. </w:t>
      </w:r>
      <w:r>
        <w:rPr>
          <w:rFonts w:ascii="Arial" w:cs="Arial" w:eastAsia="Arial" w:hAnsi="Arial"/>
          <w:sz w:val="18"/>
          <w:szCs w:val="18"/>
          <w:color w:val="000000"/>
        </w:rPr>
        <w:t>We engage extensively with our shareholders on an ongoing basis and seek</w:t>
      </w:r>
      <w:r>
        <w:rPr>
          <w:rFonts w:ascii="Arial" w:cs="Arial" w:eastAsia="Arial" w:hAnsi="Arial"/>
          <w:sz w:val="18"/>
          <w:szCs w:val="18"/>
          <w:b w:val="1"/>
          <w:bCs w:val="1"/>
          <w:color w:val="0A26FF"/>
        </w:rPr>
        <w:t xml:space="preserve"> </w:t>
      </w:r>
      <w:r>
        <w:rPr>
          <w:rFonts w:ascii="Arial" w:cs="Arial" w:eastAsia="Arial" w:hAnsi="Arial"/>
          <w:sz w:val="18"/>
          <w:szCs w:val="18"/>
          <w:color w:val="000000"/>
        </w:rPr>
        <w:t>feedback regarding our performance, corporate governance practices and other matters of interest to our shareholders. In 2019 we reached out to shareholders representing nearly two-thirds of our outstanding shares then held by unaffiliated shareholders, and the feedback we received continued to inform our Board.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FFFFFF"/>
        </w:rPr>
        <w:t>Compensation of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firstLine="1745"/>
        <w:spacing w:after="0" w:line="271" w:lineRule="auto"/>
        <w:rPr>
          <w:sz w:val="20"/>
          <w:szCs w:val="20"/>
          <w:color w:val="auto"/>
        </w:rPr>
      </w:pPr>
      <w:r>
        <w:rPr>
          <w:rFonts w:ascii="Arial" w:cs="Arial" w:eastAsia="Arial" w:hAnsi="Arial"/>
          <w:sz w:val="17"/>
          <w:szCs w:val="17"/>
          <w:color w:val="auto"/>
        </w:rPr>
        <w:t>The goals of our executive compensation program are to align compensation with business objectives and performance, and in turn continue to create and sustain shareholder value over the long term. In addition, our program is designed to enable us to attract, retain and reward executives who contribute to our long term success and sustainable growth in shareholder value. Our future success depends to a substantial degree on our ability to retain and recruit highly qualified personnel as opposed to the deployment and management of the firm’s financial capital, as with other financial services firms. The market for highly qualified financial professionals has been and remains extremely competitive. In addition, although our NEOs and other SMDs have all entered into restrictive covenant agreements, their departure could still jeopardize our relationships with clients and result in the loss of client engagements. Accordingly, it is imperative for our compensation programs to be highly competitive and reward outstanding individual and Company achievement.</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2019 NEO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2374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0341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2019 Incentive Compensation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72" w:lineRule="exact"/>
        <w:rPr>
          <w:sz w:val="20"/>
          <w:szCs w:val="20"/>
          <w:color w:val="auto"/>
        </w:rPr>
      </w:pPr>
    </w:p>
    <w:p>
      <w:pPr>
        <w:ind w:left="220" w:right="20" w:firstLine="1745"/>
        <w:spacing w:after="0" w:line="272" w:lineRule="auto"/>
        <w:rPr>
          <w:sz w:val="20"/>
          <w:szCs w:val="20"/>
          <w:color w:val="auto"/>
        </w:rPr>
      </w:pPr>
      <w:r>
        <w:rPr>
          <w:rFonts w:ascii="Arial" w:cs="Arial" w:eastAsia="Arial" w:hAnsi="Arial"/>
          <w:sz w:val="17"/>
          <w:szCs w:val="17"/>
          <w:color w:val="auto"/>
        </w:rPr>
        <w:t>Consistent with industry practice, incentive compensation accounts for a majority of our NEOs’ total compensation opportunities. For 2019, no bonus was guaranteed to any NEO, nor were any of our NEOs subject to formulaic or other pre-established performance targets or personal compensation arrangements. Rather, bonus amounts were determined in the discretion of the Compensation Committee after taking into account the Company’s performance relative to 2018 along with our NEO accomplishments, including the otherwise strong financial results achieved by the Company, accomplishment of several strategic initiatives, the contributions each individual NEO made to the firm and the value created and capital returned to our shareholders, including through dividends and repurchases during 2019, as well as the other factors outlined below, with 50% paid in cash and the remaining 50% paid in RSUs that vest over a four-year period.</w:t>
      </w:r>
    </w:p>
    <w:p>
      <w:pPr>
        <w:spacing w:after="0" w:line="105" w:lineRule="exact"/>
        <w:rPr>
          <w:sz w:val="20"/>
          <w:szCs w:val="20"/>
          <w:color w:val="auto"/>
        </w:rPr>
      </w:pPr>
    </w:p>
    <w:p>
      <w:pPr>
        <w:ind w:left="660" w:right="300" w:hanging="436"/>
        <w:spacing w:after="0" w:line="253"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Adjusted Net Revenues, Adjusted Earnings and Adjusted Earnings Per Share are non-GAAP measures. See Annex A for further information and a reconciliation to U.S. GAAP amounts.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205740</wp:posOffset>
            </wp:positionV>
            <wp:extent cx="4654550" cy="1140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5455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0" w:right="140" w:firstLine="1745"/>
        <w:spacing w:after="0" w:line="273" w:lineRule="auto"/>
        <w:rPr>
          <w:sz w:val="20"/>
          <w:szCs w:val="20"/>
          <w:color w:val="auto"/>
        </w:rPr>
      </w:pPr>
      <w:r>
        <w:rPr>
          <w:rFonts w:ascii="Arial" w:cs="Arial" w:eastAsia="Arial" w:hAnsi="Arial"/>
          <w:sz w:val="17"/>
          <w:szCs w:val="17"/>
          <w:color w:val="auto"/>
        </w:rPr>
        <w:t>The Compensation Committee decided that 50% of our NEOs’ 2019 incentive compensation would be paid in RSUs and subject to future service (that is, vesting) requirements because awarding equity subject to multi-year vesting requirements aligns the interests of our executives with those of our shareholders. Additionally, using unvested equity as a component of incentive compensation helps us retain key employees, including our NEOs, as each NEO owns considerable unvested interests in Evercore through previous grants of RSUs, which they will forfeit if they voluntarily leave the firm prior to the vesting of such award. As a result, we believe our NEOs have a demonstrable and significant interest in remaining with Evercore and increasing shareholder value over the long term.</w:t>
      </w:r>
    </w:p>
    <w:p>
      <w:pPr>
        <w:spacing w:after="0" w:line="178" w:lineRule="exact"/>
        <w:rPr>
          <w:sz w:val="20"/>
          <w:szCs w:val="20"/>
          <w:color w:val="auto"/>
        </w:rPr>
      </w:pPr>
    </w:p>
    <w:p>
      <w:pPr>
        <w:ind w:left="120" w:firstLine="1983"/>
        <w:spacing w:after="0" w:line="263" w:lineRule="auto"/>
        <w:rPr>
          <w:sz w:val="20"/>
          <w:szCs w:val="20"/>
          <w:color w:val="auto"/>
        </w:rPr>
      </w:pPr>
      <w:r>
        <w:rPr>
          <w:rFonts w:ascii="Arial" w:cs="Arial" w:eastAsia="Arial" w:hAnsi="Arial"/>
          <w:sz w:val="18"/>
          <w:szCs w:val="18"/>
          <w:color w:val="auto"/>
        </w:rPr>
        <w:t>We refer to the portion of our NEOs’ 2019 compensation granted in RSUs as “deferred compensation” because it will not be delivered until a future year (and then, only if applicable vesting requirements have been met). See “</w:t>
      </w:r>
      <w:r>
        <w:rPr>
          <w:rFonts w:ascii="Arial" w:cs="Arial" w:eastAsia="Arial" w:hAnsi="Arial"/>
          <w:sz w:val="18"/>
          <w:szCs w:val="18"/>
          <w:b w:val="1"/>
          <w:bCs w:val="1"/>
          <w:color w:val="auto"/>
        </w:rPr>
        <w:t>—Employment Agreements and Awards—</w:t>
      </w:r>
      <w:r>
        <w:rPr>
          <w:rFonts w:ascii="Arial" w:cs="Arial" w:eastAsia="Arial" w:hAnsi="Arial"/>
          <w:sz w:val="18"/>
          <w:szCs w:val="18"/>
          <w:color w:val="auto"/>
        </w:rPr>
        <w:t xml:space="preserve"> </w:t>
      </w:r>
      <w:r>
        <w:rPr>
          <w:rFonts w:ascii="Arial" w:cs="Arial" w:eastAsia="Arial" w:hAnsi="Arial"/>
          <w:sz w:val="18"/>
          <w:szCs w:val="18"/>
          <w:b w:val="1"/>
          <w:bCs w:val="1"/>
          <w:color w:val="auto"/>
        </w:rPr>
        <w:t>Evercore Annual Equity Awards</w:t>
      </w:r>
      <w:r>
        <w:rPr>
          <w:rFonts w:ascii="Arial" w:cs="Arial" w:eastAsia="Arial" w:hAnsi="Arial"/>
          <w:sz w:val="18"/>
          <w:szCs w:val="18"/>
          <w:color w:val="auto"/>
        </w:rPr>
        <w:t>” on page 63 for a discussion of the terms of these awards.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Company Performance and Individual Contributions</w:t>
      </w:r>
    </w:p>
    <w:p>
      <w:pPr>
        <w:spacing w:after="0" w:line="185" w:lineRule="exact"/>
        <w:rPr>
          <w:sz w:val="20"/>
          <w:szCs w:val="20"/>
          <w:color w:val="auto"/>
        </w:rPr>
      </w:pPr>
    </w:p>
    <w:p>
      <w:pPr>
        <w:ind w:left="220" w:right="120" w:firstLine="1745"/>
        <w:spacing w:after="0" w:line="257" w:lineRule="auto"/>
        <w:rPr>
          <w:sz w:val="20"/>
          <w:szCs w:val="20"/>
          <w:color w:val="auto"/>
        </w:rPr>
      </w:pPr>
      <w:r>
        <w:rPr>
          <w:rFonts w:ascii="Arial" w:cs="Arial" w:eastAsia="Arial" w:hAnsi="Arial"/>
          <w:sz w:val="18"/>
          <w:szCs w:val="18"/>
          <w:color w:val="auto"/>
        </w:rPr>
        <w:t>In determining compensation for our NEOs, the Compensation Committee took into account the Company’s performance along with our other NEO accomplishments, including the otherwise strong financial results achieved by the Company, accomplishment of several strategic initiatives, the contributions each individual NEO made to the firm and the value created and capital returned to our shareholders, including through dividends and repurchases during 2019. The Committee noted, among other achievements, our strong Net Revenues, Earnings and EPS, in each case, on a U.S. GAAP and an Adjusted basis.</w:t>
      </w:r>
    </w:p>
    <w:p>
      <w:pPr>
        <w:sectPr>
          <w:pgSz w:w="11900" w:h="16838" w:orient="portrait"/>
          <w:cols w:equalWidth="0" w:num="1">
            <w:col w:w="11060"/>
          </w:cols>
          <w:pgMar w:left="320" w:top="459" w:right="519" w:bottom="1440" w:gutter="0" w:footer="0" w:header="0"/>
        </w:sectPr>
      </w:pPr>
    </w:p>
    <w:p>
      <w:pPr>
        <w:spacing w:after="0" w:line="184" w:lineRule="exact"/>
        <w:rPr>
          <w:sz w:val="20"/>
          <w:szCs w:val="20"/>
          <w:color w:val="auto"/>
        </w:rPr>
      </w:pPr>
    </w:p>
    <w:p>
      <w:pPr>
        <w:ind w:left="760" w:hanging="500"/>
        <w:spacing w:after="0"/>
        <w:tabs>
          <w:tab w:leader="none" w:pos="760" w:val="left"/>
        </w:tabs>
        <w:numPr>
          <w:ilvl w:val="0"/>
          <w:numId w:val="46"/>
        </w:numPr>
        <w:rPr>
          <w:rFonts w:ascii="MS PGothic" w:cs="MS PGothic" w:eastAsia="MS PGothic" w:hAnsi="MS PGothic"/>
          <w:sz w:val="16"/>
          <w:szCs w:val="16"/>
          <w:color w:val="auto"/>
        </w:rPr>
      </w:pPr>
      <w:r>
        <w:rPr>
          <w:rFonts w:ascii="Arial" w:cs="Arial" w:eastAsia="Arial" w:hAnsi="Arial"/>
          <w:sz w:val="16"/>
          <w:szCs w:val="16"/>
          <w:b w:val="1"/>
          <w:bCs w:val="1"/>
          <w:color w:val="0A26FF"/>
        </w:rPr>
        <w:t>Net Revenues*</w:t>
      </w:r>
    </w:p>
    <w:p>
      <w:pPr>
        <w:spacing w:after="0" w:line="200" w:lineRule="exact"/>
        <w:rPr>
          <w:rFonts w:ascii="MS PGothic" w:cs="MS PGothic" w:eastAsia="MS PGothic" w:hAnsi="MS PGothic"/>
          <w:sz w:val="16"/>
          <w:szCs w:val="16"/>
          <w:color w:val="auto"/>
        </w:rPr>
      </w:pPr>
    </w:p>
    <w:p>
      <w:pPr>
        <w:spacing w:after="0" w:line="264" w:lineRule="exact"/>
        <w:rPr>
          <w:rFonts w:ascii="MS PGothic" w:cs="MS PGothic" w:eastAsia="MS PGothic" w:hAnsi="MS PGothic"/>
          <w:sz w:val="16"/>
          <w:szCs w:val="16"/>
          <w:color w:val="auto"/>
        </w:rPr>
      </w:pPr>
    </w:p>
    <w:p>
      <w:pPr>
        <w:ind w:left="820" w:hanging="560"/>
        <w:spacing w:after="0"/>
        <w:tabs>
          <w:tab w:leader="none" w:pos="820" w:val="left"/>
        </w:tabs>
        <w:numPr>
          <w:ilvl w:val="0"/>
          <w:numId w:val="46"/>
        </w:numPr>
        <w:rPr>
          <w:rFonts w:ascii="MS PGothic" w:cs="MS PGothic" w:eastAsia="MS PGothic" w:hAnsi="MS PGothic"/>
          <w:sz w:val="18"/>
          <w:szCs w:val="18"/>
          <w:color w:val="auto"/>
        </w:rPr>
      </w:pPr>
      <w:r>
        <w:rPr>
          <w:rFonts w:ascii="Arial" w:cs="Arial" w:eastAsia="Arial" w:hAnsi="Arial"/>
          <w:sz w:val="18"/>
          <w:szCs w:val="18"/>
          <w:b w:val="1"/>
          <w:bCs w:val="1"/>
          <w:color w:val="0A26FF"/>
        </w:rPr>
        <w:t>Earnings*</w:t>
      </w:r>
    </w:p>
    <w:p>
      <w:pPr>
        <w:spacing w:after="0" w:line="200" w:lineRule="exact"/>
        <w:rPr>
          <w:rFonts w:ascii="MS PGothic" w:cs="MS PGothic" w:eastAsia="MS PGothic" w:hAnsi="MS PGothic"/>
          <w:sz w:val="18"/>
          <w:szCs w:val="18"/>
          <w:color w:val="auto"/>
        </w:rPr>
      </w:pPr>
    </w:p>
    <w:p>
      <w:pPr>
        <w:spacing w:after="0" w:line="254" w:lineRule="exact"/>
        <w:rPr>
          <w:rFonts w:ascii="MS PGothic" w:cs="MS PGothic" w:eastAsia="MS PGothic" w:hAnsi="MS PGothic"/>
          <w:sz w:val="18"/>
          <w:szCs w:val="18"/>
          <w:color w:val="auto"/>
        </w:rPr>
      </w:pPr>
    </w:p>
    <w:p>
      <w:pPr>
        <w:ind w:left="820" w:hanging="560"/>
        <w:spacing w:after="0"/>
        <w:tabs>
          <w:tab w:leader="none" w:pos="820" w:val="left"/>
        </w:tabs>
        <w:numPr>
          <w:ilvl w:val="0"/>
          <w:numId w:val="46"/>
        </w:numPr>
        <w:rPr>
          <w:rFonts w:ascii="MS PGothic" w:cs="MS PGothic" w:eastAsia="MS PGothic" w:hAnsi="MS PGothic"/>
          <w:sz w:val="18"/>
          <w:szCs w:val="18"/>
          <w:color w:val="auto"/>
        </w:rPr>
      </w:pPr>
      <w:r>
        <w:rPr>
          <w:rFonts w:ascii="Arial" w:cs="Arial" w:eastAsia="Arial" w:hAnsi="Arial"/>
          <w:sz w:val="18"/>
          <w:szCs w:val="18"/>
          <w:b w:val="1"/>
          <w:bCs w:val="1"/>
          <w:color w:val="0A26FF"/>
        </w:rPr>
        <w:t>EPS*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Strong results, with Net Revenues of $2.0 billion on a U.S. GAAP basis and $2.03 billion on an Adjusted basis, exceeding $2 billion for the second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-293370</wp:posOffset>
            </wp:positionV>
            <wp:extent cx="8890" cy="977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1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Strong results, with Earnings of approximately $297.4 million on a U.S. GAAP basis and $373.3 million on an Adjusted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Strong results, with EPS of $6.89 on a U.S. GAAP basis and $7.70 on an Adjusted basis.</w:t>
      </w:r>
    </w:p>
    <w:p>
      <w:pPr>
        <w:spacing w:after="0" w:line="198" w:lineRule="exact"/>
        <w:rPr>
          <w:sz w:val="20"/>
          <w:szCs w:val="20"/>
          <w:color w:val="auto"/>
        </w:rPr>
      </w:pPr>
    </w:p>
    <w:p>
      <w:pPr>
        <w:sectPr>
          <w:pgSz w:w="11900" w:h="16838" w:orient="portrait"/>
          <w:cols w:equalWidth="0" w:num="2">
            <w:col w:w="2460" w:space="720"/>
            <w:col w:w="7880"/>
          </w:cols>
          <w:pgMar w:left="320" w:top="459" w:right="519" w:bottom="1440" w:gutter="0" w:footer="0" w:header="0"/>
          <w:type w:val="continuous"/>
        </w:sectPr>
      </w:pPr>
    </w:p>
    <w:p>
      <w:pPr>
        <w:ind w:left="220" w:firstLine="1745"/>
        <w:spacing w:after="0" w:line="275" w:lineRule="auto"/>
        <w:rPr>
          <w:sz w:val="20"/>
          <w:szCs w:val="20"/>
          <w:color w:val="auto"/>
        </w:rPr>
      </w:pPr>
      <w:r>
        <w:rPr>
          <w:rFonts w:ascii="Arial" w:cs="Arial" w:eastAsia="Arial" w:hAnsi="Arial"/>
          <w:sz w:val="17"/>
          <w:szCs w:val="17"/>
          <w:color w:val="auto"/>
        </w:rPr>
        <w:t>As noted above, none of our NEOs were subject to preset personal performance compensation arrangements in 2019. Accordingly, in evaluating the performance of and determining bonuses for our NEOs, the Compensation Committee took into account our achievement of several firm-wide strategic and financial accomplishments, each NEO’s commitment to our core values, along with a variety of factors based on the role and responsibility of each NEO, including, for NEOs who have assisted in client relationships and engagements, the relative contribution of such NEO. Below is a summary of the specific unique factors identified by the Compensation Committee for each NEO.</w:t>
      </w:r>
    </w:p>
    <w:p>
      <w:pPr>
        <w:spacing w:after="0" w:line="145" w:lineRule="exact"/>
        <w:rPr>
          <w:sz w:val="20"/>
          <w:szCs w:val="20"/>
          <w:color w:val="auto"/>
        </w:rPr>
      </w:pPr>
    </w:p>
    <w:p>
      <w:pPr>
        <w:ind w:left="220" w:right="60" w:firstLine="1745"/>
        <w:spacing w:after="0" w:line="282" w:lineRule="auto"/>
        <w:rPr>
          <w:sz w:val="20"/>
          <w:szCs w:val="20"/>
          <w:color w:val="auto"/>
        </w:rPr>
      </w:pPr>
      <w:r>
        <w:rPr>
          <w:rFonts w:ascii="Arial" w:cs="Arial" w:eastAsia="Arial" w:hAnsi="Arial"/>
          <w:sz w:val="18"/>
          <w:szCs w:val="18"/>
          <w:b w:val="1"/>
          <w:bCs w:val="1"/>
          <w:color w:val="auto"/>
        </w:rPr>
        <w:t xml:space="preserve">Mr. Altman. </w:t>
      </w:r>
      <w:r>
        <w:rPr>
          <w:rFonts w:ascii="Arial" w:cs="Arial" w:eastAsia="Arial" w:hAnsi="Arial"/>
          <w:sz w:val="18"/>
          <w:szCs w:val="18"/>
          <w:color w:val="auto"/>
        </w:rPr>
        <w:t>Mr. Altman was awarded a discretionary annual bonus with a value of $6.5 million for 2019.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Mr. Altman’s 2019 discretionary annual bonus, the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9" w:right="51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0"/>
        <w:spacing w:after="0" w:line="279" w:lineRule="auto"/>
        <w:rPr>
          <w:sz w:val="20"/>
          <w:szCs w:val="20"/>
          <w:color w:val="auto"/>
        </w:rPr>
      </w:pPr>
      <w:r>
        <w:rPr>
          <w:rFonts w:ascii="Arial" w:cs="Arial" w:eastAsia="Arial" w:hAnsi="Arial"/>
          <w:sz w:val="17"/>
          <w:szCs w:val="17"/>
          <w:color w:val="auto"/>
        </w:rPr>
        <w:t>Compensation Committee considered Mr. Altman’s continued exceptional leadership in serving clients and pursuing new business, including his key role on many of our largest and most strategically important transactions. The Compensation Committee also recognized Mr. Altman’s leadership in establishing strategic priorities for the Company, his role as a visible spokesman for the Company in public media and with clients, as well as his collaboration with Messrs. Schlosstein and Weinberg with respect to recruiting a number of strategic hires.</w:t>
      </w:r>
    </w:p>
    <w:p>
      <w:pPr>
        <w:spacing w:after="0" w:line="140" w:lineRule="exact"/>
        <w:rPr>
          <w:sz w:val="20"/>
          <w:szCs w:val="20"/>
          <w:color w:val="auto"/>
        </w:rPr>
      </w:pPr>
    </w:p>
    <w:p>
      <w:pPr>
        <w:ind w:left="220" w:right="40" w:firstLine="1745"/>
        <w:spacing w:after="0" w:line="292" w:lineRule="auto"/>
        <w:rPr>
          <w:sz w:val="20"/>
          <w:szCs w:val="20"/>
          <w:color w:val="auto"/>
        </w:rPr>
      </w:pPr>
      <w:r>
        <w:rPr>
          <w:rFonts w:ascii="Arial" w:cs="Arial" w:eastAsia="Arial" w:hAnsi="Arial"/>
          <w:sz w:val="16"/>
          <w:szCs w:val="16"/>
          <w:b w:val="1"/>
          <w:bCs w:val="1"/>
          <w:color w:val="auto"/>
        </w:rPr>
        <w:t xml:space="preserve">Mr. Schlosstein. </w:t>
      </w:r>
      <w:r>
        <w:rPr>
          <w:rFonts w:ascii="Arial" w:cs="Arial" w:eastAsia="Arial" w:hAnsi="Arial"/>
          <w:sz w:val="16"/>
          <w:szCs w:val="16"/>
          <w:color w:val="auto"/>
        </w:rPr>
        <w:t>Mr. Schlosstein was awarded a discretionary annual bonus with a value of $5.0 million for 2019.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determining the amount of Mr. Schlosstein’s discretionary annual bonus for 2019, the Compensation Committee considered his strong performance and lead responsibility for the overall management of the Company and the strong operating performance of the Company, characterized by strong net revenues, net income attributable to Evercore and earnings per share. The Compensation Committee also recognized his leadership in establishing and achieving a number of important strategic objectives, including his focus on recruitment and other meaningful growth opportunities for 2020 and beyond. The Compensation Committee also considered Mr. Schlosstein’s partnership with Messrs. Weinberg and Altman in connection with recruiting and developing new talent, as well as Mr. Schlosstein’s active role as a trusted advisor to our clients.</w:t>
      </w:r>
    </w:p>
    <w:p>
      <w:pPr>
        <w:spacing w:after="0" w:line="161" w:lineRule="exact"/>
        <w:rPr>
          <w:sz w:val="20"/>
          <w:szCs w:val="20"/>
          <w:color w:val="auto"/>
        </w:rPr>
      </w:pPr>
    </w:p>
    <w:p>
      <w:pPr>
        <w:ind w:left="220" w:right="60" w:firstLine="1745"/>
        <w:spacing w:after="0" w:line="273" w:lineRule="auto"/>
        <w:rPr>
          <w:sz w:val="20"/>
          <w:szCs w:val="20"/>
          <w:color w:val="auto"/>
        </w:rPr>
      </w:pPr>
      <w:r>
        <w:rPr>
          <w:rFonts w:ascii="Arial" w:cs="Arial" w:eastAsia="Arial" w:hAnsi="Arial"/>
          <w:sz w:val="17"/>
          <w:szCs w:val="17"/>
          <w:b w:val="1"/>
          <w:bCs w:val="1"/>
          <w:color w:val="auto"/>
        </w:rPr>
        <w:t xml:space="preserve">Mr. Weinberg. </w:t>
      </w:r>
      <w:r>
        <w:rPr>
          <w:rFonts w:ascii="Arial" w:cs="Arial" w:eastAsia="Arial" w:hAnsi="Arial"/>
          <w:sz w:val="17"/>
          <w:szCs w:val="17"/>
          <w:color w:val="auto"/>
        </w:rPr>
        <w:t>Mr. Weinberg was awarded a discretionary annual bonus with a value of $5.0 million for 2019.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determining Mr. Weinberg’s 2019 discretionary annual bonus, the Compensation Committee considered Mr. Weinberg’s active and effective engagement with key clients on strategic matters and transactions, his demonstrated leadership in articulating and executing strategic priorities for the Company, as well as his strong performance and active involvement with Mr. Schlosstein in the leadership and management of the Company and its employees. The Compensation Committee also recognized Mr. Weinberg’s role, together with Messrs. Schlosstein and Altman, in recruiting experienced leaders to the Company, including key senior hires in our Corporate Finance group, as well as his role in advancing our strategy to further develop our client base and enhance our relationships with our existing clients.</w:t>
      </w:r>
    </w:p>
    <w:p>
      <w:pPr>
        <w:spacing w:after="0" w:line="176" w:lineRule="exact"/>
        <w:rPr>
          <w:sz w:val="20"/>
          <w:szCs w:val="20"/>
          <w:color w:val="auto"/>
        </w:rPr>
      </w:pPr>
    </w:p>
    <w:p>
      <w:pPr>
        <w:ind w:left="220" w:firstLine="1745"/>
        <w:spacing w:after="0" w:line="290" w:lineRule="auto"/>
        <w:rPr>
          <w:sz w:val="20"/>
          <w:szCs w:val="20"/>
          <w:color w:val="auto"/>
        </w:rPr>
      </w:pPr>
      <w:r>
        <w:rPr>
          <w:rFonts w:ascii="Arial" w:cs="Arial" w:eastAsia="Arial" w:hAnsi="Arial"/>
          <w:sz w:val="16"/>
          <w:szCs w:val="16"/>
          <w:color w:val="auto"/>
        </w:rPr>
        <w:t>As previously disclosed in our 2017 proxy statement and other public filings, when Mr. Weinberg first joined Evercore in 2016, he was granted an initial sign-on restricted cash ward of $35 million, which included $11 million that vested on March 1, 2019. This award is not a part of Mr. Weinberg’s discretionary annual bonus in respect of any year of his service. Approximately 75% of the sign-on and replacement awards granted to Mr. Weinberg were intended to replace deferred compensation (a portion of which was variable) from Mr. Weinberg’s former employer that he forfeited as a result of joining Evercore, with the remaining approximately 25% of such awards granted as an inducement to join Evercore. The restricted sign-on cash award provides the Compensation Committee with the ability to adjust the amount payable on any applicable vesting date, provided that the amount may not be increased to more than 200% of the target amount or decreased by more than 25% of the target amount. The Compensation Committee determined not to increase or decrease the $11 million that vested on March 1, 2019.</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 xml:space="preserve">Mr. Sibbald. </w:t>
      </w:r>
      <w:r>
        <w:rPr>
          <w:rFonts w:ascii="Arial" w:cs="Arial" w:eastAsia="Arial" w:hAnsi="Arial"/>
          <w:sz w:val="18"/>
          <w:szCs w:val="18"/>
          <w:color w:val="auto"/>
        </w:rPr>
        <w:t>Mr. Sibbald was awarded a discretionary annual bonus with a value of £2.37 million (approximately</w:t>
      </w:r>
    </w:p>
    <w:p>
      <w:pPr>
        <w:spacing w:after="0" w:line="27" w:lineRule="exact"/>
        <w:rPr>
          <w:sz w:val="20"/>
          <w:szCs w:val="20"/>
          <w:color w:val="auto"/>
        </w:rPr>
      </w:pPr>
    </w:p>
    <w:p>
      <w:pPr>
        <w:jc w:val="both"/>
        <w:ind w:left="220" w:right="340"/>
        <w:spacing w:after="0" w:line="255" w:lineRule="auto"/>
        <w:rPr>
          <w:sz w:val="20"/>
          <w:szCs w:val="20"/>
          <w:color w:val="auto"/>
        </w:rPr>
      </w:pPr>
      <w:r>
        <w:rPr>
          <w:rFonts w:ascii="Arial" w:cs="Arial" w:eastAsia="Arial" w:hAnsi="Arial"/>
          <w:sz w:val="18"/>
          <w:szCs w:val="18"/>
          <w:color w:val="auto"/>
        </w:rPr>
        <w:t>$3.1 million, converted at an exchange rate of £0.769 to U.S. $1.00) for 2019. In determining this amount, the Compensation Committee took into account the revenues generated by Mr. Sibbald as a senior partner in the European Advisory business and the overall performance of the European Advisory business.</w:t>
      </w:r>
    </w:p>
    <w:p>
      <w:pPr>
        <w:spacing w:after="0" w:line="145" w:lineRule="exact"/>
        <w:rPr>
          <w:sz w:val="20"/>
          <w:szCs w:val="20"/>
          <w:color w:val="auto"/>
        </w:rPr>
      </w:pPr>
    </w:p>
    <w:p>
      <w:pPr>
        <w:ind w:left="220" w:right="140" w:firstLine="1745"/>
        <w:spacing w:after="0" w:line="256" w:lineRule="auto"/>
        <w:rPr>
          <w:sz w:val="20"/>
          <w:szCs w:val="20"/>
          <w:color w:val="auto"/>
        </w:rPr>
      </w:pPr>
      <w:r>
        <w:rPr>
          <w:rFonts w:ascii="Arial" w:cs="Arial" w:eastAsia="Arial" w:hAnsi="Arial"/>
          <w:sz w:val="18"/>
          <w:szCs w:val="18"/>
          <w:b w:val="1"/>
          <w:bCs w:val="1"/>
          <w:color w:val="auto"/>
        </w:rPr>
        <w:t xml:space="preserve">Mr. Walsh. </w:t>
      </w:r>
      <w:r>
        <w:rPr>
          <w:rFonts w:ascii="Arial" w:cs="Arial" w:eastAsia="Arial" w:hAnsi="Arial"/>
          <w:sz w:val="18"/>
          <w:szCs w:val="18"/>
          <w:color w:val="auto"/>
        </w:rPr>
        <w:t>Mr. Walsh was awarded a discretionary annual bonus with a value of $3.1 million for 2019. In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Mr. Walsh’s bonus, the Compensation Committee took into account Mr. Walsh’s performance as our operations continue to grow and his overall effective management of the Company’s Finance, Technology and Facilities function, along with his leadership on a number of strategic priorities for the Company. The Compensation Committee also considered his ongoing management and oversight of the operating risks of the business, his sustained focus on controlling the costs of operations and oversight of the rebuild and redesign of our facilities around the world and leadership in launching strategic technology investments.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2019 NEO Annual Compensation</w:t>
      </w:r>
    </w:p>
    <w:p>
      <w:pPr>
        <w:spacing w:after="0" w:line="202" w:lineRule="exact"/>
        <w:rPr>
          <w:sz w:val="20"/>
          <w:szCs w:val="20"/>
          <w:color w:val="auto"/>
        </w:rPr>
      </w:pPr>
    </w:p>
    <w:p>
      <w:pPr>
        <w:ind w:left="220" w:right="100" w:firstLine="1745"/>
        <w:spacing w:after="0" w:line="271" w:lineRule="auto"/>
        <w:rPr>
          <w:sz w:val="20"/>
          <w:szCs w:val="20"/>
          <w:color w:val="auto"/>
        </w:rPr>
      </w:pPr>
      <w:r>
        <w:rPr>
          <w:rFonts w:ascii="Arial" w:cs="Arial" w:eastAsia="Arial" w:hAnsi="Arial"/>
          <w:sz w:val="17"/>
          <w:szCs w:val="17"/>
          <w:color w:val="auto"/>
        </w:rPr>
        <w:t>The following table is presented to show how the Compensation Committee viewed annual compensation for our NEOs for their 2019 performance, and includes base salary as well as year-end cash and equity bonus awards for 2019 performance, granted in February 2020. This table differs substantially from the Summary Compensation Table on page 53 and is not a substitute for that table. The Summary Compensation Table provides compensation information as required by SEC regulations, and therefore reflects for 2019 the grant date fair value of equity awards granted during the 2019 calendar year (that is, those awards granted in February 2019 for 2018 performance), while not including the equity awards granted in February 2020 for 2019 performance. The Summary Compensation Table also includes the portion of Mr. Weinberg’s one-time sign-on and replacement awards that were earned in 2019 but initially granted in 2016 in connection with his recruitment, which the Compensation Committee does not view as part of annual compensation as discussed above.</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NEOs</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Roger C. Altman</w:t>
      </w:r>
    </w:p>
    <w:p>
      <w:pPr>
        <w:ind w:left="280"/>
        <w:spacing w:after="0"/>
        <w:rPr>
          <w:sz w:val="20"/>
          <w:szCs w:val="20"/>
          <w:color w:val="auto"/>
        </w:rPr>
      </w:pPr>
      <w:r>
        <w:rPr>
          <w:rFonts w:ascii="Arial" w:cs="Arial" w:eastAsia="Arial" w:hAnsi="Arial"/>
          <w:sz w:val="13"/>
          <w:szCs w:val="13"/>
          <w:i w:val="1"/>
          <w:iCs w:val="1"/>
          <w:color w:val="auto"/>
        </w:rPr>
        <w:t>Founder and Senior Chairman</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2019</w:t>
      </w:r>
    </w:p>
    <w:p>
      <w:pPr>
        <w:ind w:left="420"/>
        <w:spacing w:after="0" w:line="221" w:lineRule="auto"/>
        <w:rPr>
          <w:sz w:val="20"/>
          <w:szCs w:val="20"/>
          <w:color w:val="auto"/>
        </w:rPr>
      </w:pPr>
      <w:r>
        <w:rPr>
          <w:rFonts w:ascii="Arial" w:cs="Arial" w:eastAsia="Arial" w:hAnsi="Arial"/>
          <w:sz w:val="14"/>
          <w:szCs w:val="14"/>
          <w:color w:val="auto"/>
        </w:rPr>
        <w:t>2018</w:t>
      </w:r>
    </w:p>
    <w:p>
      <w:pPr>
        <w:ind w:left="420"/>
        <w:spacing w:after="0" w:line="221" w:lineRule="auto"/>
        <w:rPr>
          <w:sz w:val="20"/>
          <w:szCs w:val="20"/>
          <w:color w:val="auto"/>
        </w:rPr>
      </w:pPr>
      <w:r>
        <w:rPr>
          <w:rFonts w:ascii="Arial" w:cs="Arial" w:eastAsia="Arial" w:hAnsi="Arial"/>
          <w:sz w:val="14"/>
          <w:szCs w:val="14"/>
          <w:color w:val="auto"/>
        </w:rPr>
        <w:t>2017</w:t>
      </w:r>
    </w:p>
    <w:p>
      <w:pPr>
        <w:ind w:left="280"/>
        <w:spacing w:after="0" w:line="222" w:lineRule="auto"/>
        <w:rPr>
          <w:sz w:val="20"/>
          <w:szCs w:val="20"/>
          <w:color w:val="auto"/>
        </w:rPr>
      </w:pPr>
      <w:r>
        <w:rPr>
          <w:rFonts w:ascii="Arial" w:cs="Arial" w:eastAsia="Arial" w:hAnsi="Arial"/>
          <w:sz w:val="14"/>
          <w:szCs w:val="14"/>
          <w:b w:val="1"/>
          <w:bCs w:val="1"/>
          <w:color w:val="auto"/>
        </w:rPr>
        <w:t>Ralph L Schlosstein</w:t>
      </w:r>
    </w:p>
    <w:p>
      <w:pPr>
        <w:ind w:left="280"/>
        <w:spacing w:after="0"/>
        <w:rPr>
          <w:sz w:val="20"/>
          <w:szCs w:val="20"/>
          <w:color w:val="auto"/>
        </w:rPr>
      </w:pPr>
      <w:r>
        <w:rPr>
          <w:rFonts w:ascii="Arial" w:cs="Arial" w:eastAsia="Arial" w:hAnsi="Arial"/>
          <w:sz w:val="14"/>
          <w:szCs w:val="14"/>
          <w:i w:val="1"/>
          <w:iCs w:val="1"/>
          <w:color w:val="auto"/>
        </w:rPr>
        <w:t>CEO and President</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2019</w:t>
      </w:r>
    </w:p>
    <w:p>
      <w:pPr>
        <w:ind w:left="420"/>
        <w:spacing w:after="0" w:line="221" w:lineRule="auto"/>
        <w:rPr>
          <w:sz w:val="20"/>
          <w:szCs w:val="20"/>
          <w:color w:val="auto"/>
        </w:rPr>
      </w:pPr>
      <w:r>
        <w:rPr>
          <w:rFonts w:ascii="Arial" w:cs="Arial" w:eastAsia="Arial" w:hAnsi="Arial"/>
          <w:sz w:val="14"/>
          <w:szCs w:val="14"/>
          <w:color w:val="auto"/>
        </w:rPr>
        <w:t>2018</w:t>
      </w:r>
    </w:p>
    <w:p>
      <w:pPr>
        <w:ind w:left="420"/>
        <w:spacing w:after="0" w:line="221" w:lineRule="auto"/>
        <w:rPr>
          <w:sz w:val="20"/>
          <w:szCs w:val="20"/>
          <w:color w:val="auto"/>
        </w:rPr>
      </w:pPr>
      <w:r>
        <w:rPr>
          <w:rFonts w:ascii="Arial" w:cs="Arial" w:eastAsia="Arial" w:hAnsi="Arial"/>
          <w:sz w:val="14"/>
          <w:szCs w:val="14"/>
          <w:color w:val="auto"/>
        </w:rPr>
        <w:t>2017</w:t>
      </w:r>
    </w:p>
    <w:p>
      <w:pPr>
        <w:ind w:left="280"/>
        <w:spacing w:after="0" w:line="222" w:lineRule="auto"/>
        <w:rPr>
          <w:sz w:val="20"/>
          <w:szCs w:val="20"/>
          <w:color w:val="auto"/>
        </w:rPr>
      </w:pPr>
      <w:r>
        <w:rPr>
          <w:rFonts w:ascii="Arial" w:cs="Arial" w:eastAsia="Arial" w:hAnsi="Arial"/>
          <w:sz w:val="14"/>
          <w:szCs w:val="14"/>
          <w:b w:val="1"/>
          <w:bCs w:val="1"/>
          <w:color w:val="auto"/>
        </w:rPr>
        <w:t>John S. Weinberg</w:t>
      </w:r>
    </w:p>
    <w:p>
      <w:pPr>
        <w:ind w:left="280"/>
        <w:spacing w:after="0"/>
        <w:rPr>
          <w:sz w:val="20"/>
          <w:szCs w:val="20"/>
          <w:color w:val="auto"/>
        </w:rPr>
      </w:pPr>
      <w:r>
        <w:rPr>
          <w:rFonts w:ascii="Arial" w:cs="Arial" w:eastAsia="Arial" w:hAnsi="Arial"/>
          <w:sz w:val="14"/>
          <w:szCs w:val="14"/>
          <w:i w:val="1"/>
          <w:iCs w:val="1"/>
          <w:color w:val="auto"/>
        </w:rPr>
        <w:t>Executive Chairman</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2019</w:t>
      </w:r>
      <w:r>
        <w:rPr>
          <w:rFonts w:ascii="Arial" w:cs="Arial" w:eastAsia="Arial" w:hAnsi="Arial"/>
          <w:sz w:val="12"/>
          <w:szCs w:val="12"/>
          <w:color w:val="auto"/>
        </w:rPr>
        <w:t>(2)</w:t>
      </w:r>
    </w:p>
    <w:p>
      <w:pPr>
        <w:ind w:left="420"/>
        <w:spacing w:after="0" w:line="221" w:lineRule="auto"/>
        <w:rPr>
          <w:sz w:val="20"/>
          <w:szCs w:val="20"/>
          <w:color w:val="auto"/>
        </w:rPr>
      </w:pPr>
      <w:r>
        <w:rPr>
          <w:rFonts w:ascii="Arial" w:cs="Arial" w:eastAsia="Arial" w:hAnsi="Arial"/>
          <w:sz w:val="14"/>
          <w:szCs w:val="14"/>
          <w:color w:val="auto"/>
        </w:rPr>
        <w:t>2018</w:t>
      </w:r>
    </w:p>
    <w:p>
      <w:pPr>
        <w:ind w:left="420"/>
        <w:spacing w:after="0" w:line="221" w:lineRule="auto"/>
        <w:rPr>
          <w:sz w:val="20"/>
          <w:szCs w:val="20"/>
          <w:color w:val="auto"/>
        </w:rPr>
      </w:pPr>
      <w:r>
        <w:rPr>
          <w:rFonts w:ascii="Arial" w:cs="Arial" w:eastAsia="Arial" w:hAnsi="Arial"/>
          <w:sz w:val="14"/>
          <w:szCs w:val="14"/>
          <w:color w:val="auto"/>
        </w:rPr>
        <w:t>2017</w:t>
      </w:r>
    </w:p>
    <w:p>
      <w:pPr>
        <w:ind w:left="280"/>
        <w:spacing w:after="0" w:line="222" w:lineRule="auto"/>
        <w:rPr>
          <w:sz w:val="20"/>
          <w:szCs w:val="20"/>
          <w:color w:val="auto"/>
        </w:rPr>
      </w:pPr>
      <w:r>
        <w:rPr>
          <w:rFonts w:ascii="Arial" w:cs="Arial" w:eastAsia="Arial" w:hAnsi="Arial"/>
          <w:sz w:val="14"/>
          <w:szCs w:val="14"/>
          <w:b w:val="1"/>
          <w:bCs w:val="1"/>
          <w:color w:val="auto"/>
        </w:rPr>
        <w:t>Robert B. Walsh</w:t>
      </w:r>
    </w:p>
    <w:p>
      <w:pPr>
        <w:ind w:left="280"/>
        <w:spacing w:after="0"/>
        <w:rPr>
          <w:sz w:val="20"/>
          <w:szCs w:val="20"/>
          <w:color w:val="auto"/>
        </w:rPr>
      </w:pPr>
      <w:r>
        <w:rPr>
          <w:rFonts w:ascii="Arial" w:cs="Arial" w:eastAsia="Arial" w:hAnsi="Arial"/>
          <w:sz w:val="14"/>
          <w:szCs w:val="14"/>
          <w:i w:val="1"/>
          <w:iCs w:val="1"/>
          <w:color w:val="auto"/>
        </w:rPr>
        <w:t>CFO</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2019</w:t>
      </w:r>
    </w:p>
    <w:p>
      <w:pPr>
        <w:ind w:left="420"/>
        <w:spacing w:after="0" w:line="221" w:lineRule="auto"/>
        <w:rPr>
          <w:sz w:val="20"/>
          <w:szCs w:val="20"/>
          <w:color w:val="auto"/>
        </w:rPr>
      </w:pPr>
      <w:r>
        <w:rPr>
          <w:rFonts w:ascii="Arial" w:cs="Arial" w:eastAsia="Arial" w:hAnsi="Arial"/>
          <w:sz w:val="14"/>
          <w:szCs w:val="14"/>
          <w:color w:val="auto"/>
        </w:rPr>
        <w:t>2018</w:t>
      </w:r>
    </w:p>
    <w:p>
      <w:pPr>
        <w:ind w:left="420"/>
        <w:spacing w:after="0" w:line="221" w:lineRule="auto"/>
        <w:rPr>
          <w:sz w:val="20"/>
          <w:szCs w:val="20"/>
          <w:color w:val="auto"/>
        </w:rPr>
      </w:pPr>
      <w:r>
        <w:rPr>
          <w:rFonts w:ascii="Arial" w:cs="Arial" w:eastAsia="Arial" w:hAnsi="Arial"/>
          <w:sz w:val="14"/>
          <w:szCs w:val="14"/>
          <w:color w:val="auto"/>
        </w:rPr>
        <w:t>2017</w:t>
      </w:r>
    </w:p>
    <w:p>
      <w:pPr>
        <w:ind w:left="280"/>
        <w:spacing w:after="0" w:line="222" w:lineRule="auto"/>
        <w:rPr>
          <w:sz w:val="20"/>
          <w:szCs w:val="20"/>
          <w:color w:val="auto"/>
        </w:rPr>
      </w:pPr>
      <w:r>
        <w:rPr>
          <w:rFonts w:ascii="Arial" w:cs="Arial" w:eastAsia="Arial" w:hAnsi="Arial"/>
          <w:sz w:val="14"/>
          <w:szCs w:val="14"/>
          <w:b w:val="1"/>
          <w:bCs w:val="1"/>
          <w:color w:val="auto"/>
        </w:rPr>
        <w:t>Andrew Sibbald</w:t>
      </w:r>
      <w:r>
        <w:rPr>
          <w:rFonts w:ascii="Arial" w:cs="Arial" w:eastAsia="Arial" w:hAnsi="Arial"/>
          <w:sz w:val="12"/>
          <w:szCs w:val="12"/>
          <w:b w:val="1"/>
          <w:bCs w:val="1"/>
          <w:color w:val="auto"/>
        </w:rPr>
        <w:t>(3)</w:t>
      </w:r>
    </w:p>
    <w:p>
      <w:pPr>
        <w:ind w:left="280"/>
        <w:spacing w:after="0"/>
        <w:rPr>
          <w:sz w:val="20"/>
          <w:szCs w:val="20"/>
          <w:color w:val="auto"/>
        </w:rPr>
      </w:pPr>
      <w:r>
        <w:rPr>
          <w:rFonts w:ascii="Arial" w:cs="Arial" w:eastAsia="Arial" w:hAnsi="Arial"/>
          <w:sz w:val="13"/>
          <w:szCs w:val="13"/>
          <w:i w:val="1"/>
          <w:iCs w:val="1"/>
          <w:color w:val="auto"/>
        </w:rPr>
        <w:t>CEO of Evercore International</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2019</w:t>
      </w:r>
    </w:p>
    <w:p>
      <w:pPr>
        <w:ind w:left="420"/>
        <w:spacing w:after="0" w:line="221" w:lineRule="auto"/>
        <w:rPr>
          <w:sz w:val="20"/>
          <w:szCs w:val="20"/>
          <w:color w:val="auto"/>
        </w:rPr>
      </w:pPr>
      <w:r>
        <w:rPr>
          <w:rFonts w:ascii="Arial" w:cs="Arial" w:eastAsia="Arial" w:hAnsi="Arial"/>
          <w:sz w:val="14"/>
          <w:szCs w:val="14"/>
          <w:color w:val="auto"/>
        </w:rPr>
        <w:t>2018</w:t>
      </w:r>
    </w:p>
    <w:p>
      <w:pPr>
        <w:ind w:left="420"/>
        <w:spacing w:after="0"/>
        <w:rPr>
          <w:sz w:val="20"/>
          <w:szCs w:val="20"/>
          <w:color w:val="auto"/>
        </w:rPr>
      </w:pPr>
      <w:r>
        <w:rPr>
          <w:rFonts w:ascii="Arial" w:cs="Arial" w:eastAsia="Arial" w:hAnsi="Arial"/>
          <w:sz w:val="14"/>
          <w:szCs w:val="14"/>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13970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Salary ($)</w:t>
      </w: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500,000</w:t>
      </w:r>
    </w:p>
    <w:p>
      <w:pPr>
        <w:ind w:left="180"/>
        <w:spacing w:after="0" w:line="221" w:lineRule="auto"/>
        <w:rPr>
          <w:sz w:val="20"/>
          <w:szCs w:val="20"/>
          <w:color w:val="auto"/>
        </w:rPr>
      </w:pPr>
      <w:r>
        <w:rPr>
          <w:rFonts w:ascii="Arial" w:cs="Arial" w:eastAsia="Arial" w:hAnsi="Arial"/>
          <w:sz w:val="14"/>
          <w:szCs w:val="14"/>
          <w:color w:val="auto"/>
        </w:rPr>
        <w:t>500,000</w:t>
      </w:r>
    </w:p>
    <w:p>
      <w:pPr>
        <w:ind w:left="180"/>
        <w:spacing w:after="0"/>
        <w:rPr>
          <w:sz w:val="20"/>
          <w:szCs w:val="20"/>
          <w:color w:val="auto"/>
        </w:rPr>
      </w:pPr>
      <w:r>
        <w:rPr>
          <w:rFonts w:ascii="Arial" w:cs="Arial" w:eastAsia="Arial" w:hAnsi="Arial"/>
          <w:sz w:val="14"/>
          <w:szCs w:val="14"/>
          <w:color w:val="auto"/>
        </w:rPr>
        <w:t>500,000</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500,000</w:t>
      </w:r>
    </w:p>
    <w:p>
      <w:pPr>
        <w:ind w:left="180"/>
        <w:spacing w:after="0" w:line="221" w:lineRule="auto"/>
        <w:rPr>
          <w:sz w:val="20"/>
          <w:szCs w:val="20"/>
          <w:color w:val="auto"/>
        </w:rPr>
      </w:pPr>
      <w:r>
        <w:rPr>
          <w:rFonts w:ascii="Arial" w:cs="Arial" w:eastAsia="Arial" w:hAnsi="Arial"/>
          <w:sz w:val="14"/>
          <w:szCs w:val="14"/>
          <w:color w:val="auto"/>
        </w:rPr>
        <w:t>500,000</w:t>
      </w:r>
    </w:p>
    <w:p>
      <w:pPr>
        <w:ind w:left="180"/>
        <w:spacing w:after="0"/>
        <w:rPr>
          <w:sz w:val="20"/>
          <w:szCs w:val="20"/>
          <w:color w:val="auto"/>
        </w:rPr>
      </w:pPr>
      <w:r>
        <w:rPr>
          <w:rFonts w:ascii="Arial" w:cs="Arial" w:eastAsia="Arial" w:hAnsi="Arial"/>
          <w:sz w:val="14"/>
          <w:szCs w:val="14"/>
          <w:color w:val="auto"/>
        </w:rPr>
        <w:t>500,000</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500,000</w:t>
      </w:r>
    </w:p>
    <w:p>
      <w:pPr>
        <w:ind w:left="180"/>
        <w:spacing w:after="0" w:line="221" w:lineRule="auto"/>
        <w:rPr>
          <w:sz w:val="20"/>
          <w:szCs w:val="20"/>
          <w:color w:val="auto"/>
        </w:rPr>
      </w:pPr>
      <w:r>
        <w:rPr>
          <w:rFonts w:ascii="Arial" w:cs="Arial" w:eastAsia="Arial" w:hAnsi="Arial"/>
          <w:sz w:val="14"/>
          <w:szCs w:val="14"/>
          <w:color w:val="auto"/>
        </w:rPr>
        <w:t>500,000</w:t>
      </w:r>
    </w:p>
    <w:p>
      <w:pPr>
        <w:ind w:left="180"/>
        <w:spacing w:after="0"/>
        <w:rPr>
          <w:sz w:val="20"/>
          <w:szCs w:val="20"/>
          <w:color w:val="auto"/>
        </w:rPr>
      </w:pPr>
      <w:r>
        <w:rPr>
          <w:rFonts w:ascii="Arial" w:cs="Arial" w:eastAsia="Arial" w:hAnsi="Arial"/>
          <w:sz w:val="14"/>
          <w:szCs w:val="14"/>
          <w:color w:val="auto"/>
        </w:rPr>
        <w:t>500,000</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500,000</w:t>
      </w:r>
    </w:p>
    <w:p>
      <w:pPr>
        <w:ind w:left="180"/>
        <w:spacing w:after="0" w:line="221" w:lineRule="auto"/>
        <w:rPr>
          <w:sz w:val="20"/>
          <w:szCs w:val="20"/>
          <w:color w:val="auto"/>
        </w:rPr>
      </w:pPr>
      <w:r>
        <w:rPr>
          <w:rFonts w:ascii="Arial" w:cs="Arial" w:eastAsia="Arial" w:hAnsi="Arial"/>
          <w:sz w:val="14"/>
          <w:szCs w:val="14"/>
          <w:color w:val="auto"/>
        </w:rPr>
        <w:t>500,000</w:t>
      </w:r>
    </w:p>
    <w:p>
      <w:pPr>
        <w:ind w:left="180"/>
        <w:spacing w:after="0"/>
        <w:rPr>
          <w:sz w:val="20"/>
          <w:szCs w:val="20"/>
          <w:color w:val="auto"/>
        </w:rPr>
      </w:pPr>
      <w:r>
        <w:rPr>
          <w:rFonts w:ascii="Arial" w:cs="Arial" w:eastAsia="Arial" w:hAnsi="Arial"/>
          <w:sz w:val="14"/>
          <w:szCs w:val="14"/>
          <w:color w:val="auto"/>
        </w:rPr>
        <w:t>500,000</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400,000</w:t>
      </w:r>
    </w:p>
    <w:p>
      <w:pPr>
        <w:ind w:left="180"/>
        <w:spacing w:after="0" w:line="221" w:lineRule="auto"/>
        <w:rPr>
          <w:sz w:val="20"/>
          <w:szCs w:val="20"/>
          <w:color w:val="auto"/>
        </w:rPr>
      </w:pPr>
      <w:r>
        <w:rPr>
          <w:rFonts w:ascii="Arial" w:cs="Arial" w:eastAsia="Arial" w:hAnsi="Arial"/>
          <w:sz w:val="14"/>
          <w:szCs w:val="14"/>
          <w:color w:val="auto"/>
        </w:rPr>
        <w:t>400,000</w:t>
      </w:r>
    </w:p>
    <w:p>
      <w:pPr>
        <w:ind w:left="180"/>
        <w:spacing w:after="0"/>
        <w:rPr>
          <w:sz w:val="20"/>
          <w:szCs w:val="20"/>
          <w:color w:val="auto"/>
        </w:rPr>
      </w:pPr>
      <w:r>
        <w:rPr>
          <w:rFonts w:ascii="Arial" w:cs="Arial" w:eastAsia="Arial" w:hAnsi="Arial"/>
          <w:sz w:val="14"/>
          <w:szCs w:val="14"/>
          <w:color w:val="auto"/>
        </w:rPr>
        <w:t>400,000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FFFFFF"/>
        </w:rPr>
        <w:t>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-127635</wp:posOffset>
            </wp:positionV>
            <wp:extent cx="7003415" cy="2905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03415" cy="2905760"/>
                    </a:xfrm>
                    <a:prstGeom prst="rect">
                      <a:avLst/>
                    </a:prstGeom>
                    <a:noFill/>
                  </pic:spPr>
                </pic:pic>
              </a:graphicData>
            </a:graphic>
          </wp:anchor>
        </w:drawing>
      </w:r>
    </w:p>
    <w:p>
      <w:pPr>
        <w:spacing w:after="0" w:line="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FFFFFF"/>
        </w:rPr>
        <w:t>Cash ($)</w:t>
      </w:r>
      <w:r>
        <w:rPr>
          <w:sz w:val="20"/>
          <w:szCs w:val="20"/>
          <w:color w:val="auto"/>
        </w:rPr>
        <w:tab/>
      </w:r>
      <w:r>
        <w:rPr>
          <w:rFonts w:ascii="Arial" w:cs="Arial" w:eastAsia="Arial" w:hAnsi="Arial"/>
          <w:sz w:val="16"/>
          <w:szCs w:val="16"/>
          <w:b w:val="1"/>
          <w:bCs w:val="1"/>
          <w:color w:val="FFFFFF"/>
        </w:rPr>
        <w:t>RSUs</w:t>
      </w:r>
      <w:r>
        <w:rPr>
          <w:rFonts w:ascii="Arial" w:cs="Arial" w:eastAsia="Arial" w:hAnsi="Arial"/>
          <w:sz w:val="13"/>
          <w:szCs w:val="13"/>
          <w:b w:val="1"/>
          <w:bCs w:val="1"/>
          <w:color w:val="FFFFFF"/>
        </w:rPr>
        <w:t>(1)</w:t>
      </w:r>
      <w:r>
        <w:rPr>
          <w:rFonts w:ascii="Arial" w:cs="Arial" w:eastAsia="Arial" w:hAnsi="Arial"/>
          <w:sz w:val="16"/>
          <w:szCs w:val="16"/>
          <w:b w:val="1"/>
          <w:bCs w:val="1"/>
          <w:color w:val="FFFFFF"/>
        </w:rPr>
        <w:t xml:space="preserve"> ($)</w:t>
      </w: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3,250,000</w:t>
            </w:r>
          </w:p>
        </w:tc>
        <w:tc>
          <w:tcPr>
            <w:tcW w:w="1220" w:type="dxa"/>
            <w:vAlign w:val="bottom"/>
          </w:tcPr>
          <w:p>
            <w:pPr>
              <w:jc w:val="right"/>
              <w:spacing w:after="0"/>
              <w:rPr>
                <w:sz w:val="20"/>
                <w:szCs w:val="20"/>
                <w:color w:val="auto"/>
              </w:rPr>
            </w:pPr>
            <w:r>
              <w:rPr>
                <w:rFonts w:ascii="Arial" w:cs="Arial" w:eastAsia="Arial" w:hAnsi="Arial"/>
                <w:sz w:val="14"/>
                <w:szCs w:val="14"/>
                <w:color w:val="auto"/>
              </w:rPr>
              <w:t>3,250,000</w:t>
            </w:r>
          </w:p>
        </w:tc>
      </w:tr>
      <w:tr>
        <w:trPr>
          <w:trHeight w:val="148"/>
        </w:trPr>
        <w:tc>
          <w:tcPr>
            <w:tcW w:w="124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89"/>
              </w:rPr>
              <w:t>5,750,000</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5,750,000</w:t>
            </w:r>
          </w:p>
        </w:tc>
      </w:tr>
      <w:tr>
        <w:trPr>
          <w:trHeight w:val="182"/>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3,250,000</w:t>
            </w:r>
          </w:p>
        </w:tc>
        <w:tc>
          <w:tcPr>
            <w:tcW w:w="1220" w:type="dxa"/>
            <w:vAlign w:val="bottom"/>
          </w:tcPr>
          <w:p>
            <w:pPr>
              <w:jc w:val="right"/>
              <w:spacing w:after="0"/>
              <w:rPr>
                <w:sz w:val="20"/>
                <w:szCs w:val="20"/>
                <w:color w:val="auto"/>
              </w:rPr>
            </w:pPr>
            <w:r>
              <w:rPr>
                <w:rFonts w:ascii="Arial" w:cs="Arial" w:eastAsia="Arial" w:hAnsi="Arial"/>
                <w:sz w:val="14"/>
                <w:szCs w:val="14"/>
                <w:color w:val="auto"/>
              </w:rPr>
              <w:t>3,250,000</w:t>
            </w:r>
          </w:p>
        </w:tc>
      </w:tr>
      <w:tr>
        <w:trPr>
          <w:trHeight w:val="493"/>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2,500,000</w:t>
            </w:r>
          </w:p>
        </w:tc>
        <w:tc>
          <w:tcPr>
            <w:tcW w:w="1220" w:type="dxa"/>
            <w:vAlign w:val="bottom"/>
          </w:tcPr>
          <w:p>
            <w:pPr>
              <w:jc w:val="right"/>
              <w:spacing w:after="0"/>
              <w:rPr>
                <w:sz w:val="20"/>
                <w:szCs w:val="20"/>
                <w:color w:val="auto"/>
              </w:rPr>
            </w:pPr>
            <w:r>
              <w:rPr>
                <w:rFonts w:ascii="Arial" w:cs="Arial" w:eastAsia="Arial" w:hAnsi="Arial"/>
                <w:sz w:val="14"/>
                <w:szCs w:val="14"/>
                <w:color w:val="auto"/>
              </w:rPr>
              <w:t>2,500,000</w:t>
            </w:r>
          </w:p>
        </w:tc>
      </w:tr>
      <w:tr>
        <w:trPr>
          <w:trHeight w:val="148"/>
        </w:trPr>
        <w:tc>
          <w:tcPr>
            <w:tcW w:w="124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89"/>
              </w:rPr>
              <w:t>4,250,000</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4,250,000</w:t>
            </w:r>
          </w:p>
        </w:tc>
      </w:tr>
      <w:tr>
        <w:trPr>
          <w:trHeight w:val="182"/>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3,250,000</w:t>
            </w:r>
          </w:p>
        </w:tc>
        <w:tc>
          <w:tcPr>
            <w:tcW w:w="1220" w:type="dxa"/>
            <w:vAlign w:val="bottom"/>
          </w:tcPr>
          <w:p>
            <w:pPr>
              <w:jc w:val="right"/>
              <w:spacing w:after="0"/>
              <w:rPr>
                <w:sz w:val="20"/>
                <w:szCs w:val="20"/>
                <w:color w:val="auto"/>
              </w:rPr>
            </w:pPr>
            <w:r>
              <w:rPr>
                <w:rFonts w:ascii="Arial" w:cs="Arial" w:eastAsia="Arial" w:hAnsi="Arial"/>
                <w:sz w:val="14"/>
                <w:szCs w:val="14"/>
                <w:color w:val="auto"/>
              </w:rPr>
              <w:t>3,250,000</w:t>
            </w:r>
          </w:p>
        </w:tc>
      </w:tr>
      <w:tr>
        <w:trPr>
          <w:trHeight w:val="493"/>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2,500,000</w:t>
            </w:r>
          </w:p>
        </w:tc>
        <w:tc>
          <w:tcPr>
            <w:tcW w:w="1220" w:type="dxa"/>
            <w:vAlign w:val="bottom"/>
          </w:tcPr>
          <w:p>
            <w:pPr>
              <w:jc w:val="right"/>
              <w:spacing w:after="0"/>
              <w:rPr>
                <w:sz w:val="20"/>
                <w:szCs w:val="20"/>
                <w:color w:val="auto"/>
              </w:rPr>
            </w:pPr>
            <w:r>
              <w:rPr>
                <w:rFonts w:ascii="Arial" w:cs="Arial" w:eastAsia="Arial" w:hAnsi="Arial"/>
                <w:sz w:val="14"/>
                <w:szCs w:val="14"/>
                <w:color w:val="auto"/>
              </w:rPr>
              <w:t>2,500,000</w:t>
            </w:r>
          </w:p>
        </w:tc>
      </w:tr>
      <w:tr>
        <w:trPr>
          <w:trHeight w:val="149"/>
        </w:trPr>
        <w:tc>
          <w:tcPr>
            <w:tcW w:w="124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89"/>
              </w:rPr>
              <w:t>4,250,000</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4,250,000</w:t>
            </w:r>
          </w:p>
        </w:tc>
      </w:tr>
      <w:tr>
        <w:trPr>
          <w:trHeight w:val="182"/>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3,250,000</w:t>
            </w:r>
          </w:p>
        </w:tc>
        <w:tc>
          <w:tcPr>
            <w:tcW w:w="1220" w:type="dxa"/>
            <w:vAlign w:val="bottom"/>
          </w:tcPr>
          <w:p>
            <w:pPr>
              <w:jc w:val="right"/>
              <w:spacing w:after="0"/>
              <w:rPr>
                <w:sz w:val="20"/>
                <w:szCs w:val="20"/>
                <w:color w:val="auto"/>
              </w:rPr>
            </w:pPr>
            <w:r>
              <w:rPr>
                <w:rFonts w:ascii="Arial" w:cs="Arial" w:eastAsia="Arial" w:hAnsi="Arial"/>
                <w:sz w:val="14"/>
                <w:szCs w:val="14"/>
                <w:color w:val="auto"/>
              </w:rPr>
              <w:t>3,250,000</w:t>
            </w:r>
          </w:p>
        </w:tc>
      </w:tr>
      <w:tr>
        <w:trPr>
          <w:trHeight w:val="493"/>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1,550,000</w:t>
            </w:r>
          </w:p>
        </w:tc>
        <w:tc>
          <w:tcPr>
            <w:tcW w:w="1220" w:type="dxa"/>
            <w:vAlign w:val="bottom"/>
          </w:tcPr>
          <w:p>
            <w:pPr>
              <w:jc w:val="right"/>
              <w:spacing w:after="0"/>
              <w:rPr>
                <w:sz w:val="20"/>
                <w:szCs w:val="20"/>
                <w:color w:val="auto"/>
              </w:rPr>
            </w:pPr>
            <w:r>
              <w:rPr>
                <w:rFonts w:ascii="Arial" w:cs="Arial" w:eastAsia="Arial" w:hAnsi="Arial"/>
                <w:sz w:val="14"/>
                <w:szCs w:val="14"/>
                <w:color w:val="auto"/>
              </w:rPr>
              <w:t>1,550,000</w:t>
            </w:r>
          </w:p>
        </w:tc>
      </w:tr>
      <w:tr>
        <w:trPr>
          <w:trHeight w:val="148"/>
        </w:trPr>
        <w:tc>
          <w:tcPr>
            <w:tcW w:w="124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89"/>
              </w:rPr>
              <w:t>1,750,000</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1,750,000</w:t>
            </w:r>
          </w:p>
        </w:tc>
      </w:tr>
      <w:tr>
        <w:trPr>
          <w:trHeight w:val="182"/>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1,250,000</w:t>
            </w:r>
          </w:p>
        </w:tc>
        <w:tc>
          <w:tcPr>
            <w:tcW w:w="1220" w:type="dxa"/>
            <w:vAlign w:val="bottom"/>
          </w:tcPr>
          <w:p>
            <w:pPr>
              <w:jc w:val="right"/>
              <w:spacing w:after="0"/>
              <w:rPr>
                <w:sz w:val="20"/>
                <w:szCs w:val="20"/>
                <w:color w:val="auto"/>
              </w:rPr>
            </w:pPr>
            <w:r>
              <w:rPr>
                <w:rFonts w:ascii="Arial" w:cs="Arial" w:eastAsia="Arial" w:hAnsi="Arial"/>
                <w:sz w:val="14"/>
                <w:szCs w:val="14"/>
                <w:color w:val="auto"/>
              </w:rPr>
              <w:t>1,250,000</w:t>
            </w:r>
          </w:p>
        </w:tc>
      </w:tr>
      <w:tr>
        <w:trPr>
          <w:trHeight w:val="493"/>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1,542,263</w:t>
            </w:r>
          </w:p>
        </w:tc>
        <w:tc>
          <w:tcPr>
            <w:tcW w:w="1220" w:type="dxa"/>
            <w:vAlign w:val="bottom"/>
          </w:tcPr>
          <w:p>
            <w:pPr>
              <w:jc w:val="right"/>
              <w:spacing w:after="0"/>
              <w:rPr>
                <w:sz w:val="20"/>
                <w:szCs w:val="20"/>
                <w:color w:val="auto"/>
              </w:rPr>
            </w:pPr>
            <w:r>
              <w:rPr>
                <w:rFonts w:ascii="Arial" w:cs="Arial" w:eastAsia="Arial" w:hAnsi="Arial"/>
                <w:sz w:val="14"/>
                <w:szCs w:val="14"/>
                <w:color w:val="auto"/>
              </w:rPr>
              <w:t>1,542,263</w:t>
            </w:r>
          </w:p>
        </w:tc>
      </w:tr>
      <w:tr>
        <w:trPr>
          <w:trHeight w:val="149"/>
        </w:trPr>
        <w:tc>
          <w:tcPr>
            <w:tcW w:w="124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89"/>
              </w:rPr>
              <w:t>1,935,915</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1,935,915</w:t>
            </w:r>
          </w:p>
        </w:tc>
      </w:tr>
      <w:tr>
        <w:trPr>
          <w:trHeight w:val="182"/>
        </w:trPr>
        <w:tc>
          <w:tcPr>
            <w:tcW w:w="1240" w:type="dxa"/>
            <w:vAlign w:val="bottom"/>
          </w:tcPr>
          <w:p>
            <w:pPr>
              <w:jc w:val="right"/>
              <w:ind w:right="588"/>
              <w:spacing w:after="0"/>
              <w:rPr>
                <w:sz w:val="20"/>
                <w:szCs w:val="20"/>
                <w:color w:val="auto"/>
              </w:rPr>
            </w:pPr>
            <w:r>
              <w:rPr>
                <w:rFonts w:ascii="Arial" w:cs="Arial" w:eastAsia="Arial" w:hAnsi="Arial"/>
                <w:sz w:val="14"/>
                <w:szCs w:val="14"/>
                <w:color w:val="auto"/>
                <w:w w:val="89"/>
              </w:rPr>
              <w:t>1,675,345</w:t>
            </w:r>
          </w:p>
        </w:tc>
        <w:tc>
          <w:tcPr>
            <w:tcW w:w="1220" w:type="dxa"/>
            <w:vAlign w:val="bottom"/>
          </w:tcPr>
          <w:p>
            <w:pPr>
              <w:jc w:val="right"/>
              <w:spacing w:after="0"/>
              <w:rPr>
                <w:sz w:val="20"/>
                <w:szCs w:val="20"/>
                <w:color w:val="auto"/>
              </w:rPr>
            </w:pPr>
            <w:r>
              <w:rPr>
                <w:rFonts w:ascii="Arial" w:cs="Arial" w:eastAsia="Arial" w:hAnsi="Arial"/>
                <w:sz w:val="14"/>
                <w:szCs w:val="14"/>
                <w:color w:val="auto"/>
              </w:rPr>
              <w:t>1,675,345</w:t>
            </w:r>
          </w:p>
        </w:tc>
      </w:tr>
    </w:tbl>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Total Compensation ($)</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7,000,000</w:t>
      </w:r>
    </w:p>
    <w:p>
      <w:pPr>
        <w:ind w:left="620"/>
        <w:spacing w:after="0" w:line="221" w:lineRule="auto"/>
        <w:rPr>
          <w:sz w:val="20"/>
          <w:szCs w:val="20"/>
          <w:color w:val="auto"/>
        </w:rPr>
      </w:pPr>
      <w:r>
        <w:rPr>
          <w:rFonts w:ascii="Arial" w:cs="Arial" w:eastAsia="Arial" w:hAnsi="Arial"/>
          <w:sz w:val="14"/>
          <w:szCs w:val="14"/>
          <w:color w:val="auto"/>
        </w:rPr>
        <w:t>12,000,000</w:t>
      </w:r>
    </w:p>
    <w:p>
      <w:pPr>
        <w:ind w:left="660"/>
        <w:spacing w:after="0"/>
        <w:rPr>
          <w:sz w:val="20"/>
          <w:szCs w:val="20"/>
          <w:color w:val="auto"/>
        </w:rPr>
      </w:pPr>
      <w:r>
        <w:rPr>
          <w:rFonts w:ascii="Arial" w:cs="Arial" w:eastAsia="Arial" w:hAnsi="Arial"/>
          <w:sz w:val="14"/>
          <w:szCs w:val="14"/>
          <w:color w:val="auto"/>
        </w:rPr>
        <w:t>7,000,000</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5,500,000</w:t>
      </w:r>
    </w:p>
    <w:p>
      <w:pPr>
        <w:ind w:left="660"/>
        <w:spacing w:after="0" w:line="221" w:lineRule="auto"/>
        <w:rPr>
          <w:sz w:val="20"/>
          <w:szCs w:val="20"/>
          <w:color w:val="auto"/>
        </w:rPr>
      </w:pPr>
      <w:r>
        <w:rPr>
          <w:rFonts w:ascii="Arial" w:cs="Arial" w:eastAsia="Arial" w:hAnsi="Arial"/>
          <w:sz w:val="14"/>
          <w:szCs w:val="14"/>
          <w:color w:val="auto"/>
        </w:rPr>
        <w:t>9,000,000</w:t>
      </w:r>
    </w:p>
    <w:p>
      <w:pPr>
        <w:ind w:left="660"/>
        <w:spacing w:after="0"/>
        <w:rPr>
          <w:sz w:val="20"/>
          <w:szCs w:val="20"/>
          <w:color w:val="auto"/>
        </w:rPr>
      </w:pPr>
      <w:r>
        <w:rPr>
          <w:rFonts w:ascii="Arial" w:cs="Arial" w:eastAsia="Arial" w:hAnsi="Arial"/>
          <w:sz w:val="14"/>
          <w:szCs w:val="14"/>
          <w:color w:val="auto"/>
        </w:rPr>
        <w:t>7,000,000</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5,500,000</w:t>
      </w:r>
    </w:p>
    <w:p>
      <w:pPr>
        <w:ind w:left="660"/>
        <w:spacing w:after="0" w:line="221" w:lineRule="auto"/>
        <w:rPr>
          <w:sz w:val="20"/>
          <w:szCs w:val="20"/>
          <w:color w:val="auto"/>
        </w:rPr>
      </w:pPr>
      <w:r>
        <w:rPr>
          <w:rFonts w:ascii="Arial" w:cs="Arial" w:eastAsia="Arial" w:hAnsi="Arial"/>
          <w:sz w:val="14"/>
          <w:szCs w:val="14"/>
          <w:color w:val="auto"/>
        </w:rPr>
        <w:t>9,000,000</w:t>
      </w:r>
    </w:p>
    <w:p>
      <w:pPr>
        <w:ind w:left="660"/>
        <w:spacing w:after="0"/>
        <w:rPr>
          <w:sz w:val="20"/>
          <w:szCs w:val="20"/>
          <w:color w:val="auto"/>
        </w:rPr>
      </w:pPr>
      <w:r>
        <w:rPr>
          <w:rFonts w:ascii="Arial" w:cs="Arial" w:eastAsia="Arial" w:hAnsi="Arial"/>
          <w:sz w:val="14"/>
          <w:szCs w:val="14"/>
          <w:color w:val="auto"/>
        </w:rPr>
        <w:t>7,000,000</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3,600,000</w:t>
      </w:r>
    </w:p>
    <w:p>
      <w:pPr>
        <w:ind w:left="660"/>
        <w:spacing w:after="0" w:line="221" w:lineRule="auto"/>
        <w:rPr>
          <w:sz w:val="20"/>
          <w:szCs w:val="20"/>
          <w:color w:val="auto"/>
        </w:rPr>
      </w:pPr>
      <w:r>
        <w:rPr>
          <w:rFonts w:ascii="Arial" w:cs="Arial" w:eastAsia="Arial" w:hAnsi="Arial"/>
          <w:sz w:val="14"/>
          <w:szCs w:val="14"/>
          <w:color w:val="auto"/>
        </w:rPr>
        <w:t>4,000,000</w:t>
      </w:r>
    </w:p>
    <w:p>
      <w:pPr>
        <w:ind w:left="660"/>
        <w:spacing w:after="0"/>
        <w:rPr>
          <w:sz w:val="20"/>
          <w:szCs w:val="20"/>
          <w:color w:val="auto"/>
        </w:rPr>
      </w:pPr>
      <w:r>
        <w:rPr>
          <w:rFonts w:ascii="Arial" w:cs="Arial" w:eastAsia="Arial" w:hAnsi="Arial"/>
          <w:sz w:val="14"/>
          <w:szCs w:val="14"/>
          <w:color w:val="auto"/>
        </w:rPr>
        <w:t>3,000,000</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3,484,526</w:t>
      </w:r>
    </w:p>
    <w:p>
      <w:pPr>
        <w:ind w:left="660"/>
        <w:spacing w:after="0" w:line="221" w:lineRule="auto"/>
        <w:rPr>
          <w:sz w:val="20"/>
          <w:szCs w:val="20"/>
          <w:color w:val="auto"/>
        </w:rPr>
      </w:pPr>
      <w:r>
        <w:rPr>
          <w:rFonts w:ascii="Arial" w:cs="Arial" w:eastAsia="Arial" w:hAnsi="Arial"/>
          <w:sz w:val="14"/>
          <w:szCs w:val="14"/>
          <w:color w:val="auto"/>
        </w:rPr>
        <w:t>4,271,830</w:t>
      </w:r>
    </w:p>
    <w:p>
      <w:pPr>
        <w:ind w:left="660"/>
        <w:spacing w:after="0"/>
        <w:rPr>
          <w:sz w:val="20"/>
          <w:szCs w:val="20"/>
          <w:color w:val="auto"/>
        </w:rPr>
      </w:pPr>
      <w:r>
        <w:rPr>
          <w:rFonts w:ascii="Arial" w:cs="Arial" w:eastAsia="Arial" w:hAnsi="Arial"/>
          <w:sz w:val="14"/>
          <w:szCs w:val="14"/>
          <w:color w:val="auto"/>
        </w:rPr>
        <w:t>3,750,690</w:t>
      </w:r>
    </w:p>
    <w:p>
      <w:pPr>
        <w:spacing w:after="0" w:line="151" w:lineRule="exact"/>
        <w:rPr>
          <w:sz w:val="20"/>
          <w:szCs w:val="20"/>
          <w:color w:val="auto"/>
        </w:rPr>
      </w:pPr>
    </w:p>
    <w:p>
      <w:pPr>
        <w:sectPr>
          <w:pgSz w:w="11900" w:h="16838" w:orient="portrait"/>
          <w:cols w:equalWidth="0" w:num="4">
            <w:col w:w="2900" w:space="720"/>
            <w:col w:w="980" w:space="720"/>
            <w:col w:w="2860" w:space="720"/>
            <w:col w:w="2240"/>
          </w:cols>
          <w:pgMar w:left="320" w:top="459" w:right="439" w:bottom="1440" w:gutter="0" w:footer="0" w:header="0"/>
          <w:type w:val="continuous"/>
        </w:sectPr>
      </w:pPr>
    </w:p>
    <w:p>
      <w:pPr>
        <w:ind w:left="660" w:right="60" w:hanging="436"/>
        <w:spacing w:after="0" w:line="233"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RSUs vest in equal installments over four years. The number of RSUs granted to each NEO for 2019 performance was determined by dividing the dollar value of the RSU allocation by the simple average of the high and low average share price during each day of the 10-trading-day period from January 29, 2020 through February 11, 2020. The grant date fair value of the RSUs granted in February 2020 in respect of 2019 performance will, in accordance with SEC rules, be reflected as Stock Awards for 2020 in next year’s Summary Compensation Table and Grants of Plan-Based Awards table.</w:t>
      </w:r>
    </w:p>
    <w:p>
      <w:pPr>
        <w:spacing w:after="0" w:line="90" w:lineRule="exact"/>
        <w:rPr>
          <w:rFonts w:ascii="Arial" w:cs="Arial" w:eastAsia="Arial" w:hAnsi="Arial"/>
          <w:sz w:val="14"/>
          <w:szCs w:val="14"/>
          <w:color w:val="auto"/>
        </w:rPr>
      </w:pPr>
    </w:p>
    <w:p>
      <w:pPr>
        <w:ind w:left="660" w:right="20" w:hanging="436"/>
        <w:spacing w:after="0" w:line="233"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amounts reflected in this row do not reflect the amount of Mr. Weinberg’s one-time sign-on and replacement awards that were earned in 2019, as these grants are not recurring, relate to future performance and were designed so that the vast majority, approximately 75% of such awards, were intended to replace deferred compensation (a portion of which was variable) from Mr. Weinberg’s former employer that he forfeited as a result of joining Evercore, with the remaining approximately 25% of such awards granted as part of the recruitment of Mr. Weinberg as an enticement to join Evercore.</w:t>
      </w:r>
    </w:p>
    <w:p>
      <w:pPr>
        <w:spacing w:after="0" w:line="90" w:lineRule="exact"/>
        <w:rPr>
          <w:rFonts w:ascii="Arial" w:cs="Arial" w:eastAsia="Arial" w:hAnsi="Arial"/>
          <w:sz w:val="14"/>
          <w:szCs w:val="14"/>
          <w:color w:val="auto"/>
        </w:rPr>
      </w:pPr>
    </w:p>
    <w:p>
      <w:pPr>
        <w:ind w:left="660" w:hanging="436"/>
        <w:spacing w:after="0"/>
        <w:tabs>
          <w:tab w:leader="none" w:pos="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Mr. Sibbald’s salary has not changed since he joined us and has been converted at a constant exchange rate of £0.625 to U.S. $1.00. The cash and RSU portions of Mr. Sibbald’s</w:t>
      </w:r>
    </w:p>
    <w:p>
      <w:pPr>
        <w:spacing w:after="0" w:line="11" w:lineRule="exact"/>
        <w:rPr>
          <w:rFonts w:ascii="Arial" w:cs="Arial" w:eastAsia="Arial" w:hAnsi="Arial"/>
          <w:sz w:val="13"/>
          <w:szCs w:val="13"/>
          <w:color w:val="auto"/>
        </w:rPr>
      </w:pPr>
    </w:p>
    <w:p>
      <w:pPr>
        <w:ind w:left="660"/>
        <w:spacing w:after="0" w:line="314" w:lineRule="auto"/>
        <w:rPr>
          <w:rFonts w:ascii="Arial" w:cs="Arial" w:eastAsia="Arial" w:hAnsi="Arial"/>
          <w:sz w:val="13"/>
          <w:szCs w:val="13"/>
          <w:color w:val="auto"/>
        </w:rPr>
      </w:pPr>
      <w:r>
        <w:rPr>
          <w:rFonts w:ascii="Arial" w:cs="Arial" w:eastAsia="Arial" w:hAnsi="Arial"/>
          <w:sz w:val="12"/>
          <w:szCs w:val="12"/>
          <w:color w:val="auto"/>
        </w:rPr>
        <w:t>2017 Incentive Compensation were converted at an exchange rate of £0.776 to U.S. $1.00. The cash and RSU portions of Mr. Sibbald’s 2018 Incentive Compensation were converted at an exchange rate of £0.749 to U.S. $1.00. The cash and RSU portions of Mr. Sibbald’s 2019 Incentive Compensation were converted at an exchange rate of £0.769 to U.S. $1.00.</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Process for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85" w:lineRule="exact"/>
        <w:rPr>
          <w:sz w:val="20"/>
          <w:szCs w:val="20"/>
          <w:color w:val="auto"/>
        </w:rPr>
      </w:pPr>
    </w:p>
    <w:p>
      <w:pPr>
        <w:ind w:left="220" w:firstLine="1745"/>
        <w:spacing w:after="0" w:line="259" w:lineRule="auto"/>
        <w:rPr>
          <w:sz w:val="20"/>
          <w:szCs w:val="20"/>
          <w:color w:val="auto"/>
        </w:rPr>
      </w:pPr>
      <w:r>
        <w:rPr>
          <w:rFonts w:ascii="Arial" w:cs="Arial" w:eastAsia="Arial" w:hAnsi="Arial"/>
          <w:sz w:val="18"/>
          <w:szCs w:val="18"/>
          <w:color w:val="auto"/>
        </w:rPr>
        <w:t>Our Compensation Committee is responsible for implementing and administering all aspects of our compensation and benefit plans and programs for our NEOs. In establishing compensation for our NEOs, we take into account the fact that we generally do not provide significant retirement or similar benefits to our NEOs. We also take into account other economic relationships between the individual and us, including equity ownership.</w:t>
      </w:r>
    </w:p>
    <w:p>
      <w:pPr>
        <w:spacing w:after="0" w:line="146" w:lineRule="exact"/>
        <w:rPr>
          <w:sz w:val="20"/>
          <w:szCs w:val="20"/>
          <w:color w:val="auto"/>
        </w:rPr>
      </w:pPr>
    </w:p>
    <w:p>
      <w:pPr>
        <w:jc w:val="both"/>
        <w:ind w:left="220" w:right="520" w:firstLine="1745"/>
        <w:spacing w:after="0" w:line="287" w:lineRule="auto"/>
        <w:rPr>
          <w:sz w:val="20"/>
          <w:szCs w:val="20"/>
          <w:color w:val="auto"/>
        </w:rPr>
      </w:pPr>
      <w:r>
        <w:rPr>
          <w:rFonts w:ascii="Arial" w:cs="Arial" w:eastAsia="Arial" w:hAnsi="Arial"/>
          <w:sz w:val="16"/>
          <w:szCs w:val="16"/>
          <w:color w:val="auto"/>
        </w:rPr>
        <w:t>Messrs. Altman, Schlosstein and Weinberg each participate in discussions with the Compensation Committee and make recommendations to the Committee regarding compensation of senior employees (except as to their own compensation), but they do not vote or otherwise participate in the Compensation Committee’s ultimate determinations. Our Board believes that it is wise and prudent to have Messrs.</w:t>
      </w:r>
    </w:p>
    <w:p>
      <w:pPr>
        <w:spacing w:after="0" w:line="2" w:lineRule="exact"/>
        <w:rPr>
          <w:sz w:val="20"/>
          <w:szCs w:val="20"/>
          <w:color w:val="auto"/>
        </w:rPr>
      </w:pPr>
    </w:p>
    <w:p>
      <w:pPr>
        <w:ind w:left="220" w:right="240"/>
        <w:spacing w:after="0" w:line="260" w:lineRule="auto"/>
        <w:rPr>
          <w:sz w:val="20"/>
          <w:szCs w:val="20"/>
          <w:color w:val="auto"/>
        </w:rPr>
      </w:pPr>
      <w:r>
        <w:rPr>
          <w:rFonts w:ascii="Arial" w:cs="Arial" w:eastAsia="Arial" w:hAnsi="Arial"/>
          <w:sz w:val="18"/>
          <w:szCs w:val="18"/>
          <w:color w:val="auto"/>
        </w:rPr>
        <w:t>Altman, Schlosstein and Weinberg participate in these discussions because they possess unique insight regarding the day-to-day performance of our executives.</w:t>
      </w:r>
    </w:p>
    <w:p>
      <w:pPr>
        <w:spacing w:after="0" w:line="158" w:lineRule="exact"/>
        <w:rPr>
          <w:sz w:val="20"/>
          <w:szCs w:val="20"/>
          <w:color w:val="auto"/>
        </w:rPr>
      </w:pPr>
    </w:p>
    <w:p>
      <w:pPr>
        <w:ind w:left="220" w:right="40" w:firstLine="1745"/>
        <w:spacing w:after="0" w:line="296" w:lineRule="auto"/>
        <w:rPr>
          <w:sz w:val="20"/>
          <w:szCs w:val="20"/>
          <w:color w:val="auto"/>
        </w:rPr>
      </w:pPr>
      <w:r>
        <w:rPr>
          <w:rFonts w:ascii="Arial" w:cs="Arial" w:eastAsia="Arial" w:hAnsi="Arial"/>
          <w:sz w:val="16"/>
          <w:szCs w:val="16"/>
          <w:color w:val="auto"/>
        </w:rPr>
        <w:t>In connection with making 2019 NEO compensation determinations, the Compensation Committee reviewed compensation to be awarded to certain other employees to assess internal balance and consistency in compensation levels, including: (a) for Messrs. Schlosstein and Weinberg, the bonus amounts payable to other NEOs, (b) for Messrs. Altman, Sibbald, Schlosstein and Weinberg, the bonus amounts payable to other SMDs devoted to generating revenue through existing or new client relationships and (c) for Mr. Walsh, the bonus amounts payable to SMDs who did not have client revenue-generating responsibilities. The Compensation Committee, however, did not fix internal pay ratios at any specified levels.</w:t>
      </w:r>
    </w:p>
    <w:p>
      <w:pPr>
        <w:spacing w:after="0" w:line="121" w:lineRule="exact"/>
        <w:rPr>
          <w:sz w:val="20"/>
          <w:szCs w:val="20"/>
          <w:color w:val="auto"/>
        </w:rPr>
      </w:pPr>
    </w:p>
    <w:p>
      <w:pPr>
        <w:ind w:left="220" w:right="60" w:firstLine="1745"/>
        <w:spacing w:after="0" w:line="254" w:lineRule="auto"/>
        <w:rPr>
          <w:sz w:val="20"/>
          <w:szCs w:val="20"/>
          <w:color w:val="auto"/>
        </w:rPr>
      </w:pPr>
      <w:r>
        <w:rPr>
          <w:rFonts w:ascii="Arial" w:cs="Arial" w:eastAsia="Arial" w:hAnsi="Arial"/>
          <w:sz w:val="18"/>
          <w:szCs w:val="18"/>
          <w:color w:val="auto"/>
        </w:rPr>
        <w:t>In 2019, the Compensation Committee also reviewed the performance and NEO compensation data from certain financial institutions. While many of the companies included in such data may be described as financial services companies where human capital is of critical importance, Evercore competes with only a small subset of these companies for employees and clients. The companies included in the peer group considered by the Compensation Committee include Bank of America, Citigroup, Credit Suisse, Deutsche Bank, Goldman Sachs, Greenhill, Houlihan Lokey, JPMorgan Chase, Lazard, Moelis &amp; Company, Morgan Stanley, PJT Partners and UBS, with Greenhill, Houlihan Lokey, Lazard, Moelis and PJT Partners being our most direct public independent peers, with whom competition for qualified personnel has historically been intense. The Compensation Committee has not set any specific metrics or targets relative to these competitors or any of the other companies comprising our compensation peer group.</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Assessment of Risk</w:t>
      </w:r>
    </w:p>
    <w:p>
      <w:pPr>
        <w:spacing w:after="0" w:line="198" w:lineRule="exact"/>
        <w:rPr>
          <w:sz w:val="20"/>
          <w:szCs w:val="20"/>
          <w:color w:val="auto"/>
        </w:rPr>
      </w:pPr>
    </w:p>
    <w:p>
      <w:pPr>
        <w:ind w:left="220" w:right="40" w:firstLine="1745"/>
        <w:spacing w:after="0" w:line="263" w:lineRule="auto"/>
        <w:rPr>
          <w:sz w:val="20"/>
          <w:szCs w:val="20"/>
          <w:color w:val="auto"/>
        </w:rPr>
      </w:pPr>
      <w:r>
        <w:rPr>
          <w:rFonts w:ascii="Arial" w:cs="Arial" w:eastAsia="Arial" w:hAnsi="Arial"/>
          <w:sz w:val="18"/>
          <w:szCs w:val="18"/>
          <w:color w:val="auto"/>
        </w:rPr>
        <w:t>Our compensation programs are designed to discourage excessive risk-taking. The base salary component of compensation does not encourage risk-taking because it is a fixed amount. In addition, there are several other factors associated with our equity ownership, incentive compensation programs and CEO compensation that discourage inappropriate or excessive risk-taking:</w:t>
      </w:r>
    </w:p>
    <w:p>
      <w:pPr>
        <w:spacing w:after="0" w:line="184" w:lineRule="exact"/>
        <w:rPr>
          <w:sz w:val="20"/>
          <w:szCs w:val="20"/>
          <w:color w:val="auto"/>
        </w:rPr>
      </w:pPr>
    </w:p>
    <w:p>
      <w:pPr>
        <w:ind w:left="660" w:right="40" w:hanging="436"/>
        <w:spacing w:after="0" w:line="257" w:lineRule="auto"/>
        <w:tabs>
          <w:tab w:leader="none" w:pos="660" w:val="left"/>
        </w:tabs>
        <w:numPr>
          <w:ilvl w:val="0"/>
          <w:numId w:val="48"/>
        </w:numPr>
        <w:rPr>
          <w:rFonts w:ascii="Arial" w:cs="Arial" w:eastAsia="Arial" w:hAnsi="Arial"/>
          <w:sz w:val="18"/>
          <w:szCs w:val="18"/>
          <w:color w:val="0A26FF"/>
        </w:rPr>
      </w:pPr>
      <w:r>
        <w:rPr>
          <w:rFonts w:ascii="Arial" w:cs="Arial" w:eastAsia="Arial" w:hAnsi="Arial"/>
          <w:sz w:val="18"/>
          <w:szCs w:val="18"/>
          <w:color w:val="auto"/>
        </w:rPr>
        <w:t>While bonuses to our Advisory business SMDs are generally determined with reference to Company financial performance and their individual performance, many of our SMDs hold equity stakes far in excess of annual bonus payments, which broadly aligns their economic interests with shareholders’ interests. Our Compensation Committee formalized our practice of encouraging equity retention by SMDs through the adoption of equity ownership guidelines applicable to all SMDs. See “</w:t>
      </w:r>
      <w:r>
        <w:rPr>
          <w:rFonts w:ascii="Arial" w:cs="Arial" w:eastAsia="Arial" w:hAnsi="Arial"/>
          <w:sz w:val="18"/>
          <w:szCs w:val="18"/>
          <w:b w:val="1"/>
          <w:bCs w:val="1"/>
          <w:color w:val="auto"/>
        </w:rPr>
        <w:t>—Linkage of Management and Shareholder Interests—Equity Ownership</w:t>
      </w:r>
      <w:r>
        <w:rPr>
          <w:rFonts w:ascii="Arial" w:cs="Arial" w:eastAsia="Arial" w:hAnsi="Arial"/>
          <w:sz w:val="18"/>
          <w:szCs w:val="18"/>
          <w:color w:val="auto"/>
        </w:rPr>
        <w:t xml:space="preserve"> </w:t>
      </w:r>
      <w:r>
        <w:rPr>
          <w:rFonts w:ascii="Arial" w:cs="Arial" w:eastAsia="Arial" w:hAnsi="Arial"/>
          <w:sz w:val="18"/>
          <w:szCs w:val="18"/>
          <w:b w:val="1"/>
          <w:bCs w:val="1"/>
          <w:color w:val="auto"/>
        </w:rPr>
        <w:t>Guidelines</w:t>
      </w:r>
      <w:r>
        <w:rPr>
          <w:rFonts w:ascii="Arial" w:cs="Arial" w:eastAsia="Arial" w:hAnsi="Arial"/>
          <w:sz w:val="18"/>
          <w:szCs w:val="18"/>
          <w:color w:val="auto"/>
        </w:rPr>
        <w:t>” below (on page 51) for a description of these guidelines;</w:t>
      </w:r>
    </w:p>
    <w:p>
      <w:pPr>
        <w:spacing w:after="0" w:line="187" w:lineRule="exact"/>
        <w:rPr>
          <w:rFonts w:ascii="Arial" w:cs="Arial" w:eastAsia="Arial" w:hAnsi="Arial"/>
          <w:sz w:val="18"/>
          <w:szCs w:val="18"/>
          <w:color w:val="0A26FF"/>
        </w:rPr>
      </w:pPr>
    </w:p>
    <w:p>
      <w:pPr>
        <w:ind w:left="660" w:right="340" w:hanging="436"/>
        <w:spacing w:after="0" w:line="277" w:lineRule="auto"/>
        <w:tabs>
          <w:tab w:leader="none" w:pos="660" w:val="left"/>
        </w:tabs>
        <w:numPr>
          <w:ilvl w:val="0"/>
          <w:numId w:val="48"/>
        </w:numPr>
        <w:rPr>
          <w:rFonts w:ascii="Arial" w:cs="Arial" w:eastAsia="Arial" w:hAnsi="Arial"/>
          <w:sz w:val="18"/>
          <w:szCs w:val="18"/>
          <w:color w:val="0A26FF"/>
        </w:rPr>
      </w:pPr>
      <w:r>
        <w:rPr>
          <w:rFonts w:ascii="Arial" w:cs="Arial" w:eastAsia="Arial" w:hAnsi="Arial"/>
          <w:sz w:val="18"/>
          <w:szCs w:val="18"/>
          <w:color w:val="auto"/>
        </w:rPr>
        <w:t>Bonuses are based on an overall review of a variety of factors, which removes any incentive an executive may have to incur risks in order to achieve specific benchmark metrics;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40" w:hanging="436"/>
        <w:spacing w:after="0" w:line="277" w:lineRule="auto"/>
        <w:tabs>
          <w:tab w:leader="none" w:pos="660" w:val="left"/>
        </w:tabs>
        <w:numPr>
          <w:ilvl w:val="0"/>
          <w:numId w:val="49"/>
        </w:numPr>
        <w:rPr>
          <w:rFonts w:ascii="Arial" w:cs="Arial" w:eastAsia="Arial" w:hAnsi="Arial"/>
          <w:sz w:val="18"/>
          <w:szCs w:val="18"/>
          <w:color w:val="0A26FF"/>
        </w:rPr>
      </w:pPr>
      <w:r>
        <w:rPr>
          <w:rFonts w:ascii="Arial" w:cs="Arial" w:eastAsia="Arial" w:hAnsi="Arial"/>
          <w:sz w:val="18"/>
          <w:szCs w:val="18"/>
          <w:color w:val="auto"/>
        </w:rPr>
        <w:t>A substantial portion of most bonuses is paid in equity and, in general, the portion of the bonus paid in equity increases with the seniority of the recipient and the size of the bonus;</w:t>
      </w:r>
    </w:p>
    <w:p>
      <w:pPr>
        <w:spacing w:after="0" w:line="170" w:lineRule="exact"/>
        <w:rPr>
          <w:rFonts w:ascii="Arial" w:cs="Arial" w:eastAsia="Arial" w:hAnsi="Arial"/>
          <w:sz w:val="18"/>
          <w:szCs w:val="18"/>
          <w:color w:val="0A26FF"/>
        </w:rPr>
      </w:pPr>
    </w:p>
    <w:p>
      <w:pPr>
        <w:ind w:left="660" w:right="40" w:hanging="436"/>
        <w:spacing w:after="0" w:line="277" w:lineRule="auto"/>
        <w:tabs>
          <w:tab w:leader="none" w:pos="660" w:val="left"/>
        </w:tabs>
        <w:numPr>
          <w:ilvl w:val="0"/>
          <w:numId w:val="49"/>
        </w:numPr>
        <w:rPr>
          <w:rFonts w:ascii="Arial" w:cs="Arial" w:eastAsia="Arial" w:hAnsi="Arial"/>
          <w:sz w:val="18"/>
          <w:szCs w:val="18"/>
          <w:color w:val="0A26FF"/>
        </w:rPr>
      </w:pPr>
      <w:r>
        <w:rPr>
          <w:rFonts w:ascii="Arial" w:cs="Arial" w:eastAsia="Arial" w:hAnsi="Arial"/>
          <w:sz w:val="18"/>
          <w:szCs w:val="18"/>
          <w:color w:val="auto"/>
        </w:rPr>
        <w:t>Our RSUs, including those awarded as part of our annual bonus program, generally vest over four years, which encourages an appropriately long term focus;</w:t>
      </w:r>
    </w:p>
    <w:p>
      <w:pPr>
        <w:spacing w:after="0" w:line="170" w:lineRule="exact"/>
        <w:rPr>
          <w:rFonts w:ascii="Arial" w:cs="Arial" w:eastAsia="Arial" w:hAnsi="Arial"/>
          <w:sz w:val="18"/>
          <w:szCs w:val="18"/>
          <w:color w:val="0A26FF"/>
        </w:rPr>
      </w:pPr>
    </w:p>
    <w:p>
      <w:pPr>
        <w:ind w:left="660" w:right="180" w:hanging="436"/>
        <w:spacing w:after="0" w:line="277" w:lineRule="auto"/>
        <w:tabs>
          <w:tab w:leader="none" w:pos="660" w:val="left"/>
        </w:tabs>
        <w:numPr>
          <w:ilvl w:val="0"/>
          <w:numId w:val="49"/>
        </w:numPr>
        <w:rPr>
          <w:rFonts w:ascii="Arial" w:cs="Arial" w:eastAsia="Arial" w:hAnsi="Arial"/>
          <w:sz w:val="18"/>
          <w:szCs w:val="18"/>
          <w:color w:val="0A26FF"/>
        </w:rPr>
      </w:pPr>
      <w:r>
        <w:rPr>
          <w:rFonts w:ascii="Arial" w:cs="Arial" w:eastAsia="Arial" w:hAnsi="Arial"/>
          <w:sz w:val="18"/>
          <w:szCs w:val="18"/>
          <w:color w:val="auto"/>
        </w:rPr>
        <w:t>Members of the Compensation Committee apply discretion in the establishment of the size of our bonus pool, the percentage split of our bonus pool between cash and equity and the terms of our equity awards;</w:t>
      </w:r>
    </w:p>
    <w:p>
      <w:pPr>
        <w:spacing w:after="0" w:line="170" w:lineRule="exact"/>
        <w:rPr>
          <w:rFonts w:ascii="Arial" w:cs="Arial" w:eastAsia="Arial" w:hAnsi="Arial"/>
          <w:sz w:val="18"/>
          <w:szCs w:val="18"/>
          <w:color w:val="0A26FF"/>
        </w:rPr>
      </w:pPr>
    </w:p>
    <w:p>
      <w:pPr>
        <w:ind w:left="660" w:right="200" w:hanging="436"/>
        <w:spacing w:after="0" w:line="277" w:lineRule="auto"/>
        <w:tabs>
          <w:tab w:leader="none" w:pos="660" w:val="left"/>
        </w:tabs>
        <w:numPr>
          <w:ilvl w:val="0"/>
          <w:numId w:val="49"/>
        </w:numPr>
        <w:rPr>
          <w:rFonts w:ascii="Arial" w:cs="Arial" w:eastAsia="Arial" w:hAnsi="Arial"/>
          <w:sz w:val="18"/>
          <w:szCs w:val="18"/>
          <w:color w:val="0A26FF"/>
        </w:rPr>
      </w:pPr>
      <w:r>
        <w:rPr>
          <w:rFonts w:ascii="Arial" w:cs="Arial" w:eastAsia="Arial" w:hAnsi="Arial"/>
          <w:sz w:val="18"/>
          <w:szCs w:val="18"/>
          <w:color w:val="auto"/>
        </w:rPr>
        <w:t>Many of our senior investment management employees (none of whom are NEOs) have interests in their individual business units and thus are directly exposed to the risks inherent in their own decision making; and</w:t>
      </w:r>
    </w:p>
    <w:p>
      <w:pPr>
        <w:spacing w:after="0" w:line="170" w:lineRule="exact"/>
        <w:rPr>
          <w:rFonts w:ascii="Arial" w:cs="Arial" w:eastAsia="Arial" w:hAnsi="Arial"/>
          <w:sz w:val="18"/>
          <w:szCs w:val="18"/>
          <w:color w:val="0A26FF"/>
        </w:rPr>
      </w:pPr>
    </w:p>
    <w:p>
      <w:pPr>
        <w:ind w:left="660" w:right="280" w:hanging="436"/>
        <w:spacing w:after="0" w:line="263" w:lineRule="auto"/>
        <w:tabs>
          <w:tab w:leader="none" w:pos="660" w:val="left"/>
        </w:tabs>
        <w:numPr>
          <w:ilvl w:val="0"/>
          <w:numId w:val="49"/>
        </w:numPr>
        <w:rPr>
          <w:rFonts w:ascii="Arial" w:cs="Arial" w:eastAsia="Arial" w:hAnsi="Arial"/>
          <w:sz w:val="18"/>
          <w:szCs w:val="18"/>
          <w:color w:val="0A26FF"/>
        </w:rPr>
      </w:pPr>
      <w:r>
        <w:rPr>
          <w:rFonts w:ascii="Arial" w:cs="Arial" w:eastAsia="Arial" w:hAnsi="Arial"/>
          <w:sz w:val="18"/>
          <w:szCs w:val="18"/>
          <w:color w:val="auto"/>
        </w:rPr>
        <w:t>We believe that RSUs are an appropriate form of deferred equity compensation because, unlike other forms of equity awards, such as options, they encourage the holder to think like a shareholder from the date of grant, including, for example, by being exposed to downside risk from stock price drops.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85" w:lineRule="exact"/>
        <w:rPr>
          <w:sz w:val="20"/>
          <w:szCs w:val="20"/>
          <w:color w:val="auto"/>
        </w:rPr>
      </w:pPr>
    </w:p>
    <w:p>
      <w:pPr>
        <w:ind w:left="220" w:right="180" w:firstLine="1745"/>
        <w:spacing w:after="0" w:line="296" w:lineRule="auto"/>
        <w:rPr>
          <w:sz w:val="20"/>
          <w:szCs w:val="20"/>
          <w:color w:val="auto"/>
        </w:rPr>
      </w:pPr>
      <w:r>
        <w:rPr>
          <w:rFonts w:ascii="Arial" w:cs="Arial" w:eastAsia="Arial" w:hAnsi="Arial"/>
          <w:sz w:val="16"/>
          <w:szCs w:val="16"/>
          <w:color w:val="auto"/>
        </w:rPr>
        <w:t>Our comprehensive clawback policy applies to all incentive compensation awarded to our SMDs, including RSUs, cash awards and awards of partnership units of Evercore LP. The policy requires SMDs to repay us or forfeit (i) upon a restatement of our financial results due to material noncompliance with financial reporting requirements, an amount up to the difference between the amount of incentive compensation the SMD received and/or realized and the amount the SMD would have received and/or realized based on the restated financial results or (ii) upon a finding of misconduct, an amount up to the aggregate incentive compensation granted to such SMD over the last three fiscal years of the Company.</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Linkage of Management and Shareholder Interests—Equity Ownership Guidelines</w:t>
      </w:r>
    </w:p>
    <w:p>
      <w:pPr>
        <w:spacing w:after="0" w:line="198" w:lineRule="exact"/>
        <w:rPr>
          <w:sz w:val="20"/>
          <w:szCs w:val="20"/>
          <w:color w:val="auto"/>
        </w:rPr>
      </w:pPr>
    </w:p>
    <w:p>
      <w:pPr>
        <w:ind w:left="220" w:right="40" w:firstLine="1745"/>
        <w:spacing w:after="0" w:line="257" w:lineRule="auto"/>
        <w:rPr>
          <w:sz w:val="20"/>
          <w:szCs w:val="20"/>
          <w:color w:val="auto"/>
        </w:rPr>
      </w:pPr>
      <w:r>
        <w:rPr>
          <w:rFonts w:ascii="Arial" w:cs="Arial" w:eastAsia="Arial" w:hAnsi="Arial"/>
          <w:sz w:val="18"/>
          <w:szCs w:val="18"/>
          <w:color w:val="auto"/>
        </w:rPr>
        <w:t>Our formal equity ownership guidelines are applicable to all SMDs. The goal of these guidelines is to formalize our practice of encouraging executive officers to have a meaningful amount of Evercore equity at risk. In particular, we focused on trying to develop a simple method of calculating required thresholds and concluded that adopting an ownership amount based on a number of shares rather than dollar value would be most effective. The equity ownership guidelines count Class A common stock, Evercore LP limited partnership units and vested and unvested RSUs. The following chart sets forth the equity ownership guidelines for our SMDs.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7003415" cy="617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03415" cy="617220"/>
                    </a:xfrm>
                    <a:prstGeom prst="rect">
                      <a:avLst/>
                    </a:prstGeom>
                    <a:noFill/>
                  </pic:spPr>
                </pic:pic>
              </a:graphicData>
            </a:graphic>
          </wp:anchor>
        </w:drawing>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351"/>
        </w:trPr>
        <w:tc>
          <w:tcPr>
            <w:tcW w:w="4600" w:type="dxa"/>
            <w:vAlign w:val="bottom"/>
            <w:shd w:val="clear" w:color="auto" w:fill="54A0FF"/>
          </w:tcPr>
          <w:p>
            <w:pPr>
              <w:ind w:left="2400"/>
              <w:spacing w:after="0"/>
              <w:rPr>
                <w:sz w:val="20"/>
                <w:szCs w:val="20"/>
                <w:color w:val="auto"/>
              </w:rPr>
            </w:pPr>
            <w:r>
              <w:rPr>
                <w:rFonts w:ascii="Arial" w:cs="Arial" w:eastAsia="Arial" w:hAnsi="Arial"/>
                <w:sz w:val="18"/>
                <w:szCs w:val="18"/>
                <w:b w:val="1"/>
                <w:bCs w:val="1"/>
                <w:color w:val="FFFFFF"/>
              </w:rPr>
              <w:t>Title/Position</w:t>
            </w:r>
          </w:p>
        </w:tc>
        <w:tc>
          <w:tcPr>
            <w:tcW w:w="6420" w:type="dxa"/>
            <w:vAlign w:val="bottom"/>
            <w:shd w:val="clear" w:color="auto" w:fill="54A0FF"/>
          </w:tcPr>
          <w:p>
            <w:pPr>
              <w:ind w:left="2400"/>
              <w:spacing w:after="0"/>
              <w:rPr>
                <w:sz w:val="20"/>
                <w:szCs w:val="20"/>
                <w:color w:val="auto"/>
              </w:rPr>
            </w:pPr>
            <w:r>
              <w:rPr>
                <w:rFonts w:ascii="Arial" w:cs="Arial" w:eastAsia="Arial" w:hAnsi="Arial"/>
                <w:sz w:val="18"/>
                <w:szCs w:val="18"/>
                <w:b w:val="1"/>
                <w:bCs w:val="1"/>
                <w:color w:val="FFFFFF"/>
              </w:rPr>
              <w:t>Required Amount of Equity at Risk</w:t>
            </w:r>
          </w:p>
        </w:tc>
        <w:tc>
          <w:tcPr>
            <w:tcW w:w="0" w:type="dxa"/>
            <w:vAlign w:val="bottom"/>
          </w:tcPr>
          <w:p>
            <w:pPr>
              <w:spacing w:after="0"/>
              <w:rPr>
                <w:sz w:val="1"/>
                <w:szCs w:val="1"/>
                <w:color w:val="auto"/>
              </w:rPr>
            </w:pPr>
          </w:p>
        </w:tc>
      </w:tr>
      <w:tr>
        <w:trPr>
          <w:trHeight w:val="81"/>
        </w:trPr>
        <w:tc>
          <w:tcPr>
            <w:tcW w:w="4600" w:type="dxa"/>
            <w:vAlign w:val="bottom"/>
            <w:tcBorders>
              <w:bottom w:val="single" w:sz="8" w:color="auto"/>
            </w:tcBorders>
            <w:shd w:val="clear" w:color="auto" w:fill="54A0FF"/>
          </w:tcPr>
          <w:p>
            <w:pPr>
              <w:spacing w:after="0"/>
              <w:rPr>
                <w:sz w:val="7"/>
                <w:szCs w:val="7"/>
                <w:color w:val="auto"/>
              </w:rPr>
            </w:pPr>
          </w:p>
        </w:tc>
        <w:tc>
          <w:tcPr>
            <w:tcW w:w="6420" w:type="dxa"/>
            <w:vAlign w:val="bottom"/>
            <w:tcBorders>
              <w:bottom w:val="single" w:sz="8" w:color="auto"/>
            </w:tcBorders>
            <w:shd w:val="clear" w:color="auto" w:fill="54A0FF"/>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6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CEO, Executive Chairman and Senior Chairman</w:t>
            </w:r>
          </w:p>
        </w:tc>
        <w:tc>
          <w:tcPr>
            <w:tcW w:w="6420" w:type="dxa"/>
            <w:vAlign w:val="bottom"/>
            <w:tcBorders>
              <w:bottom w:val="single" w:sz="8" w:color="auto"/>
            </w:tcBorders>
          </w:tcPr>
          <w:p>
            <w:pPr>
              <w:ind w:left="1180"/>
              <w:spacing w:after="0" w:line="155" w:lineRule="exact"/>
              <w:rPr>
                <w:sz w:val="20"/>
                <w:szCs w:val="20"/>
                <w:color w:val="auto"/>
              </w:rPr>
            </w:pPr>
            <w:r>
              <w:rPr>
                <w:rFonts w:ascii="Arial" w:cs="Arial" w:eastAsia="Arial" w:hAnsi="Arial"/>
                <w:sz w:val="14"/>
                <w:szCs w:val="14"/>
                <w:color w:val="auto"/>
              </w:rPr>
              <w:t>500,000 shares or share equivalents</w:t>
            </w:r>
          </w:p>
        </w:tc>
        <w:tc>
          <w:tcPr>
            <w:tcW w:w="0" w:type="dxa"/>
            <w:vAlign w:val="bottom"/>
          </w:tcPr>
          <w:p>
            <w:pPr>
              <w:spacing w:after="0"/>
              <w:rPr>
                <w:sz w:val="1"/>
                <w:szCs w:val="1"/>
                <w:color w:val="auto"/>
              </w:rPr>
            </w:pPr>
          </w:p>
        </w:tc>
      </w:tr>
      <w:tr>
        <w:trPr>
          <w:trHeight w:val="164"/>
        </w:trPr>
        <w:tc>
          <w:tcPr>
            <w:tcW w:w="4600" w:type="dxa"/>
            <w:vAlign w:val="bottom"/>
            <w:vMerge w:val="restart"/>
          </w:tcPr>
          <w:p>
            <w:pPr>
              <w:ind w:left="160"/>
              <w:spacing w:after="0"/>
              <w:rPr>
                <w:sz w:val="20"/>
                <w:szCs w:val="20"/>
                <w:color w:val="auto"/>
              </w:rPr>
            </w:pPr>
            <w:r>
              <w:rPr>
                <w:rFonts w:ascii="Arial" w:cs="Arial" w:eastAsia="Arial" w:hAnsi="Arial"/>
                <w:sz w:val="14"/>
                <w:szCs w:val="14"/>
                <w:color w:val="auto"/>
              </w:rPr>
              <w:t>All other SMDs (including other Executive Officers)</w:t>
            </w:r>
          </w:p>
        </w:tc>
        <w:tc>
          <w:tcPr>
            <w:tcW w:w="6420" w:type="dxa"/>
            <w:vAlign w:val="bottom"/>
          </w:tcPr>
          <w:p>
            <w:pPr>
              <w:ind w:left="1180"/>
              <w:spacing w:after="0"/>
              <w:rPr>
                <w:sz w:val="20"/>
                <w:szCs w:val="20"/>
                <w:color w:val="auto"/>
              </w:rPr>
            </w:pPr>
            <w:r>
              <w:rPr>
                <w:rFonts w:ascii="Arial" w:cs="Arial" w:eastAsia="Arial" w:hAnsi="Arial"/>
                <w:sz w:val="14"/>
                <w:szCs w:val="14"/>
                <w:color w:val="auto"/>
              </w:rPr>
              <w:t>Lesser of (i) 50,000 shares or share equivalents or (ii) 50% of the number of RSUs</w:t>
            </w:r>
          </w:p>
        </w:tc>
        <w:tc>
          <w:tcPr>
            <w:tcW w:w="0" w:type="dxa"/>
            <w:vAlign w:val="bottom"/>
          </w:tcPr>
          <w:p>
            <w:pPr>
              <w:spacing w:after="0"/>
              <w:rPr>
                <w:sz w:val="1"/>
                <w:szCs w:val="1"/>
                <w:color w:val="auto"/>
              </w:rPr>
            </w:pPr>
          </w:p>
        </w:tc>
      </w:tr>
      <w:tr>
        <w:trPr>
          <w:trHeight w:val="101"/>
        </w:trPr>
        <w:tc>
          <w:tcPr>
            <w:tcW w:w="4600" w:type="dxa"/>
            <w:vAlign w:val="bottom"/>
            <w:vMerge w:val="continue"/>
          </w:tcPr>
          <w:p>
            <w:pPr>
              <w:spacing w:after="0"/>
              <w:rPr>
                <w:sz w:val="8"/>
                <w:szCs w:val="8"/>
                <w:color w:val="auto"/>
              </w:rPr>
            </w:pPr>
          </w:p>
        </w:tc>
        <w:tc>
          <w:tcPr>
            <w:tcW w:w="6420" w:type="dxa"/>
            <w:vAlign w:val="bottom"/>
            <w:vMerge w:val="restart"/>
          </w:tcPr>
          <w:p>
            <w:pPr>
              <w:ind w:left="1180"/>
              <w:spacing w:after="0"/>
              <w:rPr>
                <w:sz w:val="20"/>
                <w:szCs w:val="20"/>
                <w:color w:val="auto"/>
              </w:rPr>
            </w:pPr>
            <w:r>
              <w:rPr>
                <w:rFonts w:ascii="Arial" w:cs="Arial" w:eastAsia="Arial" w:hAnsi="Arial"/>
                <w:sz w:val="14"/>
                <w:szCs w:val="14"/>
                <w:color w:val="auto"/>
              </w:rPr>
              <w:t>granted as part of annual bonuses over last four years</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3"/>
        </w:trPr>
        <w:tc>
          <w:tcPr>
            <w:tcW w:w="4600" w:type="dxa"/>
            <w:vAlign w:val="bottom"/>
          </w:tcPr>
          <w:p>
            <w:pPr>
              <w:spacing w:after="0"/>
              <w:rPr>
                <w:sz w:val="6"/>
                <w:szCs w:val="6"/>
                <w:color w:val="auto"/>
              </w:rPr>
            </w:pPr>
          </w:p>
        </w:tc>
        <w:tc>
          <w:tcPr>
            <w:tcW w:w="6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660" w:right="420" w:hanging="436"/>
        <w:spacing w:after="0" w:line="237"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the period prior to their becoming an SMD, if applicable, but excludes dividend equivalent RSUs. By way of example, if over four years an SMD was granted at least 200,000 RSUs as part of annual bonuses, the required amount of equity at risk is 50,000 shares.</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85" w:lineRule="exact"/>
        <w:rPr>
          <w:sz w:val="20"/>
          <w:szCs w:val="20"/>
          <w:color w:val="auto"/>
        </w:rPr>
      </w:pPr>
    </w:p>
    <w:p>
      <w:pPr>
        <w:ind w:left="220" w:right="240" w:firstLine="1745"/>
        <w:spacing w:after="0" w:line="279" w:lineRule="auto"/>
        <w:rPr>
          <w:sz w:val="20"/>
          <w:szCs w:val="20"/>
          <w:color w:val="auto"/>
        </w:rPr>
      </w:pPr>
      <w:r>
        <w:rPr>
          <w:rFonts w:ascii="Arial" w:cs="Arial" w:eastAsia="Arial" w:hAnsi="Arial"/>
          <w:sz w:val="17"/>
          <w:szCs w:val="17"/>
          <w:color w:val="auto"/>
        </w:rPr>
        <w:t>The Compensation Committee considers certain tax implications when designing our executive compensation program. The Compensation Committee believes that there are circumstances where the provision of compensation that is not fully tax deductible may be more consistent with our compensation philosophy and objectives and/or may be in our best interests and those of our shareholders. The Compensation Committee believes that retaining the ability to exercise discretion and the flexibility to attract, retain and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740"/>
        <w:spacing w:after="0" w:line="342" w:lineRule="auto"/>
        <w:rPr>
          <w:sz w:val="20"/>
          <w:szCs w:val="20"/>
          <w:color w:val="auto"/>
        </w:rPr>
      </w:pPr>
      <w:r>
        <w:rPr>
          <w:rFonts w:ascii="Arial" w:cs="Arial" w:eastAsia="Arial" w:hAnsi="Arial"/>
          <w:sz w:val="16"/>
          <w:szCs w:val="16"/>
          <w:color w:val="auto"/>
        </w:rPr>
        <w:t>motivate executives with a compensation program that aligns with our long term business objectives, in many circumstances, outweighs the advantages of qualifying all compensation as deductible, or causing all compensation expenses to be accounted for in a particular fashion.</w:t>
      </w:r>
    </w:p>
    <w:p>
      <w:pPr>
        <w:spacing w:after="0" w:line="97" w:lineRule="exact"/>
        <w:rPr>
          <w:sz w:val="20"/>
          <w:szCs w:val="20"/>
          <w:color w:val="auto"/>
        </w:rPr>
      </w:pPr>
    </w:p>
    <w:p>
      <w:pPr>
        <w:ind w:left="220" w:right="100" w:firstLine="1745"/>
        <w:spacing w:after="0" w:line="289" w:lineRule="auto"/>
        <w:rPr>
          <w:sz w:val="20"/>
          <w:szCs w:val="20"/>
          <w:color w:val="auto"/>
        </w:rPr>
      </w:pPr>
      <w:r>
        <w:rPr>
          <w:rFonts w:ascii="Arial" w:cs="Arial" w:eastAsia="Arial" w:hAnsi="Arial"/>
          <w:sz w:val="16"/>
          <w:szCs w:val="16"/>
          <w:color w:val="auto"/>
        </w:rPr>
        <w:t>For taxable years beginning after December 31, 2017, there is no longer an exception to the deductibility limit for qualifying “performance-based compensation” unless the compensation qualifies for transition relief applicable to certain arrangements in place as of November 2, 2017 (the scope of which remains uncertain). In addition, under recently proposed regulations, the deductibility limit may also apply to any compensation paid by Evercore LP to Evercore’s covered employees, but only to the extent of Evercore’s allocable share of the otherwise deductible compensation paid by Evercore LP. Thus, if Evercore LP pays any compensation to Evercore’s covered employees, Evercore may be required to aggregate its allocable share of Evercore LP’s deduction for compensation paid to such covered employees with the deduction for compensation paid by Evercore when applying the deductible limit and if such limit is exceeded, Evercore would lose the excess deduction. The Compensation Committee continues to evaluate the changes to Section 162(m) and retains the ability to award compensation that is not fully tax deductible in order to provide compensation consistent with our compensation philosophy and objectives.</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2019 Say on Pay Vote</w:t>
      </w:r>
    </w:p>
    <w:p>
      <w:pPr>
        <w:spacing w:after="0" w:line="185" w:lineRule="exact"/>
        <w:rPr>
          <w:sz w:val="20"/>
          <w:szCs w:val="20"/>
          <w:color w:val="auto"/>
        </w:rPr>
      </w:pPr>
    </w:p>
    <w:p>
      <w:pPr>
        <w:ind w:left="220" w:right="100" w:firstLine="1745"/>
        <w:spacing w:after="0" w:line="301" w:lineRule="auto"/>
        <w:rPr>
          <w:sz w:val="20"/>
          <w:szCs w:val="20"/>
          <w:color w:val="auto"/>
        </w:rPr>
      </w:pPr>
      <w:r>
        <w:rPr>
          <w:rFonts w:ascii="Arial" w:cs="Arial" w:eastAsia="Arial" w:hAnsi="Arial"/>
          <w:sz w:val="16"/>
          <w:szCs w:val="16"/>
          <w:color w:val="auto"/>
        </w:rPr>
        <w:t>Historically, our shareholders have supported our overall executive compensation program. Our executive compensation program has not changed in any material way since last year, when our shareholders supported our Say on Pay proposal at the 92% level. We believe this overwhelming support is due to the Company’s consistently strong business performance, a close alignment between performance and pay, our extensive shareholder engagement process and disclosure regarding our executive compensation program.</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Shareholder Engagement and Feedback</w:t>
      </w:r>
    </w:p>
    <w:p>
      <w:pPr>
        <w:spacing w:after="0" w:line="185" w:lineRule="exact"/>
        <w:rPr>
          <w:sz w:val="20"/>
          <w:szCs w:val="20"/>
          <w:color w:val="auto"/>
        </w:rPr>
      </w:pPr>
    </w:p>
    <w:p>
      <w:pPr>
        <w:ind w:left="220" w:firstLine="1745"/>
        <w:spacing w:after="0" w:line="257" w:lineRule="auto"/>
        <w:rPr>
          <w:sz w:val="20"/>
          <w:szCs w:val="20"/>
          <w:color w:val="auto"/>
        </w:rPr>
      </w:pPr>
      <w:r>
        <w:rPr>
          <w:rFonts w:ascii="Arial" w:cs="Arial" w:eastAsia="Arial" w:hAnsi="Arial"/>
          <w:sz w:val="18"/>
          <w:szCs w:val="18"/>
          <w:color w:val="auto"/>
        </w:rPr>
        <w:t>As we have done in the past, in 2019 we engaged in extensive shareholder outreach, reaching out to shareholders representing nearly two-thirds of our outstanding shares then held by unaffiliated shareholders. In our meetings and other engagement with shareholders, we primarily discussed feedback on our executive compensation program, financial performance, corporate governance initiatives, use of equity compensation and other matters. The feedback we received from our shareholders included the following, which informed Board actions throughout the course of the year:</w:t>
      </w:r>
    </w:p>
    <w:p>
      <w:pPr>
        <w:spacing w:after="0" w:line="184" w:lineRule="exact"/>
        <w:rPr>
          <w:sz w:val="20"/>
          <w:szCs w:val="20"/>
          <w:color w:val="auto"/>
        </w:rPr>
      </w:pPr>
    </w:p>
    <w:p>
      <w:pPr>
        <w:ind w:left="1100" w:hanging="876"/>
        <w:spacing w:after="0"/>
        <w:tabs>
          <w:tab w:leader="none" w:pos="110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 xml:space="preserve">Support for our </w:t>
      </w:r>
      <w:r>
        <w:rPr>
          <w:rFonts w:ascii="Arial" w:cs="Arial" w:eastAsia="Arial" w:hAnsi="Arial"/>
          <w:sz w:val="18"/>
          <w:szCs w:val="18"/>
          <w:b w:val="1"/>
          <w:bCs w:val="1"/>
          <w:color w:val="auto"/>
        </w:rPr>
        <w:t>commitment to shareholder engagement</w:t>
      </w:r>
      <w:r>
        <w:rPr>
          <w:rFonts w:ascii="Arial" w:cs="Arial" w:eastAsia="Arial" w:hAnsi="Arial"/>
          <w:sz w:val="18"/>
          <w:szCs w:val="18"/>
          <w:color w:val="auto"/>
        </w:rPr>
        <w:t xml:space="preserve"> and our response to feedback.</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 xml:space="preserve">Appreciation of the </w:t>
      </w:r>
      <w:r>
        <w:rPr>
          <w:rFonts w:ascii="Arial" w:cs="Arial" w:eastAsia="Arial" w:hAnsi="Arial"/>
          <w:sz w:val="18"/>
          <w:szCs w:val="18"/>
          <w:b w:val="1"/>
          <w:bCs w:val="1"/>
          <w:color w:val="auto"/>
        </w:rPr>
        <w:t>new talent</w:t>
      </w:r>
      <w:r>
        <w:rPr>
          <w:rFonts w:ascii="Arial" w:cs="Arial" w:eastAsia="Arial" w:hAnsi="Arial"/>
          <w:sz w:val="18"/>
          <w:szCs w:val="18"/>
          <w:color w:val="auto"/>
        </w:rPr>
        <w:t xml:space="preserve"> and perspectives added to our Board in recent years.</w:t>
      </w:r>
    </w:p>
    <w:p>
      <w:pPr>
        <w:spacing w:after="0" w:line="225" w:lineRule="exact"/>
        <w:rPr>
          <w:rFonts w:ascii="MS PGothic" w:cs="MS PGothic" w:eastAsia="MS PGothic" w:hAnsi="MS PGothic"/>
          <w:sz w:val="18"/>
          <w:szCs w:val="18"/>
          <w:color w:val="auto"/>
        </w:rPr>
      </w:pPr>
    </w:p>
    <w:p>
      <w:pPr>
        <w:ind w:left="1100" w:right="80" w:hanging="876"/>
        <w:spacing w:after="0" w:line="282" w:lineRule="auto"/>
        <w:tabs>
          <w:tab w:leader="none" w:pos="110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 xml:space="preserve">Understanding of the costs and benefits of </w:t>
      </w:r>
      <w:r>
        <w:rPr>
          <w:rFonts w:ascii="Arial" w:cs="Arial" w:eastAsia="Arial" w:hAnsi="Arial"/>
          <w:sz w:val="18"/>
          <w:szCs w:val="18"/>
          <w:b w:val="1"/>
          <w:bCs w:val="1"/>
          <w:color w:val="auto"/>
        </w:rPr>
        <w:t>investing in talent</w:t>
      </w:r>
      <w:r>
        <w:rPr>
          <w:rFonts w:ascii="Arial" w:cs="Arial" w:eastAsia="Arial" w:hAnsi="Arial"/>
          <w:sz w:val="18"/>
          <w:szCs w:val="18"/>
          <w:color w:val="auto"/>
        </w:rPr>
        <w:t>, especially at the most senior levels of revenue producing professionals, in our human capital intensive business.</w:t>
      </w:r>
    </w:p>
    <w:p>
      <w:pPr>
        <w:spacing w:after="0" w:line="161" w:lineRule="exact"/>
        <w:rPr>
          <w:rFonts w:ascii="MS PGothic" w:cs="MS PGothic" w:eastAsia="MS PGothic" w:hAnsi="MS PGothic"/>
          <w:sz w:val="18"/>
          <w:szCs w:val="18"/>
          <w:color w:val="auto"/>
        </w:rPr>
      </w:pPr>
    </w:p>
    <w:p>
      <w:pPr>
        <w:ind w:left="1100" w:hanging="876"/>
        <w:spacing w:after="0"/>
        <w:tabs>
          <w:tab w:leader="none" w:pos="110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 xml:space="preserve">Understanding of the benefits of using equity compensation to </w:t>
      </w:r>
      <w:r>
        <w:rPr>
          <w:rFonts w:ascii="Arial" w:cs="Arial" w:eastAsia="Arial" w:hAnsi="Arial"/>
          <w:sz w:val="18"/>
          <w:szCs w:val="18"/>
          <w:b w:val="1"/>
          <w:bCs w:val="1"/>
          <w:color w:val="auto"/>
        </w:rPr>
        <w:t>attract and retain talent</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 xml:space="preserve">Appreciation of our </w:t>
      </w:r>
      <w:r>
        <w:rPr>
          <w:rFonts w:ascii="Arial" w:cs="Arial" w:eastAsia="Arial" w:hAnsi="Arial"/>
          <w:sz w:val="18"/>
          <w:szCs w:val="18"/>
          <w:b w:val="1"/>
          <w:bCs w:val="1"/>
          <w:color w:val="auto"/>
        </w:rPr>
        <w:t>commitment to manage the dilutive impact of equity grants</w:t>
      </w:r>
      <w:r>
        <w:rPr>
          <w:rFonts w:ascii="Arial" w:cs="Arial" w:eastAsia="Arial" w:hAnsi="Arial"/>
          <w:sz w:val="18"/>
          <w:szCs w:val="18"/>
          <w:color w:val="auto"/>
        </w:rPr>
        <w:t xml:space="preserve"> to employees.</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 xml:space="preserve">Support of our continued focus on </w:t>
      </w:r>
      <w:r>
        <w:rPr>
          <w:rFonts w:ascii="Arial" w:cs="Arial" w:eastAsia="Arial" w:hAnsi="Arial"/>
          <w:sz w:val="18"/>
          <w:szCs w:val="18"/>
          <w:b w:val="1"/>
          <w:bCs w:val="1"/>
          <w:color w:val="auto"/>
        </w:rPr>
        <w:t>alignment of pay and performance</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51"/>
        </w:numPr>
        <w:rPr>
          <w:rFonts w:ascii="MS PGothic" w:cs="MS PGothic" w:eastAsia="MS PGothic" w:hAnsi="MS PGothic"/>
          <w:sz w:val="17"/>
          <w:szCs w:val="17"/>
          <w:color w:val="auto"/>
        </w:rPr>
      </w:pPr>
      <w:r>
        <w:rPr>
          <w:rFonts w:ascii="Arial" w:cs="Arial" w:eastAsia="Arial" w:hAnsi="Arial"/>
          <w:sz w:val="17"/>
          <w:szCs w:val="17"/>
          <w:color w:val="auto"/>
        </w:rPr>
        <w:t xml:space="preserve">Recognition of </w:t>
      </w:r>
      <w:r>
        <w:rPr>
          <w:rFonts w:ascii="Arial" w:cs="Arial" w:eastAsia="Arial" w:hAnsi="Arial"/>
          <w:sz w:val="17"/>
          <w:szCs w:val="17"/>
          <w:b w:val="1"/>
          <w:bCs w:val="1"/>
          <w:color w:val="auto"/>
        </w:rPr>
        <w:t>our consistent performance</w:t>
      </w:r>
      <w:r>
        <w:rPr>
          <w:rFonts w:ascii="Arial" w:cs="Arial" w:eastAsia="Arial" w:hAnsi="Arial"/>
          <w:sz w:val="17"/>
          <w:szCs w:val="17"/>
          <w:color w:val="auto"/>
        </w:rPr>
        <w:t xml:space="preserve"> and demonstrated commitment to </w:t>
      </w:r>
      <w:r>
        <w:rPr>
          <w:rFonts w:ascii="Arial" w:cs="Arial" w:eastAsia="Arial" w:hAnsi="Arial"/>
          <w:sz w:val="17"/>
          <w:szCs w:val="17"/>
          <w:b w:val="1"/>
          <w:bCs w:val="1"/>
          <w:color w:val="auto"/>
        </w:rPr>
        <w:t>creating shareholder value</w:t>
      </w:r>
      <w:r>
        <w:rPr>
          <w:rFonts w:ascii="Arial" w:cs="Arial" w:eastAsia="Arial" w:hAnsi="Arial"/>
          <w:sz w:val="17"/>
          <w:szCs w:val="17"/>
          <w:color w:val="auto"/>
        </w:rPr>
        <w:t xml:space="preserve"> over the long term.</w:t>
      </w:r>
    </w:p>
    <w:p>
      <w:pPr>
        <w:spacing w:after="0" w:line="236" w:lineRule="exact"/>
        <w:rPr>
          <w:rFonts w:ascii="MS PGothic" w:cs="MS PGothic" w:eastAsia="MS PGothic" w:hAnsi="MS PGothic"/>
          <w:sz w:val="17"/>
          <w:szCs w:val="17"/>
          <w:color w:val="auto"/>
        </w:rPr>
      </w:pPr>
    </w:p>
    <w:p>
      <w:pPr>
        <w:ind w:left="1100" w:right="60" w:hanging="876"/>
        <w:spacing w:after="0" w:line="282" w:lineRule="auto"/>
        <w:tabs>
          <w:tab w:leader="none" w:pos="1100" w:val="left"/>
        </w:tabs>
        <w:numPr>
          <w:ilvl w:val="0"/>
          <w:numId w:val="51"/>
        </w:numPr>
        <w:rPr>
          <w:rFonts w:ascii="MS PGothic" w:cs="MS PGothic" w:eastAsia="MS PGothic" w:hAnsi="MS PGothic"/>
          <w:sz w:val="18"/>
          <w:szCs w:val="18"/>
          <w:color w:val="auto"/>
        </w:rPr>
      </w:pPr>
      <w:r>
        <w:rPr>
          <w:rFonts w:ascii="Arial" w:cs="Arial" w:eastAsia="Arial" w:hAnsi="Arial"/>
          <w:sz w:val="18"/>
          <w:szCs w:val="18"/>
          <w:color w:val="auto"/>
        </w:rPr>
        <w:t xml:space="preserve">Appreciation of how our </w:t>
      </w:r>
      <w:r>
        <w:rPr>
          <w:rFonts w:ascii="Arial" w:cs="Arial" w:eastAsia="Arial" w:hAnsi="Arial"/>
          <w:sz w:val="18"/>
          <w:szCs w:val="18"/>
          <w:b w:val="1"/>
          <w:bCs w:val="1"/>
          <w:color w:val="auto"/>
        </w:rPr>
        <w:t>core values</w:t>
      </w:r>
      <w:r>
        <w:rPr>
          <w:rFonts w:ascii="Arial" w:cs="Arial" w:eastAsia="Arial" w:hAnsi="Arial"/>
          <w:sz w:val="18"/>
          <w:szCs w:val="18"/>
          <w:color w:val="auto"/>
        </w:rPr>
        <w:t xml:space="preserve"> inform our business strategy and culture, including support of our employee development programs and community involvement.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9"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FFFFF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40" w:type="dxa"/>
            <w:vAlign w:val="bottom"/>
            <w:gridSpan w:val="3"/>
          </w:tcPr>
          <w:p>
            <w:pPr>
              <w:ind w:left="100"/>
              <w:spacing w:after="0"/>
              <w:rPr>
                <w:sz w:val="20"/>
                <w:szCs w:val="20"/>
                <w:color w:val="auto"/>
              </w:rPr>
            </w:pPr>
            <w:r>
              <w:rPr>
                <w:rFonts w:ascii="Arial" w:cs="Arial" w:eastAsia="Arial" w:hAnsi="Arial"/>
                <w:sz w:val="18"/>
                <w:szCs w:val="18"/>
                <w:b w:val="1"/>
                <w:bCs w:val="1"/>
                <w:color w:val="auto"/>
              </w:rPr>
              <w:t>Summary Compensation Table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80" w:type="dxa"/>
            <w:vAlign w:val="bottom"/>
            <w:shd w:val="clear" w:color="auto" w:fill="E0FCF9"/>
          </w:tcPr>
          <w:p>
            <w:pPr>
              <w:spacing w:after="0"/>
              <w:rPr>
                <w:sz w:val="17"/>
                <w:szCs w:val="17"/>
                <w:color w:val="auto"/>
              </w:rPr>
            </w:pPr>
          </w:p>
        </w:tc>
        <w:tc>
          <w:tcPr>
            <w:tcW w:w="3540" w:type="dxa"/>
            <w:vAlign w:val="bottom"/>
            <w:shd w:val="clear" w:color="auto" w:fill="E0FCF9"/>
          </w:tcPr>
          <w:p>
            <w:pPr>
              <w:spacing w:after="0"/>
              <w:rPr>
                <w:sz w:val="17"/>
                <w:szCs w:val="17"/>
                <w:color w:val="auto"/>
              </w:rPr>
            </w:pPr>
          </w:p>
        </w:tc>
        <w:tc>
          <w:tcPr>
            <w:tcW w:w="220" w:type="dxa"/>
            <w:vAlign w:val="bottom"/>
            <w:shd w:val="clear" w:color="auto" w:fill="E0FCF9"/>
          </w:tcPr>
          <w:p>
            <w:pPr>
              <w:spacing w:after="0"/>
              <w:rPr>
                <w:sz w:val="17"/>
                <w:szCs w:val="17"/>
                <w:color w:val="auto"/>
              </w:rPr>
            </w:pPr>
          </w:p>
        </w:tc>
        <w:tc>
          <w:tcPr>
            <w:tcW w:w="560" w:type="dxa"/>
            <w:vAlign w:val="bottom"/>
            <w:shd w:val="clear" w:color="auto" w:fill="E0FCF9"/>
          </w:tcPr>
          <w:p>
            <w:pPr>
              <w:spacing w:after="0"/>
              <w:rPr>
                <w:sz w:val="17"/>
                <w:szCs w:val="17"/>
                <w:color w:val="auto"/>
              </w:rPr>
            </w:pPr>
          </w:p>
        </w:tc>
        <w:tc>
          <w:tcPr>
            <w:tcW w:w="280" w:type="dxa"/>
            <w:vAlign w:val="bottom"/>
            <w:shd w:val="clear" w:color="auto" w:fill="E0FCF9"/>
          </w:tcPr>
          <w:p>
            <w:pPr>
              <w:spacing w:after="0"/>
              <w:rPr>
                <w:sz w:val="17"/>
                <w:szCs w:val="17"/>
                <w:color w:val="auto"/>
              </w:rPr>
            </w:pPr>
          </w:p>
        </w:tc>
        <w:tc>
          <w:tcPr>
            <w:tcW w:w="680" w:type="dxa"/>
            <w:vAlign w:val="bottom"/>
            <w:shd w:val="clear" w:color="auto" w:fill="E0FCF9"/>
          </w:tcPr>
          <w:p>
            <w:pPr>
              <w:spacing w:after="0"/>
              <w:rPr>
                <w:sz w:val="17"/>
                <w:szCs w:val="17"/>
                <w:color w:val="auto"/>
              </w:rPr>
            </w:pPr>
          </w:p>
        </w:tc>
        <w:tc>
          <w:tcPr>
            <w:tcW w:w="280" w:type="dxa"/>
            <w:vAlign w:val="bottom"/>
            <w:shd w:val="clear" w:color="auto" w:fill="E0FCF9"/>
          </w:tcPr>
          <w:p>
            <w:pPr>
              <w:spacing w:after="0"/>
              <w:rPr>
                <w:sz w:val="17"/>
                <w:szCs w:val="17"/>
                <w:color w:val="auto"/>
              </w:rPr>
            </w:pPr>
          </w:p>
        </w:tc>
        <w:tc>
          <w:tcPr>
            <w:tcW w:w="800" w:type="dxa"/>
            <w:vAlign w:val="bottom"/>
            <w:shd w:val="clear" w:color="auto" w:fill="E0FCF9"/>
          </w:tcPr>
          <w:p>
            <w:pPr>
              <w:spacing w:after="0"/>
              <w:rPr>
                <w:sz w:val="17"/>
                <w:szCs w:val="17"/>
                <w:color w:val="auto"/>
              </w:rPr>
            </w:pPr>
          </w:p>
        </w:tc>
        <w:tc>
          <w:tcPr>
            <w:tcW w:w="260" w:type="dxa"/>
            <w:vAlign w:val="bottom"/>
            <w:shd w:val="clear" w:color="auto" w:fill="E0FCF9"/>
          </w:tcPr>
          <w:p>
            <w:pPr>
              <w:spacing w:after="0"/>
              <w:rPr>
                <w:sz w:val="17"/>
                <w:szCs w:val="17"/>
                <w:color w:val="auto"/>
              </w:rPr>
            </w:pPr>
          </w:p>
        </w:tc>
        <w:tc>
          <w:tcPr>
            <w:tcW w:w="1600" w:type="dxa"/>
            <w:vAlign w:val="bottom"/>
            <w:gridSpan w:val="2"/>
            <w:shd w:val="clear" w:color="auto" w:fill="E0FCF9"/>
          </w:tcPr>
          <w:p>
            <w:pPr>
              <w:jc w:val="center"/>
              <w:ind w:right="260"/>
              <w:spacing w:after="0" w:line="198" w:lineRule="exact"/>
              <w:rPr>
                <w:sz w:val="20"/>
                <w:szCs w:val="20"/>
                <w:color w:val="auto"/>
              </w:rPr>
            </w:pPr>
            <w:r>
              <w:rPr>
                <w:rFonts w:ascii="Arial" w:cs="Arial" w:eastAsia="Arial" w:hAnsi="Arial"/>
                <w:sz w:val="18"/>
                <w:szCs w:val="18"/>
                <w:b w:val="1"/>
                <w:bCs w:val="1"/>
                <w:color w:val="0016FF"/>
                <w:w w:val="93"/>
              </w:rPr>
              <w:t>Non-Equity</w:t>
            </w:r>
          </w:p>
        </w:tc>
        <w:tc>
          <w:tcPr>
            <w:tcW w:w="1320" w:type="dxa"/>
            <w:vAlign w:val="bottom"/>
            <w:shd w:val="clear" w:color="auto" w:fill="E0FCF9"/>
          </w:tcPr>
          <w:p>
            <w:pPr>
              <w:spacing w:after="0"/>
              <w:rPr>
                <w:sz w:val="17"/>
                <w:szCs w:val="17"/>
                <w:color w:val="auto"/>
              </w:rPr>
            </w:pPr>
          </w:p>
        </w:tc>
        <w:tc>
          <w:tcPr>
            <w:tcW w:w="260" w:type="dxa"/>
            <w:vAlign w:val="bottom"/>
            <w:shd w:val="clear" w:color="auto" w:fill="E0FCF9"/>
          </w:tcPr>
          <w:p>
            <w:pPr>
              <w:spacing w:after="0"/>
              <w:rPr>
                <w:sz w:val="17"/>
                <w:szCs w:val="17"/>
                <w:color w:val="auto"/>
              </w:rPr>
            </w:pPr>
          </w:p>
        </w:tc>
        <w:tc>
          <w:tcPr>
            <w:tcW w:w="780" w:type="dxa"/>
            <w:vAlign w:val="bottom"/>
            <w:shd w:val="clear" w:color="auto" w:fill="E0FCF9"/>
          </w:tcPr>
          <w:p>
            <w:pPr>
              <w:spacing w:after="0"/>
              <w:rPr>
                <w:sz w:val="17"/>
                <w:szCs w:val="17"/>
                <w:color w:val="auto"/>
              </w:rPr>
            </w:pPr>
          </w:p>
        </w:tc>
        <w:tc>
          <w:tcPr>
            <w:tcW w:w="60" w:type="dxa"/>
            <w:vAlign w:val="bottom"/>
            <w:shd w:val="clear" w:color="auto" w:fill="E0FC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E0FCF9"/>
          </w:tcPr>
          <w:p>
            <w:pPr>
              <w:spacing w:after="0"/>
              <w:rPr>
                <w:sz w:val="18"/>
                <w:szCs w:val="18"/>
                <w:color w:val="auto"/>
              </w:rPr>
            </w:pPr>
          </w:p>
        </w:tc>
        <w:tc>
          <w:tcPr>
            <w:tcW w:w="3760" w:type="dxa"/>
            <w:vAlign w:val="bottom"/>
            <w:gridSpan w:val="2"/>
            <w:vMerge w:val="restart"/>
            <w:shd w:val="clear" w:color="auto" w:fill="E0FCF9"/>
          </w:tcPr>
          <w:p>
            <w:pPr>
              <w:ind w:left="1000"/>
              <w:spacing w:after="0"/>
              <w:rPr>
                <w:sz w:val="20"/>
                <w:szCs w:val="20"/>
                <w:color w:val="auto"/>
              </w:rPr>
            </w:pPr>
            <w:r>
              <w:rPr>
                <w:rFonts w:ascii="Arial" w:cs="Arial" w:eastAsia="Arial" w:hAnsi="Arial"/>
                <w:sz w:val="18"/>
                <w:szCs w:val="18"/>
                <w:b w:val="1"/>
                <w:bCs w:val="1"/>
                <w:color w:val="0016FF"/>
              </w:rPr>
              <w:t>Name and Principal</w:t>
            </w:r>
          </w:p>
        </w:tc>
        <w:tc>
          <w:tcPr>
            <w:tcW w:w="560" w:type="dxa"/>
            <w:vAlign w:val="bottom"/>
            <w:shd w:val="clear" w:color="auto" w:fill="E0FCF9"/>
          </w:tcPr>
          <w:p>
            <w:pPr>
              <w:spacing w:after="0"/>
              <w:rPr>
                <w:sz w:val="18"/>
                <w:szCs w:val="18"/>
                <w:color w:val="auto"/>
              </w:rPr>
            </w:pPr>
          </w:p>
        </w:tc>
        <w:tc>
          <w:tcPr>
            <w:tcW w:w="280" w:type="dxa"/>
            <w:vAlign w:val="bottom"/>
            <w:shd w:val="clear" w:color="auto" w:fill="E0FCF9"/>
          </w:tcPr>
          <w:p>
            <w:pPr>
              <w:spacing w:after="0"/>
              <w:rPr>
                <w:sz w:val="18"/>
                <w:szCs w:val="18"/>
                <w:color w:val="auto"/>
              </w:rPr>
            </w:pPr>
          </w:p>
        </w:tc>
        <w:tc>
          <w:tcPr>
            <w:tcW w:w="680" w:type="dxa"/>
            <w:vAlign w:val="bottom"/>
            <w:shd w:val="clear" w:color="auto" w:fill="E0FCF9"/>
          </w:tcPr>
          <w:p>
            <w:pPr>
              <w:spacing w:after="0"/>
              <w:rPr>
                <w:sz w:val="18"/>
                <w:szCs w:val="18"/>
                <w:color w:val="auto"/>
              </w:rPr>
            </w:pPr>
          </w:p>
        </w:tc>
        <w:tc>
          <w:tcPr>
            <w:tcW w:w="280" w:type="dxa"/>
            <w:vAlign w:val="bottom"/>
            <w:shd w:val="clear" w:color="auto" w:fill="E0FCF9"/>
          </w:tcPr>
          <w:p>
            <w:pPr>
              <w:spacing w:after="0"/>
              <w:rPr>
                <w:sz w:val="18"/>
                <w:szCs w:val="18"/>
                <w:color w:val="auto"/>
              </w:rPr>
            </w:pPr>
          </w:p>
        </w:tc>
        <w:tc>
          <w:tcPr>
            <w:tcW w:w="1060" w:type="dxa"/>
            <w:vAlign w:val="bottom"/>
            <w:gridSpan w:val="2"/>
            <w:shd w:val="clear" w:color="auto" w:fill="E0FCF9"/>
          </w:tcPr>
          <w:p>
            <w:pPr>
              <w:ind w:left="180"/>
              <w:spacing w:after="0"/>
              <w:rPr>
                <w:sz w:val="20"/>
                <w:szCs w:val="20"/>
                <w:color w:val="auto"/>
              </w:rPr>
            </w:pPr>
            <w:r>
              <w:rPr>
                <w:rFonts w:ascii="Arial" w:cs="Arial" w:eastAsia="Arial" w:hAnsi="Arial"/>
                <w:sz w:val="18"/>
                <w:szCs w:val="18"/>
                <w:b w:val="1"/>
                <w:bCs w:val="1"/>
                <w:color w:val="0016FF"/>
              </w:rPr>
              <w:t>Stock</w:t>
            </w:r>
          </w:p>
        </w:tc>
        <w:tc>
          <w:tcPr>
            <w:tcW w:w="1600" w:type="dxa"/>
            <w:vAlign w:val="bottom"/>
            <w:gridSpan w:val="2"/>
            <w:shd w:val="clear" w:color="auto" w:fill="E0FCF9"/>
          </w:tcPr>
          <w:p>
            <w:pPr>
              <w:jc w:val="center"/>
              <w:ind w:right="260"/>
              <w:spacing w:after="0"/>
              <w:rPr>
                <w:sz w:val="20"/>
                <w:szCs w:val="20"/>
                <w:color w:val="auto"/>
              </w:rPr>
            </w:pPr>
            <w:r>
              <w:rPr>
                <w:rFonts w:ascii="Arial" w:cs="Arial" w:eastAsia="Arial" w:hAnsi="Arial"/>
                <w:sz w:val="18"/>
                <w:szCs w:val="18"/>
                <w:b w:val="1"/>
                <w:bCs w:val="1"/>
                <w:color w:val="0016FF"/>
                <w:w w:val="90"/>
              </w:rPr>
              <w:t>Incentive Plan</w:t>
            </w:r>
          </w:p>
        </w:tc>
        <w:tc>
          <w:tcPr>
            <w:tcW w:w="1580" w:type="dxa"/>
            <w:vAlign w:val="bottom"/>
            <w:gridSpan w:val="2"/>
            <w:shd w:val="clear" w:color="auto" w:fill="E0FCF9"/>
          </w:tcPr>
          <w:p>
            <w:pPr>
              <w:ind w:left="280"/>
              <w:spacing w:after="0"/>
              <w:rPr>
                <w:sz w:val="20"/>
                <w:szCs w:val="20"/>
                <w:color w:val="auto"/>
              </w:rPr>
            </w:pPr>
            <w:r>
              <w:rPr>
                <w:rFonts w:ascii="Arial" w:cs="Arial" w:eastAsia="Arial" w:hAnsi="Arial"/>
                <w:sz w:val="18"/>
                <w:szCs w:val="18"/>
                <w:b w:val="1"/>
                <w:bCs w:val="1"/>
                <w:color w:val="0016FF"/>
              </w:rPr>
              <w:t>All Other</w:t>
            </w:r>
          </w:p>
        </w:tc>
        <w:tc>
          <w:tcPr>
            <w:tcW w:w="780" w:type="dxa"/>
            <w:vAlign w:val="bottom"/>
            <w:shd w:val="clear" w:color="auto" w:fill="E0FCF9"/>
          </w:tcPr>
          <w:p>
            <w:pPr>
              <w:spacing w:after="0"/>
              <w:rPr>
                <w:sz w:val="18"/>
                <w:szCs w:val="18"/>
                <w:color w:val="auto"/>
              </w:rPr>
            </w:pPr>
          </w:p>
        </w:tc>
        <w:tc>
          <w:tcPr>
            <w:tcW w:w="60" w:type="dxa"/>
            <w:vAlign w:val="bottom"/>
            <w:shd w:val="clear" w:color="auto" w:fill="E0FCF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E0FCF9"/>
          </w:tcPr>
          <w:p>
            <w:pPr>
              <w:spacing w:after="0"/>
              <w:rPr>
                <w:sz w:val="17"/>
                <w:szCs w:val="17"/>
                <w:color w:val="auto"/>
              </w:rPr>
            </w:pPr>
          </w:p>
        </w:tc>
        <w:tc>
          <w:tcPr>
            <w:tcW w:w="3760" w:type="dxa"/>
            <w:vAlign w:val="bottom"/>
            <w:gridSpan w:val="2"/>
            <w:vMerge w:val="continue"/>
            <w:shd w:val="clear" w:color="auto" w:fill="E0FCF9"/>
          </w:tcPr>
          <w:p>
            <w:pPr>
              <w:spacing w:after="0"/>
              <w:rPr>
                <w:sz w:val="17"/>
                <w:szCs w:val="17"/>
                <w:color w:val="auto"/>
              </w:rPr>
            </w:pPr>
          </w:p>
        </w:tc>
        <w:tc>
          <w:tcPr>
            <w:tcW w:w="840" w:type="dxa"/>
            <w:vAlign w:val="bottom"/>
            <w:gridSpan w:val="2"/>
            <w:shd w:val="clear" w:color="auto" w:fill="E0FCF9"/>
          </w:tcPr>
          <w:p>
            <w:pPr>
              <w:ind w:left="40"/>
              <w:spacing w:after="0" w:line="202" w:lineRule="exact"/>
              <w:rPr>
                <w:sz w:val="20"/>
                <w:szCs w:val="20"/>
                <w:color w:val="auto"/>
              </w:rPr>
            </w:pPr>
            <w:r>
              <w:rPr>
                <w:rFonts w:ascii="Arial" w:cs="Arial" w:eastAsia="Arial" w:hAnsi="Arial"/>
                <w:sz w:val="18"/>
                <w:szCs w:val="18"/>
                <w:b w:val="1"/>
                <w:bCs w:val="1"/>
                <w:color w:val="0016FF"/>
              </w:rPr>
              <w:t>Salary</w:t>
            </w:r>
          </w:p>
        </w:tc>
        <w:tc>
          <w:tcPr>
            <w:tcW w:w="960" w:type="dxa"/>
            <w:vAlign w:val="bottom"/>
            <w:gridSpan w:val="2"/>
            <w:shd w:val="clear" w:color="auto" w:fill="E0FCF9"/>
          </w:tcPr>
          <w:p>
            <w:pPr>
              <w:jc w:val="center"/>
              <w:ind w:right="280"/>
              <w:spacing w:after="0" w:line="202" w:lineRule="exact"/>
              <w:rPr>
                <w:sz w:val="20"/>
                <w:szCs w:val="20"/>
                <w:color w:val="auto"/>
              </w:rPr>
            </w:pPr>
            <w:r>
              <w:rPr>
                <w:rFonts w:ascii="Arial" w:cs="Arial" w:eastAsia="Arial" w:hAnsi="Arial"/>
                <w:sz w:val="18"/>
                <w:szCs w:val="18"/>
                <w:b w:val="1"/>
                <w:bCs w:val="1"/>
                <w:color w:val="0016FF"/>
                <w:w w:val="85"/>
              </w:rPr>
              <w:t>Bonus</w:t>
            </w:r>
          </w:p>
        </w:tc>
        <w:tc>
          <w:tcPr>
            <w:tcW w:w="1060" w:type="dxa"/>
            <w:vAlign w:val="bottom"/>
            <w:gridSpan w:val="2"/>
            <w:shd w:val="clear" w:color="auto" w:fill="E0FCF9"/>
          </w:tcPr>
          <w:p>
            <w:pPr>
              <w:jc w:val="right"/>
              <w:ind w:right="260"/>
              <w:spacing w:after="0" w:line="202" w:lineRule="exact"/>
              <w:rPr>
                <w:sz w:val="20"/>
                <w:szCs w:val="20"/>
                <w:color w:val="auto"/>
              </w:rPr>
            </w:pPr>
            <w:r>
              <w:rPr>
                <w:rFonts w:ascii="Arial" w:cs="Arial" w:eastAsia="Arial" w:hAnsi="Arial"/>
                <w:sz w:val="18"/>
                <w:szCs w:val="18"/>
                <w:b w:val="1"/>
                <w:bCs w:val="1"/>
                <w:color w:val="0016FF"/>
                <w:w w:val="89"/>
              </w:rPr>
              <w:t>Awards(1)</w:t>
            </w:r>
          </w:p>
        </w:tc>
        <w:tc>
          <w:tcPr>
            <w:tcW w:w="1600" w:type="dxa"/>
            <w:vAlign w:val="bottom"/>
            <w:gridSpan w:val="2"/>
            <w:shd w:val="clear" w:color="auto" w:fill="E0FCF9"/>
          </w:tcPr>
          <w:p>
            <w:pPr>
              <w:jc w:val="right"/>
              <w:ind w:right="280"/>
              <w:spacing w:after="0" w:line="202" w:lineRule="exact"/>
              <w:rPr>
                <w:sz w:val="20"/>
                <w:szCs w:val="20"/>
                <w:color w:val="auto"/>
              </w:rPr>
            </w:pPr>
            <w:r>
              <w:rPr>
                <w:rFonts w:ascii="Arial" w:cs="Arial" w:eastAsia="Arial" w:hAnsi="Arial"/>
                <w:sz w:val="18"/>
                <w:szCs w:val="18"/>
                <w:b w:val="1"/>
                <w:bCs w:val="1"/>
                <w:color w:val="0016FF"/>
                <w:w w:val="88"/>
              </w:rPr>
              <w:t>Compensation(2)</w:t>
            </w:r>
          </w:p>
        </w:tc>
        <w:tc>
          <w:tcPr>
            <w:tcW w:w="1580" w:type="dxa"/>
            <w:vAlign w:val="bottom"/>
            <w:gridSpan w:val="2"/>
            <w:shd w:val="clear" w:color="auto" w:fill="E0FCF9"/>
          </w:tcPr>
          <w:p>
            <w:pPr>
              <w:jc w:val="right"/>
              <w:ind w:right="260"/>
              <w:spacing w:after="0" w:line="202" w:lineRule="exact"/>
              <w:rPr>
                <w:sz w:val="20"/>
                <w:szCs w:val="20"/>
                <w:color w:val="auto"/>
              </w:rPr>
            </w:pPr>
            <w:r>
              <w:rPr>
                <w:rFonts w:ascii="Arial" w:cs="Arial" w:eastAsia="Arial" w:hAnsi="Arial"/>
                <w:sz w:val="18"/>
                <w:szCs w:val="18"/>
                <w:b w:val="1"/>
                <w:bCs w:val="1"/>
                <w:color w:val="0016FF"/>
                <w:w w:val="88"/>
              </w:rPr>
              <w:t>Compensation(3)</w:t>
            </w:r>
          </w:p>
        </w:tc>
        <w:tc>
          <w:tcPr>
            <w:tcW w:w="840" w:type="dxa"/>
            <w:vAlign w:val="bottom"/>
            <w:gridSpan w:val="2"/>
            <w:shd w:val="clear" w:color="auto" w:fill="E0FCF9"/>
          </w:tcPr>
          <w:p>
            <w:pPr>
              <w:ind w:left="200"/>
              <w:spacing w:after="0" w:line="202" w:lineRule="exact"/>
              <w:rPr>
                <w:sz w:val="20"/>
                <w:szCs w:val="20"/>
                <w:color w:val="auto"/>
              </w:rPr>
            </w:pPr>
            <w:r>
              <w:rPr>
                <w:rFonts w:ascii="Arial" w:cs="Arial" w:eastAsia="Arial" w:hAnsi="Arial"/>
                <w:sz w:val="18"/>
                <w:szCs w:val="18"/>
                <w:b w:val="1"/>
                <w:bCs w:val="1"/>
                <w:color w:val="0016FF"/>
              </w:rPr>
              <w:t>Total</w:t>
            </w:r>
          </w:p>
        </w:tc>
        <w:tc>
          <w:tcPr>
            <w:tcW w:w="0" w:type="dxa"/>
            <w:vAlign w:val="bottom"/>
          </w:tcPr>
          <w:p>
            <w:pPr>
              <w:spacing w:after="0"/>
              <w:rPr>
                <w:sz w:val="1"/>
                <w:szCs w:val="1"/>
                <w:color w:val="auto"/>
              </w:rPr>
            </w:pPr>
          </w:p>
        </w:tc>
      </w:tr>
      <w:tr>
        <w:trPr>
          <w:trHeight w:val="248"/>
        </w:trPr>
        <w:tc>
          <w:tcPr>
            <w:tcW w:w="380" w:type="dxa"/>
            <w:vAlign w:val="bottom"/>
            <w:shd w:val="clear" w:color="auto" w:fill="E0FCF9"/>
          </w:tcPr>
          <w:p>
            <w:pPr>
              <w:spacing w:after="0"/>
              <w:rPr>
                <w:sz w:val="21"/>
                <w:szCs w:val="21"/>
                <w:color w:val="auto"/>
              </w:rPr>
            </w:pPr>
          </w:p>
        </w:tc>
        <w:tc>
          <w:tcPr>
            <w:tcW w:w="3760" w:type="dxa"/>
            <w:vAlign w:val="bottom"/>
            <w:gridSpan w:val="2"/>
            <w:shd w:val="clear" w:color="auto" w:fill="E0FCF9"/>
          </w:tcPr>
          <w:p>
            <w:pPr>
              <w:ind w:left="1460"/>
              <w:spacing w:after="0"/>
              <w:rPr>
                <w:sz w:val="20"/>
                <w:szCs w:val="20"/>
                <w:color w:val="auto"/>
              </w:rPr>
            </w:pPr>
            <w:r>
              <w:rPr>
                <w:rFonts w:ascii="Arial" w:cs="Arial" w:eastAsia="Arial" w:hAnsi="Arial"/>
                <w:sz w:val="18"/>
                <w:szCs w:val="18"/>
                <w:b w:val="1"/>
                <w:bCs w:val="1"/>
                <w:color w:val="0016FF"/>
              </w:rPr>
              <w:t>Position</w:t>
            </w:r>
          </w:p>
        </w:tc>
        <w:tc>
          <w:tcPr>
            <w:tcW w:w="560" w:type="dxa"/>
            <w:vAlign w:val="bottom"/>
            <w:shd w:val="clear" w:color="auto" w:fill="E0FCF9"/>
          </w:tcPr>
          <w:p>
            <w:pPr>
              <w:ind w:left="180"/>
              <w:spacing w:after="0"/>
              <w:rPr>
                <w:sz w:val="20"/>
                <w:szCs w:val="20"/>
                <w:color w:val="auto"/>
              </w:rPr>
            </w:pPr>
            <w:r>
              <w:rPr>
                <w:rFonts w:ascii="Arial" w:cs="Arial" w:eastAsia="Arial" w:hAnsi="Arial"/>
                <w:sz w:val="18"/>
                <w:szCs w:val="18"/>
                <w:b w:val="1"/>
                <w:bCs w:val="1"/>
                <w:color w:val="0016FF"/>
              </w:rPr>
              <w:t>($)</w:t>
            </w:r>
          </w:p>
        </w:tc>
        <w:tc>
          <w:tcPr>
            <w:tcW w:w="280" w:type="dxa"/>
            <w:vAlign w:val="bottom"/>
            <w:shd w:val="clear" w:color="auto" w:fill="E0FCF9"/>
          </w:tcPr>
          <w:p>
            <w:pPr>
              <w:spacing w:after="0"/>
              <w:rPr>
                <w:sz w:val="21"/>
                <w:szCs w:val="21"/>
                <w:color w:val="auto"/>
              </w:rPr>
            </w:pPr>
          </w:p>
        </w:tc>
        <w:tc>
          <w:tcPr>
            <w:tcW w:w="68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0"/>
              </w:rPr>
              <w:t>($)</w:t>
            </w:r>
          </w:p>
        </w:tc>
        <w:tc>
          <w:tcPr>
            <w:tcW w:w="280" w:type="dxa"/>
            <w:vAlign w:val="bottom"/>
            <w:shd w:val="clear" w:color="auto" w:fill="E0FCF9"/>
          </w:tcPr>
          <w:p>
            <w:pPr>
              <w:spacing w:after="0"/>
              <w:rPr>
                <w:sz w:val="21"/>
                <w:szCs w:val="21"/>
                <w:color w:val="auto"/>
              </w:rPr>
            </w:pPr>
          </w:p>
        </w:tc>
        <w:tc>
          <w:tcPr>
            <w:tcW w:w="800" w:type="dxa"/>
            <w:vAlign w:val="bottom"/>
            <w:shd w:val="clear" w:color="auto" w:fill="E0FCF9"/>
          </w:tcPr>
          <w:p>
            <w:pPr>
              <w:jc w:val="right"/>
              <w:ind w:right="218"/>
              <w:spacing w:after="0"/>
              <w:rPr>
                <w:sz w:val="20"/>
                <w:szCs w:val="20"/>
                <w:color w:val="auto"/>
              </w:rPr>
            </w:pPr>
            <w:r>
              <w:rPr>
                <w:rFonts w:ascii="Arial" w:cs="Arial" w:eastAsia="Arial" w:hAnsi="Arial"/>
                <w:sz w:val="18"/>
                <w:szCs w:val="18"/>
                <w:b w:val="1"/>
                <w:bCs w:val="1"/>
                <w:color w:val="0016FF"/>
              </w:rPr>
              <w:t>($)</w:t>
            </w:r>
          </w:p>
        </w:tc>
        <w:tc>
          <w:tcPr>
            <w:tcW w:w="260" w:type="dxa"/>
            <w:vAlign w:val="bottom"/>
            <w:shd w:val="clear" w:color="auto" w:fill="E0FCF9"/>
          </w:tcPr>
          <w:p>
            <w:pPr>
              <w:spacing w:after="0"/>
              <w:rPr>
                <w:sz w:val="21"/>
                <w:szCs w:val="21"/>
                <w:color w:val="auto"/>
              </w:rPr>
            </w:pPr>
          </w:p>
        </w:tc>
        <w:tc>
          <w:tcPr>
            <w:tcW w:w="1320" w:type="dxa"/>
            <w:vAlign w:val="bottom"/>
            <w:shd w:val="clear" w:color="auto" w:fill="E0FCF9"/>
          </w:tcPr>
          <w:p>
            <w:pPr>
              <w:jc w:val="center"/>
              <w:spacing w:after="0"/>
              <w:rPr>
                <w:sz w:val="20"/>
                <w:szCs w:val="20"/>
                <w:color w:val="auto"/>
              </w:rPr>
            </w:pPr>
            <w:r>
              <w:rPr>
                <w:rFonts w:ascii="Arial" w:cs="Arial" w:eastAsia="Arial" w:hAnsi="Arial"/>
                <w:sz w:val="18"/>
                <w:szCs w:val="18"/>
                <w:b w:val="1"/>
                <w:bCs w:val="1"/>
                <w:color w:val="0016FF"/>
                <w:w w:val="90"/>
              </w:rPr>
              <w:t>($)</w:t>
            </w:r>
          </w:p>
        </w:tc>
        <w:tc>
          <w:tcPr>
            <w:tcW w:w="280" w:type="dxa"/>
            <w:vAlign w:val="bottom"/>
            <w:shd w:val="clear" w:color="auto" w:fill="E0FCF9"/>
          </w:tcPr>
          <w:p>
            <w:pPr>
              <w:spacing w:after="0"/>
              <w:rPr>
                <w:sz w:val="21"/>
                <w:szCs w:val="21"/>
                <w:color w:val="auto"/>
              </w:rPr>
            </w:pPr>
          </w:p>
        </w:tc>
        <w:tc>
          <w:tcPr>
            <w:tcW w:w="1320" w:type="dxa"/>
            <w:vAlign w:val="bottom"/>
            <w:shd w:val="clear" w:color="auto" w:fill="E0FCF9"/>
          </w:tcPr>
          <w:p>
            <w:pPr>
              <w:jc w:val="right"/>
              <w:ind w:right="478"/>
              <w:spacing w:after="0"/>
              <w:rPr>
                <w:sz w:val="20"/>
                <w:szCs w:val="20"/>
                <w:color w:val="auto"/>
              </w:rPr>
            </w:pPr>
            <w:r>
              <w:rPr>
                <w:rFonts w:ascii="Arial" w:cs="Arial" w:eastAsia="Arial" w:hAnsi="Arial"/>
                <w:sz w:val="18"/>
                <w:szCs w:val="18"/>
                <w:b w:val="1"/>
                <w:bCs w:val="1"/>
                <w:color w:val="0016FF"/>
              </w:rPr>
              <w:t>($)</w:t>
            </w:r>
          </w:p>
        </w:tc>
        <w:tc>
          <w:tcPr>
            <w:tcW w:w="260" w:type="dxa"/>
            <w:vAlign w:val="bottom"/>
            <w:shd w:val="clear" w:color="auto" w:fill="E0FCF9"/>
          </w:tcPr>
          <w:p>
            <w:pPr>
              <w:spacing w:after="0"/>
              <w:rPr>
                <w:sz w:val="21"/>
                <w:szCs w:val="21"/>
                <w:color w:val="auto"/>
              </w:rPr>
            </w:pPr>
          </w:p>
        </w:tc>
        <w:tc>
          <w:tcPr>
            <w:tcW w:w="780" w:type="dxa"/>
            <w:vAlign w:val="bottom"/>
            <w:shd w:val="clear" w:color="auto" w:fill="E0FCF9"/>
          </w:tcPr>
          <w:p>
            <w:pPr>
              <w:jc w:val="right"/>
              <w:ind w:right="198"/>
              <w:spacing w:after="0"/>
              <w:rPr>
                <w:sz w:val="20"/>
                <w:szCs w:val="20"/>
                <w:color w:val="auto"/>
              </w:rPr>
            </w:pPr>
            <w:r>
              <w:rPr>
                <w:rFonts w:ascii="Arial" w:cs="Arial" w:eastAsia="Arial" w:hAnsi="Arial"/>
                <w:sz w:val="18"/>
                <w:szCs w:val="18"/>
                <w:b w:val="1"/>
                <w:bCs w:val="1"/>
                <w:color w:val="0016FF"/>
              </w:rPr>
              <w:t>($)</w:t>
            </w:r>
          </w:p>
        </w:tc>
        <w:tc>
          <w:tcPr>
            <w:tcW w:w="60" w:type="dxa"/>
            <w:vAlign w:val="bottom"/>
            <w:shd w:val="clear" w:color="auto" w:fill="E0FCF9"/>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Roger C. Altman</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Founder and Senior Chairman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3,250,000</w:t>
            </w:r>
          </w:p>
        </w:tc>
        <w:tc>
          <w:tcPr>
            <w:tcW w:w="800" w:type="dxa"/>
            <w:vAlign w:val="bottom"/>
          </w:tcPr>
          <w:p>
            <w:pPr>
              <w:jc w:val="right"/>
              <w:spacing w:after="0"/>
              <w:rPr>
                <w:sz w:val="20"/>
                <w:szCs w:val="20"/>
                <w:color w:val="auto"/>
              </w:rPr>
            </w:pPr>
            <w:r>
              <w:rPr>
                <w:rFonts w:ascii="Arial" w:cs="Arial" w:eastAsia="Arial" w:hAnsi="Arial"/>
                <w:sz w:val="16"/>
                <w:szCs w:val="16"/>
                <w:color w:val="auto"/>
              </w:rPr>
              <w:t>5,835,107</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9,585,107</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5,750,000</w:t>
            </w:r>
          </w:p>
        </w:tc>
        <w:tc>
          <w:tcPr>
            <w:tcW w:w="800" w:type="dxa"/>
            <w:vAlign w:val="bottom"/>
          </w:tcPr>
          <w:p>
            <w:pPr>
              <w:jc w:val="right"/>
              <w:spacing w:after="0"/>
              <w:rPr>
                <w:sz w:val="20"/>
                <w:szCs w:val="20"/>
                <w:color w:val="auto"/>
              </w:rPr>
            </w:pPr>
            <w:r>
              <w:rPr>
                <w:rFonts w:ascii="Arial" w:cs="Arial" w:eastAsia="Arial" w:hAnsi="Arial"/>
                <w:sz w:val="16"/>
                <w:szCs w:val="16"/>
                <w:color w:val="auto"/>
              </w:rPr>
              <w:t>3,201,012</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9,451,012</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3,250,000</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2,502,411</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6,252,411</w:t>
            </w:r>
          </w:p>
        </w:tc>
        <w:tc>
          <w:tcPr>
            <w:tcW w:w="0" w:type="dxa"/>
            <w:vAlign w:val="bottom"/>
          </w:tcPr>
          <w:p>
            <w:pPr>
              <w:spacing w:after="0"/>
              <w:rPr>
                <w:sz w:val="1"/>
                <w:szCs w:val="1"/>
                <w:color w:val="auto"/>
              </w:rPr>
            </w:pPr>
          </w:p>
        </w:tc>
      </w:tr>
      <w:tr>
        <w:trPr>
          <w:trHeight w:val="203"/>
        </w:trPr>
        <w:tc>
          <w:tcPr>
            <w:tcW w:w="4140" w:type="dxa"/>
            <w:vAlign w:val="bottom"/>
            <w:gridSpan w:val="3"/>
          </w:tcPr>
          <w:p>
            <w:pPr>
              <w:ind w:left="380"/>
              <w:spacing w:after="0"/>
              <w:rPr>
                <w:sz w:val="20"/>
                <w:szCs w:val="20"/>
                <w:color w:val="auto"/>
              </w:rPr>
            </w:pPr>
            <w:r>
              <w:rPr>
                <w:rFonts w:ascii="Arial" w:cs="Arial" w:eastAsia="Arial" w:hAnsi="Arial"/>
                <w:sz w:val="16"/>
                <w:szCs w:val="16"/>
                <w:color w:val="auto"/>
              </w:rPr>
              <w:t>Ralph L. Schlosstein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CEO and President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2,500,000</w:t>
            </w:r>
          </w:p>
        </w:tc>
        <w:tc>
          <w:tcPr>
            <w:tcW w:w="800" w:type="dxa"/>
            <w:vAlign w:val="bottom"/>
          </w:tcPr>
          <w:p>
            <w:pPr>
              <w:jc w:val="right"/>
              <w:spacing w:after="0"/>
              <w:rPr>
                <w:sz w:val="20"/>
                <w:szCs w:val="20"/>
                <w:color w:val="auto"/>
              </w:rPr>
            </w:pPr>
            <w:r>
              <w:rPr>
                <w:rFonts w:ascii="Arial" w:cs="Arial" w:eastAsia="Arial" w:hAnsi="Arial"/>
                <w:sz w:val="16"/>
                <w:szCs w:val="16"/>
                <w:color w:val="auto"/>
              </w:rPr>
              <w:t>4,312,898</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7,312,898</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4,250,000</w:t>
            </w:r>
          </w:p>
        </w:tc>
        <w:tc>
          <w:tcPr>
            <w:tcW w:w="800" w:type="dxa"/>
            <w:vAlign w:val="bottom"/>
          </w:tcPr>
          <w:p>
            <w:pPr>
              <w:jc w:val="right"/>
              <w:spacing w:after="0"/>
              <w:rPr>
                <w:sz w:val="20"/>
                <w:szCs w:val="20"/>
                <w:color w:val="auto"/>
              </w:rPr>
            </w:pPr>
            <w:r>
              <w:rPr>
                <w:rFonts w:ascii="Arial" w:cs="Arial" w:eastAsia="Arial" w:hAnsi="Arial"/>
                <w:sz w:val="16"/>
                <w:szCs w:val="16"/>
                <w:color w:val="auto"/>
              </w:rPr>
              <w:t>3,201,012</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7,951,012</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3,250,000</w:t>
            </w:r>
          </w:p>
        </w:tc>
        <w:tc>
          <w:tcPr>
            <w:tcW w:w="800" w:type="dxa"/>
            <w:vAlign w:val="bottom"/>
          </w:tcPr>
          <w:p>
            <w:pPr>
              <w:jc w:val="right"/>
              <w:spacing w:after="0"/>
              <w:rPr>
                <w:sz w:val="20"/>
                <w:szCs w:val="20"/>
                <w:color w:val="auto"/>
              </w:rPr>
            </w:pPr>
            <w:r>
              <w:rPr>
                <w:rFonts w:ascii="Arial" w:cs="Arial" w:eastAsia="Arial" w:hAnsi="Arial"/>
                <w:sz w:val="16"/>
                <w:szCs w:val="16"/>
                <w:color w:val="auto"/>
              </w:rPr>
              <w:t>3,002,924</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6,752,924</w:t>
            </w:r>
          </w:p>
        </w:tc>
        <w:tc>
          <w:tcPr>
            <w:tcW w:w="0" w:type="dxa"/>
            <w:vAlign w:val="bottom"/>
          </w:tcPr>
          <w:p>
            <w:pPr>
              <w:spacing w:after="0"/>
              <w:rPr>
                <w:sz w:val="1"/>
                <w:szCs w:val="1"/>
                <w:color w:val="auto"/>
              </w:rPr>
            </w:pPr>
          </w:p>
        </w:tc>
      </w:tr>
      <w:tr>
        <w:trPr>
          <w:trHeight w:val="203"/>
        </w:trPr>
        <w:tc>
          <w:tcPr>
            <w:tcW w:w="4140" w:type="dxa"/>
            <w:vAlign w:val="bottom"/>
            <w:gridSpan w:val="3"/>
          </w:tcPr>
          <w:p>
            <w:pPr>
              <w:ind w:left="380"/>
              <w:spacing w:after="0"/>
              <w:rPr>
                <w:sz w:val="20"/>
                <w:szCs w:val="20"/>
                <w:color w:val="auto"/>
              </w:rPr>
            </w:pPr>
            <w:r>
              <w:rPr>
                <w:rFonts w:ascii="Arial" w:cs="Arial" w:eastAsia="Arial" w:hAnsi="Arial"/>
                <w:sz w:val="16"/>
                <w:szCs w:val="16"/>
                <w:color w:val="auto"/>
              </w:rPr>
              <w:t>John S. Weinberg</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Executive Chairman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2019(3)</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2,500,000</w:t>
            </w:r>
          </w:p>
        </w:tc>
        <w:tc>
          <w:tcPr>
            <w:tcW w:w="800" w:type="dxa"/>
            <w:vAlign w:val="bottom"/>
          </w:tcPr>
          <w:p>
            <w:pPr>
              <w:jc w:val="right"/>
              <w:spacing w:after="0"/>
              <w:rPr>
                <w:sz w:val="20"/>
                <w:szCs w:val="20"/>
                <w:color w:val="auto"/>
              </w:rPr>
            </w:pPr>
            <w:r>
              <w:rPr>
                <w:rFonts w:ascii="Arial" w:cs="Arial" w:eastAsia="Arial" w:hAnsi="Arial"/>
                <w:sz w:val="16"/>
                <w:szCs w:val="16"/>
                <w:color w:val="auto"/>
              </w:rPr>
              <w:t>4,312,898</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11,000,000</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18,312,898</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4,250,000</w:t>
            </w:r>
          </w:p>
        </w:tc>
        <w:tc>
          <w:tcPr>
            <w:tcW w:w="800" w:type="dxa"/>
            <w:vAlign w:val="bottom"/>
          </w:tcPr>
          <w:p>
            <w:pPr>
              <w:jc w:val="right"/>
              <w:spacing w:after="0"/>
              <w:rPr>
                <w:sz w:val="20"/>
                <w:szCs w:val="20"/>
                <w:color w:val="auto"/>
              </w:rPr>
            </w:pPr>
            <w:r>
              <w:rPr>
                <w:rFonts w:ascii="Arial" w:cs="Arial" w:eastAsia="Arial" w:hAnsi="Arial"/>
                <w:sz w:val="16"/>
                <w:szCs w:val="16"/>
                <w:color w:val="auto"/>
              </w:rPr>
              <w:t>3,201,012</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7,951,012</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3,250,000</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3,750,000</w:t>
            </w:r>
          </w:p>
        </w:tc>
        <w:tc>
          <w:tcPr>
            <w:tcW w:w="0" w:type="dxa"/>
            <w:vAlign w:val="bottom"/>
          </w:tcPr>
          <w:p>
            <w:pPr>
              <w:spacing w:after="0"/>
              <w:rPr>
                <w:sz w:val="1"/>
                <w:szCs w:val="1"/>
                <w:color w:val="auto"/>
              </w:rPr>
            </w:pPr>
          </w:p>
        </w:tc>
      </w:tr>
      <w:tr>
        <w:trPr>
          <w:trHeight w:val="203"/>
        </w:trPr>
        <w:tc>
          <w:tcPr>
            <w:tcW w:w="4140" w:type="dxa"/>
            <w:vAlign w:val="bottom"/>
            <w:gridSpan w:val="3"/>
          </w:tcPr>
          <w:p>
            <w:pPr>
              <w:ind w:left="380"/>
              <w:spacing w:after="0"/>
              <w:rPr>
                <w:sz w:val="20"/>
                <w:szCs w:val="20"/>
                <w:color w:val="auto"/>
              </w:rPr>
            </w:pPr>
            <w:r>
              <w:rPr>
                <w:rFonts w:ascii="Arial" w:cs="Arial" w:eastAsia="Arial" w:hAnsi="Arial"/>
                <w:sz w:val="16"/>
                <w:szCs w:val="16"/>
                <w:color w:val="auto"/>
              </w:rPr>
              <w:t>Robert B. Walsh</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CFO</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1,550,000</w:t>
            </w:r>
          </w:p>
        </w:tc>
        <w:tc>
          <w:tcPr>
            <w:tcW w:w="800" w:type="dxa"/>
            <w:vAlign w:val="bottom"/>
          </w:tcPr>
          <w:p>
            <w:pPr>
              <w:jc w:val="right"/>
              <w:spacing w:after="0"/>
              <w:rPr>
                <w:sz w:val="20"/>
                <w:szCs w:val="20"/>
                <w:color w:val="auto"/>
              </w:rPr>
            </w:pPr>
            <w:r>
              <w:rPr>
                <w:rFonts w:ascii="Arial" w:cs="Arial" w:eastAsia="Arial" w:hAnsi="Arial"/>
                <w:sz w:val="16"/>
                <w:szCs w:val="16"/>
                <w:color w:val="auto"/>
              </w:rPr>
              <w:t>1,775,942</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3,825,942</w:t>
            </w:r>
          </w:p>
        </w:tc>
        <w:tc>
          <w:tcPr>
            <w:tcW w:w="0" w:type="dxa"/>
            <w:vAlign w:val="bottom"/>
          </w:tcPr>
          <w:p>
            <w:pPr>
              <w:spacing w:after="0"/>
              <w:rPr>
                <w:sz w:val="1"/>
                <w:szCs w:val="1"/>
                <w:color w:val="auto"/>
              </w:rPr>
            </w:pPr>
          </w:p>
        </w:tc>
      </w:tr>
      <w:tr>
        <w:trPr>
          <w:trHeight w:val="202"/>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1,750,000</w:t>
            </w:r>
          </w:p>
        </w:tc>
        <w:tc>
          <w:tcPr>
            <w:tcW w:w="800" w:type="dxa"/>
            <w:vAlign w:val="bottom"/>
          </w:tcPr>
          <w:p>
            <w:pPr>
              <w:jc w:val="right"/>
              <w:spacing w:after="0"/>
              <w:rPr>
                <w:sz w:val="20"/>
                <w:szCs w:val="20"/>
                <w:color w:val="auto"/>
              </w:rPr>
            </w:pPr>
            <w:r>
              <w:rPr>
                <w:rFonts w:ascii="Arial" w:cs="Arial" w:eastAsia="Arial" w:hAnsi="Arial"/>
                <w:sz w:val="16"/>
                <w:szCs w:val="16"/>
                <w:color w:val="auto"/>
              </w:rPr>
              <w:t>1,231,173</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3,481,173</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500,000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1,250,000</w:t>
            </w:r>
          </w:p>
        </w:tc>
        <w:tc>
          <w:tcPr>
            <w:tcW w:w="800" w:type="dxa"/>
            <w:vAlign w:val="bottom"/>
          </w:tcPr>
          <w:p>
            <w:pPr>
              <w:jc w:val="right"/>
              <w:spacing w:after="0"/>
              <w:rPr>
                <w:sz w:val="20"/>
                <w:szCs w:val="20"/>
                <w:color w:val="auto"/>
              </w:rPr>
            </w:pPr>
            <w:r>
              <w:rPr>
                <w:rFonts w:ascii="Arial" w:cs="Arial" w:eastAsia="Arial" w:hAnsi="Arial"/>
                <w:sz w:val="16"/>
                <w:szCs w:val="16"/>
                <w:color w:val="auto"/>
              </w:rPr>
              <w:t>1,043,561</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2,793,561</w:t>
            </w:r>
          </w:p>
        </w:tc>
        <w:tc>
          <w:tcPr>
            <w:tcW w:w="0" w:type="dxa"/>
            <w:vAlign w:val="bottom"/>
          </w:tcPr>
          <w:p>
            <w:pPr>
              <w:spacing w:after="0"/>
              <w:rPr>
                <w:sz w:val="1"/>
                <w:szCs w:val="1"/>
                <w:color w:val="auto"/>
              </w:rPr>
            </w:pPr>
          </w:p>
        </w:tc>
      </w:tr>
      <w:tr>
        <w:trPr>
          <w:trHeight w:val="203"/>
        </w:trPr>
        <w:tc>
          <w:tcPr>
            <w:tcW w:w="4140" w:type="dxa"/>
            <w:vAlign w:val="bottom"/>
            <w:gridSpan w:val="3"/>
          </w:tcPr>
          <w:p>
            <w:pPr>
              <w:ind w:left="380"/>
              <w:spacing w:after="0"/>
              <w:rPr>
                <w:sz w:val="20"/>
                <w:szCs w:val="20"/>
                <w:color w:val="auto"/>
              </w:rPr>
            </w:pPr>
            <w:r>
              <w:rPr>
                <w:rFonts w:ascii="Arial" w:cs="Arial" w:eastAsia="Arial" w:hAnsi="Arial"/>
                <w:sz w:val="16"/>
                <w:szCs w:val="16"/>
                <w:color w:val="auto"/>
              </w:rPr>
              <w:t>Andrew Sibbald(4)</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Former CEO of Evercore International</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400,000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1,542,263</w:t>
            </w:r>
          </w:p>
        </w:tc>
        <w:tc>
          <w:tcPr>
            <w:tcW w:w="800" w:type="dxa"/>
            <w:vAlign w:val="bottom"/>
          </w:tcPr>
          <w:p>
            <w:pPr>
              <w:jc w:val="right"/>
              <w:spacing w:after="0"/>
              <w:rPr>
                <w:sz w:val="20"/>
                <w:szCs w:val="20"/>
                <w:color w:val="auto"/>
              </w:rPr>
            </w:pPr>
            <w:r>
              <w:rPr>
                <w:rFonts w:ascii="Arial" w:cs="Arial" w:eastAsia="Arial" w:hAnsi="Arial"/>
                <w:sz w:val="16"/>
                <w:szCs w:val="16"/>
                <w:color w:val="auto"/>
              </w:rPr>
              <w:t>1,964,755</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56,892</w:t>
            </w:r>
          </w:p>
        </w:tc>
        <w:tc>
          <w:tcPr>
            <w:tcW w:w="2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3,963,910</w:t>
            </w:r>
          </w:p>
        </w:tc>
        <w:tc>
          <w:tcPr>
            <w:tcW w:w="0" w:type="dxa"/>
            <w:vAlign w:val="bottom"/>
          </w:tcPr>
          <w:p>
            <w:pPr>
              <w:spacing w:after="0"/>
              <w:rPr>
                <w:sz w:val="1"/>
                <w:szCs w:val="1"/>
                <w:color w:val="auto"/>
              </w:rPr>
            </w:pPr>
          </w:p>
        </w:tc>
      </w:tr>
      <w:tr>
        <w:trPr>
          <w:trHeight w:val="203"/>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400,000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1,935,915</w:t>
            </w:r>
          </w:p>
        </w:tc>
        <w:tc>
          <w:tcPr>
            <w:tcW w:w="800" w:type="dxa"/>
            <w:vAlign w:val="bottom"/>
          </w:tcPr>
          <w:p>
            <w:pPr>
              <w:jc w:val="right"/>
              <w:spacing w:after="0"/>
              <w:rPr>
                <w:sz w:val="20"/>
                <w:szCs w:val="20"/>
                <w:color w:val="auto"/>
              </w:rPr>
            </w:pPr>
            <w:r>
              <w:rPr>
                <w:rFonts w:ascii="Arial" w:cs="Arial" w:eastAsia="Arial" w:hAnsi="Arial"/>
                <w:sz w:val="16"/>
                <w:szCs w:val="16"/>
                <w:color w:val="auto"/>
              </w:rPr>
              <w:t>1,650,087</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58,411</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4,044,413</w:t>
            </w:r>
          </w:p>
        </w:tc>
        <w:tc>
          <w:tcPr>
            <w:tcW w:w="0" w:type="dxa"/>
            <w:vAlign w:val="bottom"/>
          </w:tcPr>
          <w:p>
            <w:pPr>
              <w:spacing w:after="0"/>
              <w:rPr>
                <w:sz w:val="1"/>
                <w:szCs w:val="1"/>
                <w:color w:val="auto"/>
              </w:rPr>
            </w:pPr>
          </w:p>
        </w:tc>
      </w:tr>
      <w:tr>
        <w:trPr>
          <w:trHeight w:val="206"/>
        </w:trPr>
        <w:tc>
          <w:tcPr>
            <w:tcW w:w="3920" w:type="dxa"/>
            <w:vAlign w:val="bottom"/>
            <w:gridSpan w:val="2"/>
          </w:tcPr>
          <w:p>
            <w:pPr>
              <w:ind w:left="680"/>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400,000</w:t>
            </w:r>
          </w:p>
        </w:tc>
        <w:tc>
          <w:tcPr>
            <w:tcW w:w="2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1,675,345</w:t>
            </w:r>
          </w:p>
        </w:tc>
        <w:tc>
          <w:tcPr>
            <w:tcW w:w="800" w:type="dxa"/>
            <w:vAlign w:val="bottom"/>
          </w:tcPr>
          <w:p>
            <w:pPr>
              <w:jc w:val="right"/>
              <w:spacing w:after="0"/>
              <w:rPr>
                <w:sz w:val="20"/>
                <w:szCs w:val="20"/>
                <w:color w:val="auto"/>
              </w:rPr>
            </w:pPr>
            <w:r>
              <w:rPr>
                <w:rFonts w:ascii="Arial" w:cs="Arial" w:eastAsia="Arial" w:hAnsi="Arial"/>
                <w:sz w:val="16"/>
                <w:szCs w:val="16"/>
                <w:color w:val="auto"/>
              </w:rPr>
              <w:t>3,493,550</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56,379</w:t>
            </w:r>
          </w:p>
        </w:tc>
        <w:tc>
          <w:tcPr>
            <w:tcW w:w="2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5,625,274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13284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43" w:lineRule="exact"/>
        <w:rPr>
          <w:sz w:val="20"/>
          <w:szCs w:val="20"/>
          <w:color w:val="auto"/>
        </w:rPr>
      </w:pPr>
    </w:p>
    <w:p>
      <w:pPr>
        <w:jc w:val="both"/>
        <w:ind w:left="660" w:right="220" w:hanging="436"/>
        <w:spacing w:after="0" w:line="255" w:lineRule="auto"/>
        <w:tabs>
          <w:tab w:leader="none" w:pos="6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amounts reflected in the Stock Awards column represent the grant date fair value of the equity awards made during the identified fiscal year, as computed in accordance with FASB ASC Topic 718. Equity awards for 2019 performance were granted in 2020 and, therefore, in accordance with SEC rules, are not shown here but are described above in the table titled “2019 NEO Annual Compensation” on page 49. The amounts shown in this column for 2019 reflect the grant date fair value of equity awards granted in 2019 for 2018 performance. Due to his short tenure at the firm during 2016, Mr. Weinberg was not granted any equity awards in 2017 for 2016 performance.</w:t>
      </w:r>
    </w:p>
    <w:p>
      <w:pPr>
        <w:spacing w:after="0" w:line="26" w:lineRule="exact"/>
        <w:rPr>
          <w:rFonts w:ascii="Arial" w:cs="Arial" w:eastAsia="Arial" w:hAnsi="Arial"/>
          <w:sz w:val="13"/>
          <w:szCs w:val="13"/>
          <w:color w:val="auto"/>
        </w:rPr>
      </w:pPr>
    </w:p>
    <w:p>
      <w:pPr>
        <w:ind w:left="660" w:right="40" w:hanging="436"/>
        <w:spacing w:after="0" w:line="226"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described above, the amount reflected in the Non-Equity Incentive column for Mr. Weinberg reflects $11 million of Mr. Weinberg’s initial sign-on restricted cash award that vested on March 1, 2019. Mr. Weinberg joined Evercore in 2016, and received an initial sign-on restricted cash award with a target payment amount of $35 million, of which $11 million vested on March 1, 2019, $6 million vested on March 1, 2020 and $6 million is scheduled to vest on each of March 1, 2020, March 1, 2021 and March 1, 2022, as previously disclosed in our 2017 proxy statement and other public filings. Approximately 75% of the sign-on and replacement awards granted to Mr. Weinberg were intended to replace deferred compensation (a portion of which was variable) from Mr. Weinberg’s former employer that he forfeited as a result of joining Evercore, with the remaining approximately 25% of such awards granted as part of the recruitment of Mr. Weinberg as an inducement to join Evercore. The restricted cash award provides for adjustment based on performance criteria to be determined by the Compensation Committee, provided that the amount payable on any applicable vesting date may not be increased to more than 200% of the target amount or decreased by more than 25% of the target amount. The Compensation Committee determined not to increase or decrease the $11 million that vested on March 1, 2019.</w:t>
      </w:r>
    </w:p>
    <w:p>
      <w:pPr>
        <w:spacing w:after="0" w:line="39" w:lineRule="exact"/>
        <w:rPr>
          <w:rFonts w:ascii="Arial" w:cs="Arial" w:eastAsia="Arial" w:hAnsi="Arial"/>
          <w:sz w:val="14"/>
          <w:szCs w:val="14"/>
          <w:color w:val="auto"/>
        </w:rPr>
      </w:pPr>
    </w:p>
    <w:p>
      <w:pPr>
        <w:ind w:left="660" w:right="200" w:hanging="436"/>
        <w:spacing w:after="0" w:line="253"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Other Compensation for 2019 consists of a £43,750 payment in lieu of pension contribution to Mr. Sibbald. See footnote 3 below for a description of the rate and methodology used to convert this amount to dollars. The incremental costs of perquisites and other</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120"/>
        <w:spacing w:after="0" w:line="251" w:lineRule="auto"/>
        <w:rPr>
          <w:sz w:val="20"/>
          <w:szCs w:val="20"/>
          <w:color w:val="auto"/>
        </w:rPr>
      </w:pPr>
      <w:r>
        <w:rPr>
          <w:rFonts w:ascii="Arial" w:cs="Arial" w:eastAsia="Arial" w:hAnsi="Arial"/>
          <w:sz w:val="13"/>
          <w:szCs w:val="13"/>
          <w:color w:val="auto"/>
        </w:rPr>
        <w:t>personal benefits to each NEO were less than $10,000, and therefore information regarding perquisites and other personal benefits has not been included. Each of our NEOs also received dividend equivalents on RSU and restricted stock awards issued under the terms of previously granted equity awards, and with respect to RSU and restricted stock awards granted after January 1, 2019, our NEOs have received accrued cash dividends on such awards. Consistent with SEC rules, the value of these dividend equivalents has not been included in this table because the right to receive future dividends was factored into the grant date fair value of the initial awards under FASB ASC Topic 718. See “</w:t>
      </w:r>
      <w:r>
        <w:rPr>
          <w:rFonts w:ascii="Arial" w:cs="Arial" w:eastAsia="Arial" w:hAnsi="Arial"/>
          <w:sz w:val="13"/>
          <w:szCs w:val="13"/>
          <w:b w:val="1"/>
          <w:bCs w:val="1"/>
          <w:color w:val="auto"/>
        </w:rPr>
        <w:t>—Outstanding</w:t>
      </w:r>
      <w:r>
        <w:rPr>
          <w:rFonts w:ascii="Arial" w:cs="Arial" w:eastAsia="Arial" w:hAnsi="Arial"/>
          <w:sz w:val="13"/>
          <w:szCs w:val="13"/>
          <w:color w:val="auto"/>
        </w:rPr>
        <w:t xml:space="preserve"> </w:t>
      </w:r>
      <w:r>
        <w:rPr>
          <w:rFonts w:ascii="Arial" w:cs="Arial" w:eastAsia="Arial" w:hAnsi="Arial"/>
          <w:sz w:val="13"/>
          <w:szCs w:val="13"/>
          <w:b w:val="1"/>
          <w:bCs w:val="1"/>
          <w:color w:val="auto"/>
        </w:rPr>
        <w:t>Equity Awards at 2019 Fiscal Year-End</w:t>
      </w:r>
      <w:r>
        <w:rPr>
          <w:rFonts w:ascii="Arial" w:cs="Arial" w:eastAsia="Arial" w:hAnsi="Arial"/>
          <w:sz w:val="13"/>
          <w:szCs w:val="13"/>
          <w:color w:val="auto"/>
        </w:rPr>
        <w:t>”, which information includes dividend equivalent awards held by our NEOs.</w:t>
      </w:r>
    </w:p>
    <w:p>
      <w:pPr>
        <w:spacing w:after="0" w:line="28" w:lineRule="exact"/>
        <w:rPr>
          <w:sz w:val="20"/>
          <w:szCs w:val="20"/>
          <w:color w:val="auto"/>
        </w:rPr>
      </w:pPr>
    </w:p>
    <w:p>
      <w:pPr>
        <w:ind w:left="660" w:hanging="436"/>
        <w:spacing w:after="0" w:line="231"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Sibbald’s salary has not changed since he joined us and has been converted at a constant exchange rate of £0.625 to U.S. $1.00. Mr. Sibbald’s 2017 cash bonus and 2017 payment in lieu of a pension contribution were each converted at an exchange rate of £0.776 to U.S. $1.00. Mr. Sibbald’s 2018 cash bonus and 2018 payment in lieu of a pension contribution were each converted at an exchange rate of £0.749 to U.S. $1.00. Mr. Sibbald’s 2019 cash bonus and 2019 payment in lieu of a pension contribution were each converted at an exchange rate of £0.769 to U.S. $1.00. During 2019, Mr. Sibbald transitioned to the role of Chairman of Evercore International and, as of January 1, 2020, was no longer an executive officer of the Company.</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Grants of Plan-Based Awards in 2019</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880" w:type="dxa"/>
            <w:vAlign w:val="bottom"/>
            <w:shd w:val="clear" w:color="auto" w:fill="E0FCF9"/>
          </w:tcPr>
          <w:p>
            <w:pPr>
              <w:spacing w:after="0"/>
              <w:rPr>
                <w:sz w:val="14"/>
                <w:szCs w:val="14"/>
                <w:color w:val="auto"/>
              </w:rPr>
            </w:pPr>
          </w:p>
        </w:tc>
        <w:tc>
          <w:tcPr>
            <w:tcW w:w="240" w:type="dxa"/>
            <w:vAlign w:val="bottom"/>
            <w:shd w:val="clear" w:color="auto" w:fill="E0FCF9"/>
          </w:tcPr>
          <w:p>
            <w:pPr>
              <w:spacing w:after="0"/>
              <w:rPr>
                <w:sz w:val="14"/>
                <w:szCs w:val="14"/>
                <w:color w:val="auto"/>
              </w:rPr>
            </w:pPr>
          </w:p>
        </w:tc>
        <w:tc>
          <w:tcPr>
            <w:tcW w:w="640" w:type="dxa"/>
            <w:vAlign w:val="bottom"/>
            <w:shd w:val="clear" w:color="auto" w:fill="E0FCF9"/>
          </w:tcPr>
          <w:p>
            <w:pPr>
              <w:spacing w:after="0"/>
              <w:rPr>
                <w:sz w:val="14"/>
                <w:szCs w:val="14"/>
                <w:color w:val="auto"/>
              </w:rPr>
            </w:pPr>
          </w:p>
        </w:tc>
        <w:tc>
          <w:tcPr>
            <w:tcW w:w="320" w:type="dxa"/>
            <w:vAlign w:val="bottom"/>
            <w:shd w:val="clear" w:color="auto" w:fill="E0FCF9"/>
          </w:tcPr>
          <w:p>
            <w:pPr>
              <w:spacing w:after="0"/>
              <w:rPr>
                <w:sz w:val="14"/>
                <w:szCs w:val="14"/>
                <w:color w:val="auto"/>
              </w:rPr>
            </w:pPr>
          </w:p>
        </w:tc>
        <w:tc>
          <w:tcPr>
            <w:tcW w:w="400" w:type="dxa"/>
            <w:vAlign w:val="bottom"/>
            <w:shd w:val="clear" w:color="auto" w:fill="E0FCF9"/>
          </w:tcPr>
          <w:p>
            <w:pPr>
              <w:spacing w:after="0"/>
              <w:rPr>
                <w:sz w:val="14"/>
                <w:szCs w:val="14"/>
                <w:color w:val="auto"/>
              </w:rPr>
            </w:pPr>
          </w:p>
        </w:tc>
        <w:tc>
          <w:tcPr>
            <w:tcW w:w="300" w:type="dxa"/>
            <w:vAlign w:val="bottom"/>
            <w:shd w:val="clear" w:color="auto" w:fill="E0FCF9"/>
          </w:tcPr>
          <w:p>
            <w:pPr>
              <w:spacing w:after="0"/>
              <w:rPr>
                <w:sz w:val="14"/>
                <w:szCs w:val="14"/>
                <w:color w:val="auto"/>
              </w:rPr>
            </w:pPr>
          </w:p>
        </w:tc>
        <w:tc>
          <w:tcPr>
            <w:tcW w:w="660" w:type="dxa"/>
            <w:vAlign w:val="bottom"/>
            <w:shd w:val="clear" w:color="auto" w:fill="E0FCF9"/>
          </w:tcPr>
          <w:p>
            <w:pPr>
              <w:spacing w:after="0"/>
              <w:rPr>
                <w:sz w:val="14"/>
                <w:szCs w:val="14"/>
                <w:color w:val="auto"/>
              </w:rPr>
            </w:pPr>
          </w:p>
        </w:tc>
        <w:tc>
          <w:tcPr>
            <w:tcW w:w="300" w:type="dxa"/>
            <w:vAlign w:val="bottom"/>
            <w:shd w:val="clear" w:color="auto" w:fill="E0FCF9"/>
          </w:tcPr>
          <w:p>
            <w:pPr>
              <w:spacing w:after="0"/>
              <w:rPr>
                <w:sz w:val="14"/>
                <w:szCs w:val="14"/>
                <w:color w:val="auto"/>
              </w:rPr>
            </w:pPr>
          </w:p>
        </w:tc>
        <w:tc>
          <w:tcPr>
            <w:tcW w:w="640" w:type="dxa"/>
            <w:vAlign w:val="bottom"/>
            <w:shd w:val="clear" w:color="auto" w:fill="E0FCF9"/>
          </w:tcPr>
          <w:p>
            <w:pPr>
              <w:spacing w:after="0"/>
              <w:rPr>
                <w:sz w:val="14"/>
                <w:szCs w:val="14"/>
                <w:color w:val="auto"/>
              </w:rPr>
            </w:pPr>
          </w:p>
        </w:tc>
        <w:tc>
          <w:tcPr>
            <w:tcW w:w="320" w:type="dxa"/>
            <w:vAlign w:val="bottom"/>
            <w:shd w:val="clear" w:color="auto" w:fill="E0FCF9"/>
          </w:tcPr>
          <w:p>
            <w:pPr>
              <w:spacing w:after="0"/>
              <w:rPr>
                <w:sz w:val="14"/>
                <w:szCs w:val="14"/>
                <w:color w:val="auto"/>
              </w:rPr>
            </w:pPr>
          </w:p>
        </w:tc>
        <w:tc>
          <w:tcPr>
            <w:tcW w:w="400" w:type="dxa"/>
            <w:vAlign w:val="bottom"/>
            <w:shd w:val="clear" w:color="auto" w:fill="E0FCF9"/>
          </w:tcPr>
          <w:p>
            <w:pPr>
              <w:spacing w:after="0"/>
              <w:rPr>
                <w:sz w:val="14"/>
                <w:szCs w:val="14"/>
                <w:color w:val="auto"/>
              </w:rPr>
            </w:pPr>
          </w:p>
        </w:tc>
        <w:tc>
          <w:tcPr>
            <w:tcW w:w="300" w:type="dxa"/>
            <w:vAlign w:val="bottom"/>
            <w:shd w:val="clear" w:color="auto" w:fill="E0FCF9"/>
          </w:tcPr>
          <w:p>
            <w:pPr>
              <w:spacing w:after="0"/>
              <w:rPr>
                <w:sz w:val="14"/>
                <w:szCs w:val="14"/>
                <w:color w:val="auto"/>
              </w:rPr>
            </w:pPr>
          </w:p>
        </w:tc>
        <w:tc>
          <w:tcPr>
            <w:tcW w:w="660" w:type="dxa"/>
            <w:vAlign w:val="bottom"/>
            <w:shd w:val="clear" w:color="auto" w:fill="E0FCF9"/>
          </w:tcPr>
          <w:p>
            <w:pPr>
              <w:spacing w:after="0"/>
              <w:rPr>
                <w:sz w:val="14"/>
                <w:szCs w:val="14"/>
                <w:color w:val="auto"/>
              </w:rPr>
            </w:pPr>
          </w:p>
        </w:tc>
        <w:tc>
          <w:tcPr>
            <w:tcW w:w="300" w:type="dxa"/>
            <w:vAlign w:val="bottom"/>
            <w:shd w:val="clear" w:color="auto" w:fill="E0FCF9"/>
          </w:tcPr>
          <w:p>
            <w:pPr>
              <w:spacing w:after="0"/>
              <w:rPr>
                <w:sz w:val="14"/>
                <w:szCs w:val="14"/>
                <w:color w:val="auto"/>
              </w:rPr>
            </w:pPr>
          </w:p>
        </w:tc>
        <w:tc>
          <w:tcPr>
            <w:tcW w:w="360" w:type="dxa"/>
            <w:vAlign w:val="bottom"/>
            <w:tcBorders>
              <w:right w:val="single" w:sz="8" w:color="E0FCF9"/>
            </w:tcBorders>
            <w:shd w:val="clear" w:color="auto" w:fill="E0FCF9"/>
          </w:tcPr>
          <w:p>
            <w:pPr>
              <w:spacing w:after="0"/>
              <w:rPr>
                <w:sz w:val="14"/>
                <w:szCs w:val="14"/>
                <w:color w:val="auto"/>
              </w:rPr>
            </w:pPr>
          </w:p>
        </w:tc>
        <w:tc>
          <w:tcPr>
            <w:tcW w:w="260" w:type="dxa"/>
            <w:vAlign w:val="bottom"/>
            <w:shd w:val="clear" w:color="auto" w:fill="E0FCF9"/>
          </w:tcPr>
          <w:p>
            <w:pPr>
              <w:spacing w:after="0"/>
              <w:rPr>
                <w:sz w:val="14"/>
                <w:szCs w:val="14"/>
                <w:color w:val="auto"/>
              </w:rPr>
            </w:pPr>
          </w:p>
        </w:tc>
        <w:tc>
          <w:tcPr>
            <w:tcW w:w="1160" w:type="dxa"/>
            <w:vAlign w:val="bottom"/>
            <w:gridSpan w:val="2"/>
            <w:shd w:val="clear" w:color="auto" w:fill="E0FCF9"/>
          </w:tcPr>
          <w:p>
            <w:pPr>
              <w:jc w:val="center"/>
              <w:ind w:right="300"/>
              <w:spacing w:after="0"/>
              <w:rPr>
                <w:sz w:val="20"/>
                <w:szCs w:val="20"/>
                <w:color w:val="auto"/>
              </w:rPr>
            </w:pPr>
            <w:r>
              <w:rPr>
                <w:rFonts w:ascii="Arial" w:cs="Arial" w:eastAsia="Arial" w:hAnsi="Arial"/>
                <w:sz w:val="14"/>
                <w:szCs w:val="14"/>
                <w:b w:val="1"/>
                <w:bCs w:val="1"/>
                <w:color w:val="0016FF"/>
                <w:w w:val="98"/>
              </w:rPr>
              <w:t>All Other</w:t>
            </w:r>
          </w:p>
        </w:tc>
        <w:tc>
          <w:tcPr>
            <w:tcW w:w="720" w:type="dxa"/>
            <w:vAlign w:val="bottom"/>
            <w:shd w:val="clear" w:color="auto" w:fill="E0FCF9"/>
          </w:tcPr>
          <w:p>
            <w:pPr>
              <w:spacing w:after="0"/>
              <w:rPr>
                <w:sz w:val="14"/>
                <w:szCs w:val="14"/>
                <w:color w:val="auto"/>
              </w:rPr>
            </w:pPr>
          </w:p>
        </w:tc>
        <w:tc>
          <w:tcPr>
            <w:tcW w:w="4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80" w:type="dxa"/>
            <w:vAlign w:val="bottom"/>
            <w:shd w:val="clear" w:color="auto" w:fill="E0FCF9"/>
          </w:tcPr>
          <w:p>
            <w:pPr>
              <w:spacing w:after="0"/>
              <w:rPr>
                <w:sz w:val="13"/>
                <w:szCs w:val="13"/>
                <w:color w:val="auto"/>
              </w:rPr>
            </w:pPr>
          </w:p>
        </w:tc>
        <w:tc>
          <w:tcPr>
            <w:tcW w:w="240" w:type="dxa"/>
            <w:vAlign w:val="bottom"/>
            <w:shd w:val="clear" w:color="auto" w:fill="E0FCF9"/>
          </w:tcPr>
          <w:p>
            <w:pPr>
              <w:spacing w:after="0"/>
              <w:rPr>
                <w:sz w:val="13"/>
                <w:szCs w:val="13"/>
                <w:color w:val="auto"/>
              </w:rPr>
            </w:pPr>
          </w:p>
        </w:tc>
        <w:tc>
          <w:tcPr>
            <w:tcW w:w="960" w:type="dxa"/>
            <w:vAlign w:val="bottom"/>
            <w:gridSpan w:val="2"/>
            <w:vMerge w:val="restart"/>
            <w:shd w:val="clear" w:color="auto" w:fill="E0FCF9"/>
          </w:tcPr>
          <w:p>
            <w:pPr>
              <w:jc w:val="center"/>
              <w:ind w:right="300"/>
              <w:spacing w:after="0"/>
              <w:rPr>
                <w:sz w:val="20"/>
                <w:szCs w:val="20"/>
                <w:color w:val="auto"/>
              </w:rPr>
            </w:pPr>
            <w:r>
              <w:rPr>
                <w:rFonts w:ascii="Arial" w:cs="Arial" w:eastAsia="Arial" w:hAnsi="Arial"/>
                <w:sz w:val="14"/>
                <w:szCs w:val="14"/>
                <w:b w:val="1"/>
                <w:bCs w:val="1"/>
                <w:color w:val="0016FF"/>
              </w:rPr>
              <w:t>Grant</w:t>
            </w:r>
          </w:p>
        </w:tc>
        <w:tc>
          <w:tcPr>
            <w:tcW w:w="2620" w:type="dxa"/>
            <w:vAlign w:val="bottom"/>
            <w:gridSpan w:val="6"/>
            <w:shd w:val="clear" w:color="auto" w:fill="E0FCF9"/>
          </w:tcPr>
          <w:p>
            <w:pPr>
              <w:jc w:val="center"/>
              <w:ind w:right="340"/>
              <w:spacing w:after="0" w:line="158" w:lineRule="exact"/>
              <w:rPr>
                <w:sz w:val="20"/>
                <w:szCs w:val="20"/>
                <w:color w:val="auto"/>
              </w:rPr>
            </w:pPr>
            <w:r>
              <w:rPr>
                <w:rFonts w:ascii="Arial" w:cs="Arial" w:eastAsia="Arial" w:hAnsi="Arial"/>
                <w:sz w:val="14"/>
                <w:szCs w:val="14"/>
                <w:b w:val="1"/>
                <w:bCs w:val="1"/>
                <w:color w:val="0016FF"/>
                <w:w w:val="93"/>
              </w:rPr>
              <w:t>Estimated Future Payments under</w:t>
            </w:r>
          </w:p>
        </w:tc>
        <w:tc>
          <w:tcPr>
            <w:tcW w:w="2020" w:type="dxa"/>
            <w:vAlign w:val="bottom"/>
            <w:tcBorders>
              <w:right w:val="single" w:sz="8" w:color="E0FCF9"/>
            </w:tcBorders>
            <w:gridSpan w:val="5"/>
            <w:shd w:val="clear" w:color="auto" w:fill="E0FCF9"/>
          </w:tcPr>
          <w:p>
            <w:pPr>
              <w:ind w:left="120"/>
              <w:spacing w:after="0" w:line="158" w:lineRule="exact"/>
              <w:rPr>
                <w:sz w:val="20"/>
                <w:szCs w:val="20"/>
                <w:color w:val="auto"/>
              </w:rPr>
            </w:pPr>
            <w:r>
              <w:rPr>
                <w:rFonts w:ascii="Arial" w:cs="Arial" w:eastAsia="Arial" w:hAnsi="Arial"/>
                <w:sz w:val="14"/>
                <w:szCs w:val="14"/>
                <w:b w:val="1"/>
                <w:bCs w:val="1"/>
                <w:color w:val="0016FF"/>
              </w:rPr>
              <w:t>Estimated Future Payments</w:t>
            </w:r>
          </w:p>
        </w:tc>
        <w:tc>
          <w:tcPr>
            <w:tcW w:w="260" w:type="dxa"/>
            <w:vAlign w:val="bottom"/>
            <w:shd w:val="clear" w:color="auto" w:fill="E0FCF9"/>
          </w:tcPr>
          <w:p>
            <w:pPr>
              <w:spacing w:after="0"/>
              <w:rPr>
                <w:sz w:val="13"/>
                <w:szCs w:val="13"/>
                <w:color w:val="auto"/>
              </w:rPr>
            </w:pPr>
          </w:p>
        </w:tc>
        <w:tc>
          <w:tcPr>
            <w:tcW w:w="1160" w:type="dxa"/>
            <w:vAlign w:val="bottom"/>
            <w:gridSpan w:val="2"/>
            <w:shd w:val="clear" w:color="auto" w:fill="E0FCF9"/>
          </w:tcPr>
          <w:p>
            <w:pPr>
              <w:jc w:val="center"/>
              <w:ind w:right="300"/>
              <w:spacing w:after="0" w:line="158" w:lineRule="exact"/>
              <w:rPr>
                <w:sz w:val="20"/>
                <w:szCs w:val="20"/>
                <w:color w:val="auto"/>
              </w:rPr>
            </w:pPr>
            <w:r>
              <w:rPr>
                <w:rFonts w:ascii="Arial" w:cs="Arial" w:eastAsia="Arial" w:hAnsi="Arial"/>
                <w:sz w:val="14"/>
                <w:szCs w:val="14"/>
                <w:b w:val="1"/>
                <w:bCs w:val="1"/>
                <w:color w:val="0016FF"/>
                <w:w w:val="89"/>
              </w:rPr>
              <w:t>Stock</w:t>
            </w:r>
          </w:p>
        </w:tc>
        <w:tc>
          <w:tcPr>
            <w:tcW w:w="760" w:type="dxa"/>
            <w:vAlign w:val="bottom"/>
            <w:gridSpan w:val="2"/>
            <w:shd w:val="clear" w:color="auto" w:fill="E0FCF9"/>
          </w:tcPr>
          <w:p>
            <w:pPr>
              <w:jc w:val="right"/>
              <w:ind w:right="40"/>
              <w:spacing w:after="0" w:line="158" w:lineRule="exact"/>
              <w:rPr>
                <w:sz w:val="20"/>
                <w:szCs w:val="20"/>
                <w:color w:val="auto"/>
              </w:rPr>
            </w:pPr>
            <w:r>
              <w:rPr>
                <w:rFonts w:ascii="Arial" w:cs="Arial" w:eastAsia="Arial" w:hAnsi="Arial"/>
                <w:sz w:val="14"/>
                <w:szCs w:val="14"/>
                <w:b w:val="1"/>
                <w:bCs w:val="1"/>
                <w:color w:val="0016FF"/>
                <w:w w:val="97"/>
              </w:rPr>
              <w:t>Grant Date</w:t>
            </w:r>
          </w:p>
        </w:tc>
        <w:tc>
          <w:tcPr>
            <w:tcW w:w="0" w:type="dxa"/>
            <w:vAlign w:val="bottom"/>
          </w:tcPr>
          <w:p>
            <w:pPr>
              <w:spacing w:after="0"/>
              <w:rPr>
                <w:sz w:val="1"/>
                <w:szCs w:val="1"/>
                <w:color w:val="auto"/>
              </w:rPr>
            </w:pPr>
          </w:p>
        </w:tc>
      </w:tr>
      <w:tr>
        <w:trPr>
          <w:trHeight w:val="149"/>
        </w:trPr>
        <w:tc>
          <w:tcPr>
            <w:tcW w:w="2880" w:type="dxa"/>
            <w:vAlign w:val="bottom"/>
            <w:vMerge w:val="restart"/>
            <w:shd w:val="clear" w:color="auto" w:fill="E0FCF9"/>
          </w:tcPr>
          <w:p>
            <w:pPr>
              <w:ind w:left="1260"/>
              <w:spacing w:after="0"/>
              <w:rPr>
                <w:sz w:val="20"/>
                <w:szCs w:val="20"/>
                <w:color w:val="auto"/>
              </w:rPr>
            </w:pPr>
            <w:r>
              <w:rPr>
                <w:rFonts w:ascii="Arial" w:cs="Arial" w:eastAsia="Arial" w:hAnsi="Arial"/>
                <w:sz w:val="14"/>
                <w:szCs w:val="14"/>
                <w:b w:val="1"/>
                <w:bCs w:val="1"/>
                <w:color w:val="0016FF"/>
              </w:rPr>
              <w:t>Name</w:t>
            </w:r>
          </w:p>
        </w:tc>
        <w:tc>
          <w:tcPr>
            <w:tcW w:w="240" w:type="dxa"/>
            <w:vAlign w:val="bottom"/>
            <w:shd w:val="clear" w:color="auto" w:fill="E0FCF9"/>
          </w:tcPr>
          <w:p>
            <w:pPr>
              <w:spacing w:after="0"/>
              <w:rPr>
                <w:sz w:val="12"/>
                <w:szCs w:val="12"/>
                <w:color w:val="auto"/>
              </w:rPr>
            </w:pPr>
          </w:p>
        </w:tc>
        <w:tc>
          <w:tcPr>
            <w:tcW w:w="960" w:type="dxa"/>
            <w:vAlign w:val="bottom"/>
            <w:gridSpan w:val="2"/>
            <w:vMerge w:val="continue"/>
            <w:shd w:val="clear" w:color="auto" w:fill="E0FCF9"/>
          </w:tcPr>
          <w:p>
            <w:pPr>
              <w:spacing w:after="0"/>
              <w:rPr>
                <w:sz w:val="12"/>
                <w:szCs w:val="12"/>
                <w:color w:val="auto"/>
              </w:rPr>
            </w:pPr>
          </w:p>
        </w:tc>
        <w:tc>
          <w:tcPr>
            <w:tcW w:w="2620" w:type="dxa"/>
            <w:vAlign w:val="bottom"/>
            <w:gridSpan w:val="6"/>
            <w:shd w:val="clear" w:color="auto" w:fill="E0FCF9"/>
          </w:tcPr>
          <w:p>
            <w:pPr>
              <w:jc w:val="center"/>
              <w:ind w:right="340"/>
              <w:spacing w:after="0" w:line="149" w:lineRule="exact"/>
              <w:rPr>
                <w:sz w:val="20"/>
                <w:szCs w:val="20"/>
                <w:color w:val="auto"/>
              </w:rPr>
            </w:pPr>
            <w:r>
              <w:rPr>
                <w:rFonts w:ascii="Arial" w:cs="Arial" w:eastAsia="Arial" w:hAnsi="Arial"/>
                <w:sz w:val="14"/>
                <w:szCs w:val="14"/>
                <w:b w:val="1"/>
                <w:bCs w:val="1"/>
                <w:color w:val="0016FF"/>
                <w:w w:val="94"/>
              </w:rPr>
              <w:t>Non-Equity Incentive Plan</w:t>
            </w:r>
          </w:p>
        </w:tc>
        <w:tc>
          <w:tcPr>
            <w:tcW w:w="2020" w:type="dxa"/>
            <w:vAlign w:val="bottom"/>
            <w:tcBorders>
              <w:right w:val="single" w:sz="8" w:color="E0FCF9"/>
            </w:tcBorders>
            <w:gridSpan w:val="5"/>
            <w:shd w:val="clear" w:color="auto" w:fill="E0FCF9"/>
          </w:tcPr>
          <w:p>
            <w:pPr>
              <w:ind w:left="100"/>
              <w:spacing w:after="0" w:line="149" w:lineRule="exact"/>
              <w:rPr>
                <w:sz w:val="20"/>
                <w:szCs w:val="20"/>
                <w:color w:val="auto"/>
              </w:rPr>
            </w:pPr>
            <w:r>
              <w:rPr>
                <w:rFonts w:ascii="Arial" w:cs="Arial" w:eastAsia="Arial" w:hAnsi="Arial"/>
                <w:sz w:val="14"/>
                <w:szCs w:val="14"/>
                <w:b w:val="1"/>
                <w:bCs w:val="1"/>
                <w:color w:val="0016FF"/>
              </w:rPr>
              <w:t>under Equity Incentive Plan</w:t>
            </w:r>
          </w:p>
        </w:tc>
        <w:tc>
          <w:tcPr>
            <w:tcW w:w="260" w:type="dxa"/>
            <w:vAlign w:val="bottom"/>
            <w:shd w:val="clear" w:color="auto" w:fill="E0FCF9"/>
          </w:tcPr>
          <w:p>
            <w:pPr>
              <w:spacing w:after="0"/>
              <w:rPr>
                <w:sz w:val="12"/>
                <w:szCs w:val="12"/>
                <w:color w:val="auto"/>
              </w:rPr>
            </w:pPr>
          </w:p>
        </w:tc>
        <w:tc>
          <w:tcPr>
            <w:tcW w:w="1160" w:type="dxa"/>
            <w:vAlign w:val="bottom"/>
            <w:gridSpan w:val="2"/>
            <w:shd w:val="clear" w:color="auto" w:fill="E0FCF9"/>
          </w:tcPr>
          <w:p>
            <w:pPr>
              <w:jc w:val="center"/>
              <w:ind w:right="280"/>
              <w:spacing w:after="0" w:line="149" w:lineRule="exact"/>
              <w:rPr>
                <w:sz w:val="20"/>
                <w:szCs w:val="20"/>
                <w:color w:val="auto"/>
              </w:rPr>
            </w:pPr>
            <w:r>
              <w:rPr>
                <w:rFonts w:ascii="Arial" w:cs="Arial" w:eastAsia="Arial" w:hAnsi="Arial"/>
                <w:sz w:val="14"/>
                <w:szCs w:val="14"/>
                <w:b w:val="1"/>
                <w:bCs w:val="1"/>
                <w:color w:val="0016FF"/>
                <w:w w:val="94"/>
              </w:rPr>
              <w:t>Awards:</w:t>
            </w:r>
          </w:p>
        </w:tc>
        <w:tc>
          <w:tcPr>
            <w:tcW w:w="760" w:type="dxa"/>
            <w:vAlign w:val="bottom"/>
            <w:gridSpan w:val="2"/>
            <w:shd w:val="clear" w:color="auto" w:fill="E0FCF9"/>
          </w:tcPr>
          <w:p>
            <w:pPr>
              <w:jc w:val="center"/>
              <w:ind w:right="40"/>
              <w:spacing w:after="0" w:line="149" w:lineRule="exact"/>
              <w:rPr>
                <w:sz w:val="20"/>
                <w:szCs w:val="20"/>
                <w:color w:val="auto"/>
              </w:rPr>
            </w:pPr>
            <w:r>
              <w:rPr>
                <w:rFonts w:ascii="Arial" w:cs="Arial" w:eastAsia="Arial" w:hAnsi="Arial"/>
                <w:sz w:val="14"/>
                <w:szCs w:val="14"/>
                <w:b w:val="1"/>
                <w:bCs w:val="1"/>
                <w:color w:val="0016FF"/>
                <w:w w:val="95"/>
              </w:rPr>
              <w:t>Fair Value</w:t>
            </w:r>
          </w:p>
        </w:tc>
        <w:tc>
          <w:tcPr>
            <w:tcW w:w="0" w:type="dxa"/>
            <w:vAlign w:val="bottom"/>
          </w:tcPr>
          <w:p>
            <w:pPr>
              <w:spacing w:after="0"/>
              <w:rPr>
                <w:sz w:val="1"/>
                <w:szCs w:val="1"/>
                <w:color w:val="auto"/>
              </w:rPr>
            </w:pPr>
          </w:p>
        </w:tc>
      </w:tr>
      <w:tr>
        <w:trPr>
          <w:trHeight w:val="155"/>
        </w:trPr>
        <w:tc>
          <w:tcPr>
            <w:tcW w:w="2880" w:type="dxa"/>
            <w:vAlign w:val="bottom"/>
            <w:tcBorders>
              <w:bottom w:val="single" w:sz="8" w:color="E0FCF9"/>
            </w:tcBorders>
            <w:vMerge w:val="continue"/>
            <w:shd w:val="clear" w:color="auto" w:fill="E0FCF9"/>
          </w:tcPr>
          <w:p>
            <w:pPr>
              <w:spacing w:after="0"/>
              <w:rPr>
                <w:sz w:val="13"/>
                <w:szCs w:val="13"/>
                <w:color w:val="auto"/>
              </w:rPr>
            </w:pPr>
          </w:p>
        </w:tc>
        <w:tc>
          <w:tcPr>
            <w:tcW w:w="240" w:type="dxa"/>
            <w:vAlign w:val="bottom"/>
            <w:tcBorders>
              <w:bottom w:val="single" w:sz="8" w:color="E0FCF9"/>
            </w:tcBorders>
            <w:shd w:val="clear" w:color="auto" w:fill="E0FCF9"/>
          </w:tcPr>
          <w:p>
            <w:pPr>
              <w:spacing w:after="0"/>
              <w:rPr>
                <w:sz w:val="13"/>
                <w:szCs w:val="13"/>
                <w:color w:val="auto"/>
              </w:rPr>
            </w:pPr>
          </w:p>
        </w:tc>
        <w:tc>
          <w:tcPr>
            <w:tcW w:w="960" w:type="dxa"/>
            <w:vAlign w:val="bottom"/>
            <w:tcBorders>
              <w:bottom w:val="single" w:sz="8" w:color="E0FCF9"/>
            </w:tcBorders>
            <w:gridSpan w:val="2"/>
            <w:shd w:val="clear" w:color="auto" w:fill="E0FCF9"/>
          </w:tcPr>
          <w:p>
            <w:pPr>
              <w:jc w:val="center"/>
              <w:ind w:right="300"/>
              <w:spacing w:after="0" w:line="149" w:lineRule="exact"/>
              <w:rPr>
                <w:sz w:val="20"/>
                <w:szCs w:val="20"/>
                <w:color w:val="auto"/>
              </w:rPr>
            </w:pPr>
            <w:r>
              <w:rPr>
                <w:rFonts w:ascii="Arial" w:cs="Arial" w:eastAsia="Arial" w:hAnsi="Arial"/>
                <w:sz w:val="14"/>
                <w:szCs w:val="14"/>
                <w:b w:val="1"/>
                <w:bCs w:val="1"/>
                <w:color w:val="0016FF"/>
                <w:w w:val="98"/>
              </w:rPr>
              <w:t>Date</w:t>
            </w:r>
          </w:p>
        </w:tc>
        <w:tc>
          <w:tcPr>
            <w:tcW w:w="400" w:type="dxa"/>
            <w:vAlign w:val="bottom"/>
            <w:tcBorders>
              <w:bottom w:val="single" w:sz="8" w:color="E0FCF9"/>
            </w:tcBorders>
            <w:shd w:val="clear" w:color="auto" w:fill="E0FCF9"/>
          </w:tcPr>
          <w:p>
            <w:pPr>
              <w:spacing w:after="0"/>
              <w:rPr>
                <w:sz w:val="13"/>
                <w:szCs w:val="13"/>
                <w:color w:val="auto"/>
              </w:rPr>
            </w:pPr>
          </w:p>
        </w:tc>
        <w:tc>
          <w:tcPr>
            <w:tcW w:w="300" w:type="dxa"/>
            <w:vAlign w:val="bottom"/>
            <w:tcBorders>
              <w:bottom w:val="single" w:sz="8" w:color="E0FCF9"/>
            </w:tcBorders>
            <w:shd w:val="clear" w:color="auto" w:fill="E0FCF9"/>
          </w:tcPr>
          <w:p>
            <w:pPr>
              <w:spacing w:after="0"/>
              <w:rPr>
                <w:sz w:val="13"/>
                <w:szCs w:val="13"/>
                <w:color w:val="auto"/>
              </w:rPr>
            </w:pPr>
          </w:p>
        </w:tc>
        <w:tc>
          <w:tcPr>
            <w:tcW w:w="960" w:type="dxa"/>
            <w:vAlign w:val="bottom"/>
            <w:tcBorders>
              <w:bottom w:val="single" w:sz="8" w:color="E0FCF9"/>
            </w:tcBorders>
            <w:gridSpan w:val="2"/>
            <w:shd w:val="clear" w:color="auto" w:fill="E0FCF9"/>
          </w:tcPr>
          <w:p>
            <w:pPr>
              <w:jc w:val="center"/>
              <w:ind w:right="60"/>
              <w:spacing w:after="0" w:line="149" w:lineRule="exact"/>
              <w:rPr>
                <w:sz w:val="20"/>
                <w:szCs w:val="20"/>
                <w:color w:val="auto"/>
              </w:rPr>
            </w:pPr>
            <w:r>
              <w:rPr>
                <w:rFonts w:ascii="Arial" w:cs="Arial" w:eastAsia="Arial" w:hAnsi="Arial"/>
                <w:sz w:val="14"/>
                <w:szCs w:val="14"/>
                <w:b w:val="1"/>
                <w:bCs w:val="1"/>
                <w:color w:val="0016FF"/>
                <w:w w:val="90"/>
              </w:rPr>
              <w:t>Awards</w:t>
            </w:r>
          </w:p>
        </w:tc>
        <w:tc>
          <w:tcPr>
            <w:tcW w:w="640" w:type="dxa"/>
            <w:vAlign w:val="bottom"/>
            <w:tcBorders>
              <w:bottom w:val="single" w:sz="8" w:color="E0FCF9"/>
            </w:tcBorders>
            <w:shd w:val="clear" w:color="auto" w:fill="E0FCF9"/>
          </w:tcPr>
          <w:p>
            <w:pPr>
              <w:spacing w:after="0"/>
              <w:rPr>
                <w:sz w:val="13"/>
                <w:szCs w:val="13"/>
                <w:color w:val="auto"/>
              </w:rPr>
            </w:pPr>
          </w:p>
        </w:tc>
        <w:tc>
          <w:tcPr>
            <w:tcW w:w="320" w:type="dxa"/>
            <w:vAlign w:val="bottom"/>
            <w:tcBorders>
              <w:bottom w:val="single" w:sz="8" w:color="E0FCF9"/>
            </w:tcBorders>
            <w:shd w:val="clear" w:color="auto" w:fill="E0FCF9"/>
          </w:tcPr>
          <w:p>
            <w:pPr>
              <w:spacing w:after="0"/>
              <w:rPr>
                <w:sz w:val="13"/>
                <w:szCs w:val="13"/>
                <w:color w:val="auto"/>
              </w:rPr>
            </w:pPr>
          </w:p>
        </w:tc>
        <w:tc>
          <w:tcPr>
            <w:tcW w:w="400" w:type="dxa"/>
            <w:vAlign w:val="bottom"/>
            <w:tcBorders>
              <w:bottom w:val="single" w:sz="8" w:color="E0FCF9"/>
            </w:tcBorders>
            <w:shd w:val="clear" w:color="auto" w:fill="E0FCF9"/>
          </w:tcPr>
          <w:p>
            <w:pPr>
              <w:spacing w:after="0"/>
              <w:rPr>
                <w:sz w:val="13"/>
                <w:szCs w:val="13"/>
                <w:color w:val="auto"/>
              </w:rPr>
            </w:pPr>
          </w:p>
        </w:tc>
        <w:tc>
          <w:tcPr>
            <w:tcW w:w="300" w:type="dxa"/>
            <w:vAlign w:val="bottom"/>
            <w:tcBorders>
              <w:bottom w:val="single" w:sz="8" w:color="E0FCF9"/>
            </w:tcBorders>
            <w:shd w:val="clear" w:color="auto" w:fill="E0FCF9"/>
          </w:tcPr>
          <w:p>
            <w:pPr>
              <w:spacing w:after="0"/>
              <w:rPr>
                <w:sz w:val="13"/>
                <w:szCs w:val="13"/>
                <w:color w:val="auto"/>
              </w:rPr>
            </w:pPr>
          </w:p>
        </w:tc>
        <w:tc>
          <w:tcPr>
            <w:tcW w:w="960" w:type="dxa"/>
            <w:vAlign w:val="bottom"/>
            <w:tcBorders>
              <w:bottom w:val="single" w:sz="8" w:color="E0FCF9"/>
            </w:tcBorders>
            <w:gridSpan w:val="2"/>
            <w:shd w:val="clear" w:color="auto" w:fill="E0FCF9"/>
          </w:tcPr>
          <w:p>
            <w:pPr>
              <w:ind w:left="40"/>
              <w:spacing w:after="0" w:line="149" w:lineRule="exact"/>
              <w:rPr>
                <w:sz w:val="20"/>
                <w:szCs w:val="20"/>
                <w:color w:val="auto"/>
              </w:rPr>
            </w:pPr>
            <w:r>
              <w:rPr>
                <w:rFonts w:ascii="Arial" w:cs="Arial" w:eastAsia="Arial" w:hAnsi="Arial"/>
                <w:sz w:val="14"/>
                <w:szCs w:val="14"/>
                <w:b w:val="1"/>
                <w:bCs w:val="1"/>
                <w:color w:val="0016FF"/>
              </w:rPr>
              <w:t>Awards</w:t>
            </w:r>
          </w:p>
        </w:tc>
        <w:tc>
          <w:tcPr>
            <w:tcW w:w="360" w:type="dxa"/>
            <w:vAlign w:val="bottom"/>
            <w:tcBorders>
              <w:bottom w:val="single" w:sz="8" w:color="E0FCF9"/>
              <w:right w:val="single" w:sz="8" w:color="E0FCF9"/>
            </w:tcBorders>
            <w:shd w:val="clear" w:color="auto" w:fill="E0FCF9"/>
          </w:tcPr>
          <w:p>
            <w:pPr>
              <w:spacing w:after="0"/>
              <w:rPr>
                <w:sz w:val="13"/>
                <w:szCs w:val="13"/>
                <w:color w:val="auto"/>
              </w:rPr>
            </w:pPr>
          </w:p>
        </w:tc>
        <w:tc>
          <w:tcPr>
            <w:tcW w:w="260" w:type="dxa"/>
            <w:vAlign w:val="bottom"/>
            <w:tcBorders>
              <w:bottom w:val="single" w:sz="8" w:color="E0FCF9"/>
            </w:tcBorders>
            <w:shd w:val="clear" w:color="auto" w:fill="E0FCF9"/>
          </w:tcPr>
          <w:p>
            <w:pPr>
              <w:spacing w:after="0"/>
              <w:rPr>
                <w:sz w:val="13"/>
                <w:szCs w:val="13"/>
                <w:color w:val="auto"/>
              </w:rPr>
            </w:pPr>
          </w:p>
        </w:tc>
        <w:tc>
          <w:tcPr>
            <w:tcW w:w="1160" w:type="dxa"/>
            <w:vAlign w:val="bottom"/>
            <w:tcBorders>
              <w:bottom w:val="single" w:sz="8" w:color="E0FCF9"/>
            </w:tcBorders>
            <w:gridSpan w:val="2"/>
            <w:shd w:val="clear" w:color="auto" w:fill="E0FCF9"/>
          </w:tcPr>
          <w:p>
            <w:pPr>
              <w:jc w:val="center"/>
              <w:ind w:right="300"/>
              <w:spacing w:after="0" w:line="149" w:lineRule="exact"/>
              <w:rPr>
                <w:sz w:val="20"/>
                <w:szCs w:val="20"/>
                <w:color w:val="auto"/>
              </w:rPr>
            </w:pPr>
            <w:r>
              <w:rPr>
                <w:rFonts w:ascii="Arial" w:cs="Arial" w:eastAsia="Arial" w:hAnsi="Arial"/>
                <w:sz w:val="14"/>
                <w:szCs w:val="14"/>
                <w:b w:val="1"/>
                <w:bCs w:val="1"/>
                <w:color w:val="0016FF"/>
                <w:w w:val="94"/>
              </w:rPr>
              <w:t>Number of</w:t>
            </w:r>
          </w:p>
        </w:tc>
        <w:tc>
          <w:tcPr>
            <w:tcW w:w="760" w:type="dxa"/>
            <w:vAlign w:val="bottom"/>
            <w:tcBorders>
              <w:bottom w:val="single" w:sz="8" w:color="E0FCF9"/>
            </w:tcBorders>
            <w:gridSpan w:val="2"/>
            <w:shd w:val="clear" w:color="auto" w:fill="E0FCF9"/>
          </w:tcPr>
          <w:p>
            <w:pPr>
              <w:jc w:val="center"/>
              <w:ind w:right="40"/>
              <w:spacing w:after="0" w:line="149" w:lineRule="exact"/>
              <w:rPr>
                <w:sz w:val="20"/>
                <w:szCs w:val="20"/>
                <w:color w:val="auto"/>
              </w:rPr>
            </w:pPr>
            <w:r>
              <w:rPr>
                <w:rFonts w:ascii="Arial" w:cs="Arial" w:eastAsia="Arial" w:hAnsi="Arial"/>
                <w:sz w:val="14"/>
                <w:szCs w:val="14"/>
                <w:b w:val="1"/>
                <w:bCs w:val="1"/>
                <w:color w:val="0016FF"/>
                <w:w w:val="90"/>
              </w:rPr>
              <w:t>of</w:t>
            </w:r>
          </w:p>
        </w:tc>
        <w:tc>
          <w:tcPr>
            <w:tcW w:w="0" w:type="dxa"/>
            <w:vAlign w:val="bottom"/>
          </w:tcPr>
          <w:p>
            <w:pPr>
              <w:spacing w:after="0"/>
              <w:rPr>
                <w:sz w:val="1"/>
                <w:szCs w:val="1"/>
                <w:color w:val="auto"/>
              </w:rPr>
            </w:pPr>
          </w:p>
        </w:tc>
      </w:tr>
      <w:tr>
        <w:trPr>
          <w:trHeight w:val="20"/>
        </w:trPr>
        <w:tc>
          <w:tcPr>
            <w:tcW w:w="2880" w:type="dxa"/>
            <w:vAlign w:val="bottom"/>
            <w:shd w:val="clear" w:color="auto" w:fill="000000"/>
          </w:tcPr>
          <w:p>
            <w:pPr>
              <w:spacing w:after="0" w:line="20" w:lineRule="exact"/>
              <w:rPr>
                <w:sz w:val="1"/>
                <w:szCs w:val="1"/>
                <w:color w:val="auto"/>
              </w:rPr>
            </w:pPr>
          </w:p>
        </w:tc>
        <w:tc>
          <w:tcPr>
            <w:tcW w:w="240" w:type="dxa"/>
            <w:vAlign w:val="bottom"/>
            <w:shd w:val="clear" w:color="auto" w:fill="E0FCF9"/>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E0FCF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E0FCF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E0FCF9"/>
            </w:tcBorders>
            <w:shd w:val="clear" w:color="auto" w:fill="000000"/>
          </w:tcPr>
          <w:p>
            <w:pPr>
              <w:spacing w:after="0" w:line="20" w:lineRule="exact"/>
              <w:rPr>
                <w:sz w:val="1"/>
                <w:szCs w:val="1"/>
                <w:color w:val="auto"/>
              </w:rPr>
            </w:pPr>
          </w:p>
        </w:tc>
        <w:tc>
          <w:tcPr>
            <w:tcW w:w="260" w:type="dxa"/>
            <w:vAlign w:val="bottom"/>
            <w:shd w:val="clear" w:color="auto" w:fill="E0FCF9"/>
          </w:tcPr>
          <w:p>
            <w:pPr>
              <w:spacing w:after="0" w:line="20" w:lineRule="exact"/>
              <w:rPr>
                <w:sz w:val="1"/>
                <w:szCs w:val="1"/>
                <w:color w:val="auto"/>
              </w:rPr>
            </w:pPr>
          </w:p>
        </w:tc>
        <w:tc>
          <w:tcPr>
            <w:tcW w:w="1160" w:type="dxa"/>
            <w:vAlign w:val="bottom"/>
            <w:gridSpan w:val="2"/>
            <w:vMerge w:val="restart"/>
            <w:shd w:val="clear" w:color="auto" w:fill="E0FCF9"/>
          </w:tcPr>
          <w:p>
            <w:pPr>
              <w:jc w:val="center"/>
              <w:ind w:right="300"/>
              <w:spacing w:after="0" w:line="113" w:lineRule="exact"/>
              <w:rPr>
                <w:sz w:val="20"/>
                <w:szCs w:val="20"/>
                <w:color w:val="auto"/>
              </w:rPr>
            </w:pPr>
            <w:r>
              <w:rPr>
                <w:rFonts w:ascii="Arial" w:cs="Arial" w:eastAsia="Arial" w:hAnsi="Arial"/>
                <w:sz w:val="13"/>
                <w:szCs w:val="13"/>
                <w:b w:val="1"/>
                <w:bCs w:val="1"/>
                <w:color w:val="0016FF"/>
                <w:w w:val="97"/>
              </w:rPr>
              <w:t>Shares of</w:t>
            </w:r>
          </w:p>
        </w:tc>
        <w:tc>
          <w:tcPr>
            <w:tcW w:w="760" w:type="dxa"/>
            <w:vAlign w:val="bottom"/>
            <w:gridSpan w:val="2"/>
            <w:vMerge w:val="restart"/>
            <w:shd w:val="clear" w:color="auto" w:fill="E0FCF9"/>
          </w:tcPr>
          <w:p>
            <w:pPr>
              <w:jc w:val="center"/>
              <w:ind w:right="40"/>
              <w:spacing w:after="0" w:line="113" w:lineRule="exact"/>
              <w:rPr>
                <w:sz w:val="20"/>
                <w:szCs w:val="20"/>
                <w:color w:val="auto"/>
              </w:rPr>
            </w:pPr>
            <w:r>
              <w:rPr>
                <w:rFonts w:ascii="Arial" w:cs="Arial" w:eastAsia="Arial" w:hAnsi="Arial"/>
                <w:sz w:val="13"/>
                <w:szCs w:val="13"/>
                <w:b w:val="1"/>
                <w:bCs w:val="1"/>
                <w:color w:val="0016FF"/>
              </w:rPr>
              <w:t>Stock</w:t>
            </w:r>
          </w:p>
        </w:tc>
        <w:tc>
          <w:tcPr>
            <w:tcW w:w="0" w:type="dxa"/>
            <w:vAlign w:val="bottom"/>
          </w:tcPr>
          <w:p>
            <w:pPr>
              <w:spacing w:after="0" w:line="20" w:lineRule="exact"/>
              <w:rPr>
                <w:sz w:val="1"/>
                <w:szCs w:val="1"/>
                <w:color w:val="auto"/>
              </w:rPr>
            </w:pPr>
          </w:p>
        </w:tc>
      </w:tr>
      <w:tr>
        <w:trPr>
          <w:trHeight w:val="92"/>
        </w:trPr>
        <w:tc>
          <w:tcPr>
            <w:tcW w:w="2880" w:type="dxa"/>
            <w:vAlign w:val="bottom"/>
            <w:shd w:val="clear" w:color="auto" w:fill="E0FCF9"/>
          </w:tcPr>
          <w:p>
            <w:pPr>
              <w:spacing w:after="0"/>
              <w:rPr>
                <w:sz w:val="8"/>
                <w:szCs w:val="8"/>
                <w:color w:val="auto"/>
              </w:rPr>
            </w:pPr>
          </w:p>
        </w:tc>
        <w:tc>
          <w:tcPr>
            <w:tcW w:w="240" w:type="dxa"/>
            <w:vAlign w:val="bottom"/>
            <w:shd w:val="clear" w:color="auto" w:fill="E0FCF9"/>
          </w:tcPr>
          <w:p>
            <w:pPr>
              <w:spacing w:after="0"/>
              <w:rPr>
                <w:sz w:val="8"/>
                <w:szCs w:val="8"/>
                <w:color w:val="auto"/>
              </w:rPr>
            </w:pPr>
          </w:p>
        </w:tc>
        <w:tc>
          <w:tcPr>
            <w:tcW w:w="960" w:type="dxa"/>
            <w:vAlign w:val="bottom"/>
            <w:gridSpan w:val="2"/>
            <w:vMerge w:val="restart"/>
            <w:shd w:val="clear" w:color="auto" w:fill="E0FCF9"/>
          </w:tcPr>
          <w:p>
            <w:pPr>
              <w:jc w:val="right"/>
              <w:ind w:right="320"/>
              <w:spacing w:after="0"/>
              <w:rPr>
                <w:sz w:val="20"/>
                <w:szCs w:val="20"/>
                <w:color w:val="auto"/>
              </w:rPr>
            </w:pPr>
            <w:r>
              <w:rPr>
                <w:rFonts w:ascii="Arial" w:cs="Arial" w:eastAsia="Arial" w:hAnsi="Arial"/>
                <w:sz w:val="14"/>
                <w:szCs w:val="14"/>
                <w:b w:val="1"/>
                <w:bCs w:val="1"/>
                <w:color w:val="0016FF"/>
                <w:w w:val="91"/>
              </w:rPr>
              <w:t>Threshold</w:t>
            </w:r>
          </w:p>
        </w:tc>
        <w:tc>
          <w:tcPr>
            <w:tcW w:w="700" w:type="dxa"/>
            <w:vAlign w:val="bottom"/>
            <w:gridSpan w:val="2"/>
            <w:vMerge w:val="restart"/>
            <w:shd w:val="clear" w:color="auto" w:fill="E0FCF9"/>
          </w:tcPr>
          <w:p>
            <w:pPr>
              <w:jc w:val="right"/>
              <w:ind w:right="300"/>
              <w:spacing w:after="0"/>
              <w:rPr>
                <w:sz w:val="20"/>
                <w:szCs w:val="20"/>
                <w:color w:val="auto"/>
              </w:rPr>
            </w:pPr>
            <w:r>
              <w:rPr>
                <w:rFonts w:ascii="Arial" w:cs="Arial" w:eastAsia="Arial" w:hAnsi="Arial"/>
                <w:sz w:val="14"/>
                <w:szCs w:val="14"/>
                <w:b w:val="1"/>
                <w:bCs w:val="1"/>
                <w:color w:val="0016FF"/>
                <w:w w:val="88"/>
              </w:rPr>
              <w:t>Target</w:t>
            </w:r>
          </w:p>
        </w:tc>
        <w:tc>
          <w:tcPr>
            <w:tcW w:w="960" w:type="dxa"/>
            <w:vAlign w:val="bottom"/>
            <w:gridSpan w:val="2"/>
            <w:vMerge w:val="restart"/>
            <w:shd w:val="clear" w:color="auto" w:fill="E0FCF9"/>
          </w:tcPr>
          <w:p>
            <w:pPr>
              <w:jc w:val="right"/>
              <w:ind w:right="300"/>
              <w:spacing w:after="0"/>
              <w:rPr>
                <w:sz w:val="20"/>
                <w:szCs w:val="20"/>
                <w:color w:val="auto"/>
              </w:rPr>
            </w:pPr>
            <w:r>
              <w:rPr>
                <w:rFonts w:ascii="Arial" w:cs="Arial" w:eastAsia="Arial" w:hAnsi="Arial"/>
                <w:sz w:val="14"/>
                <w:szCs w:val="14"/>
                <w:b w:val="1"/>
                <w:bCs w:val="1"/>
                <w:color w:val="0016FF"/>
                <w:w w:val="99"/>
              </w:rPr>
              <w:t>Maximum</w:t>
            </w:r>
          </w:p>
        </w:tc>
        <w:tc>
          <w:tcPr>
            <w:tcW w:w="960" w:type="dxa"/>
            <w:vAlign w:val="bottom"/>
            <w:gridSpan w:val="2"/>
            <w:vMerge w:val="restart"/>
            <w:shd w:val="clear" w:color="auto" w:fill="E0FCF9"/>
          </w:tcPr>
          <w:p>
            <w:pPr>
              <w:jc w:val="right"/>
              <w:ind w:right="320"/>
              <w:spacing w:after="0"/>
              <w:rPr>
                <w:sz w:val="20"/>
                <w:szCs w:val="20"/>
                <w:color w:val="auto"/>
              </w:rPr>
            </w:pPr>
            <w:r>
              <w:rPr>
                <w:rFonts w:ascii="Arial" w:cs="Arial" w:eastAsia="Arial" w:hAnsi="Arial"/>
                <w:sz w:val="14"/>
                <w:szCs w:val="14"/>
                <w:b w:val="1"/>
                <w:bCs w:val="1"/>
                <w:color w:val="0016FF"/>
                <w:w w:val="91"/>
              </w:rPr>
              <w:t>Threshold</w:t>
            </w:r>
          </w:p>
        </w:tc>
        <w:tc>
          <w:tcPr>
            <w:tcW w:w="700" w:type="dxa"/>
            <w:vAlign w:val="bottom"/>
            <w:gridSpan w:val="2"/>
            <w:vMerge w:val="restart"/>
            <w:shd w:val="clear" w:color="auto" w:fill="E0FCF9"/>
          </w:tcPr>
          <w:p>
            <w:pPr>
              <w:jc w:val="right"/>
              <w:ind w:right="300"/>
              <w:spacing w:after="0"/>
              <w:rPr>
                <w:sz w:val="20"/>
                <w:szCs w:val="20"/>
                <w:color w:val="auto"/>
              </w:rPr>
            </w:pPr>
            <w:r>
              <w:rPr>
                <w:rFonts w:ascii="Arial" w:cs="Arial" w:eastAsia="Arial" w:hAnsi="Arial"/>
                <w:sz w:val="14"/>
                <w:szCs w:val="14"/>
                <w:b w:val="1"/>
                <w:bCs w:val="1"/>
                <w:color w:val="0016FF"/>
                <w:w w:val="88"/>
              </w:rPr>
              <w:t>Target</w:t>
            </w:r>
          </w:p>
        </w:tc>
        <w:tc>
          <w:tcPr>
            <w:tcW w:w="960" w:type="dxa"/>
            <w:vAlign w:val="bottom"/>
            <w:gridSpan w:val="2"/>
            <w:vMerge w:val="restart"/>
            <w:shd w:val="clear" w:color="auto" w:fill="E0FCF9"/>
          </w:tcPr>
          <w:p>
            <w:pPr>
              <w:jc w:val="right"/>
              <w:ind w:right="300"/>
              <w:spacing w:after="0"/>
              <w:rPr>
                <w:sz w:val="20"/>
                <w:szCs w:val="20"/>
                <w:color w:val="auto"/>
              </w:rPr>
            </w:pPr>
            <w:r>
              <w:rPr>
                <w:rFonts w:ascii="Arial" w:cs="Arial" w:eastAsia="Arial" w:hAnsi="Arial"/>
                <w:sz w:val="14"/>
                <w:szCs w:val="14"/>
                <w:b w:val="1"/>
                <w:bCs w:val="1"/>
                <w:color w:val="0016FF"/>
                <w:w w:val="99"/>
              </w:rPr>
              <w:t>Maximum</w:t>
            </w:r>
          </w:p>
        </w:tc>
        <w:tc>
          <w:tcPr>
            <w:tcW w:w="360" w:type="dxa"/>
            <w:vAlign w:val="bottom"/>
            <w:tcBorders>
              <w:right w:val="single" w:sz="8" w:color="E0FCF9"/>
            </w:tcBorders>
            <w:shd w:val="clear" w:color="auto" w:fill="E0FCF9"/>
          </w:tcPr>
          <w:p>
            <w:pPr>
              <w:spacing w:after="0"/>
              <w:rPr>
                <w:sz w:val="8"/>
                <w:szCs w:val="8"/>
                <w:color w:val="auto"/>
              </w:rPr>
            </w:pPr>
          </w:p>
        </w:tc>
        <w:tc>
          <w:tcPr>
            <w:tcW w:w="260" w:type="dxa"/>
            <w:vAlign w:val="bottom"/>
            <w:shd w:val="clear" w:color="auto" w:fill="E0FCF9"/>
          </w:tcPr>
          <w:p>
            <w:pPr>
              <w:spacing w:after="0"/>
              <w:rPr>
                <w:sz w:val="8"/>
                <w:szCs w:val="8"/>
                <w:color w:val="auto"/>
              </w:rPr>
            </w:pPr>
          </w:p>
        </w:tc>
        <w:tc>
          <w:tcPr>
            <w:tcW w:w="1160" w:type="dxa"/>
            <w:vAlign w:val="bottom"/>
            <w:gridSpan w:val="2"/>
            <w:vMerge w:val="continue"/>
            <w:shd w:val="clear" w:color="auto" w:fill="E0FCF9"/>
          </w:tcPr>
          <w:p>
            <w:pPr>
              <w:spacing w:after="0"/>
              <w:rPr>
                <w:sz w:val="8"/>
                <w:szCs w:val="8"/>
                <w:color w:val="auto"/>
              </w:rPr>
            </w:pPr>
          </w:p>
        </w:tc>
        <w:tc>
          <w:tcPr>
            <w:tcW w:w="760" w:type="dxa"/>
            <w:vAlign w:val="bottom"/>
            <w:gridSpan w:val="2"/>
            <w:vMerge w:val="continue"/>
            <w:shd w:val="clear" w:color="auto" w:fill="E0FCF9"/>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E0FCF9"/>
          </w:tcPr>
          <w:p>
            <w:pPr>
              <w:spacing w:after="0"/>
              <w:rPr>
                <w:sz w:val="12"/>
                <w:szCs w:val="12"/>
                <w:color w:val="auto"/>
              </w:rPr>
            </w:pPr>
          </w:p>
        </w:tc>
        <w:tc>
          <w:tcPr>
            <w:tcW w:w="240" w:type="dxa"/>
            <w:vAlign w:val="bottom"/>
            <w:shd w:val="clear" w:color="auto" w:fill="E0FCF9"/>
          </w:tcPr>
          <w:p>
            <w:pPr>
              <w:spacing w:after="0"/>
              <w:rPr>
                <w:sz w:val="12"/>
                <w:szCs w:val="12"/>
                <w:color w:val="auto"/>
              </w:rPr>
            </w:pPr>
          </w:p>
        </w:tc>
        <w:tc>
          <w:tcPr>
            <w:tcW w:w="960" w:type="dxa"/>
            <w:vAlign w:val="bottom"/>
            <w:gridSpan w:val="2"/>
            <w:vMerge w:val="continue"/>
            <w:shd w:val="clear" w:color="auto" w:fill="E0FCF9"/>
          </w:tcPr>
          <w:p>
            <w:pPr>
              <w:spacing w:after="0"/>
              <w:rPr>
                <w:sz w:val="12"/>
                <w:szCs w:val="12"/>
                <w:color w:val="auto"/>
              </w:rPr>
            </w:pPr>
          </w:p>
        </w:tc>
        <w:tc>
          <w:tcPr>
            <w:tcW w:w="700" w:type="dxa"/>
            <w:vAlign w:val="bottom"/>
            <w:gridSpan w:val="2"/>
            <w:vMerge w:val="continue"/>
            <w:shd w:val="clear" w:color="auto" w:fill="E0FCF9"/>
          </w:tcPr>
          <w:p>
            <w:pPr>
              <w:spacing w:after="0"/>
              <w:rPr>
                <w:sz w:val="12"/>
                <w:szCs w:val="12"/>
                <w:color w:val="auto"/>
              </w:rPr>
            </w:pPr>
          </w:p>
        </w:tc>
        <w:tc>
          <w:tcPr>
            <w:tcW w:w="960" w:type="dxa"/>
            <w:vAlign w:val="bottom"/>
            <w:gridSpan w:val="2"/>
            <w:vMerge w:val="continue"/>
            <w:shd w:val="clear" w:color="auto" w:fill="E0FCF9"/>
          </w:tcPr>
          <w:p>
            <w:pPr>
              <w:spacing w:after="0"/>
              <w:rPr>
                <w:sz w:val="12"/>
                <w:szCs w:val="12"/>
                <w:color w:val="auto"/>
              </w:rPr>
            </w:pPr>
          </w:p>
        </w:tc>
        <w:tc>
          <w:tcPr>
            <w:tcW w:w="960" w:type="dxa"/>
            <w:vAlign w:val="bottom"/>
            <w:gridSpan w:val="2"/>
            <w:vMerge w:val="continue"/>
            <w:shd w:val="clear" w:color="auto" w:fill="E0FCF9"/>
          </w:tcPr>
          <w:p>
            <w:pPr>
              <w:spacing w:after="0"/>
              <w:rPr>
                <w:sz w:val="12"/>
                <w:szCs w:val="12"/>
                <w:color w:val="auto"/>
              </w:rPr>
            </w:pPr>
          </w:p>
        </w:tc>
        <w:tc>
          <w:tcPr>
            <w:tcW w:w="700" w:type="dxa"/>
            <w:vAlign w:val="bottom"/>
            <w:gridSpan w:val="2"/>
            <w:vMerge w:val="continue"/>
            <w:shd w:val="clear" w:color="auto" w:fill="E0FCF9"/>
          </w:tcPr>
          <w:p>
            <w:pPr>
              <w:spacing w:after="0"/>
              <w:rPr>
                <w:sz w:val="12"/>
                <w:szCs w:val="12"/>
                <w:color w:val="auto"/>
              </w:rPr>
            </w:pPr>
          </w:p>
        </w:tc>
        <w:tc>
          <w:tcPr>
            <w:tcW w:w="960" w:type="dxa"/>
            <w:vAlign w:val="bottom"/>
            <w:gridSpan w:val="2"/>
            <w:vMerge w:val="continue"/>
            <w:shd w:val="clear" w:color="auto" w:fill="E0FCF9"/>
          </w:tcPr>
          <w:p>
            <w:pPr>
              <w:spacing w:after="0"/>
              <w:rPr>
                <w:sz w:val="12"/>
                <w:szCs w:val="12"/>
                <w:color w:val="auto"/>
              </w:rPr>
            </w:pPr>
          </w:p>
        </w:tc>
        <w:tc>
          <w:tcPr>
            <w:tcW w:w="360" w:type="dxa"/>
            <w:vAlign w:val="bottom"/>
            <w:tcBorders>
              <w:right w:val="single" w:sz="8" w:color="E0FCF9"/>
            </w:tcBorders>
            <w:shd w:val="clear" w:color="auto" w:fill="E0FCF9"/>
          </w:tcPr>
          <w:p>
            <w:pPr>
              <w:spacing w:after="0"/>
              <w:rPr>
                <w:sz w:val="12"/>
                <w:szCs w:val="12"/>
                <w:color w:val="auto"/>
              </w:rPr>
            </w:pPr>
          </w:p>
        </w:tc>
        <w:tc>
          <w:tcPr>
            <w:tcW w:w="260" w:type="dxa"/>
            <w:vAlign w:val="bottom"/>
            <w:shd w:val="clear" w:color="auto" w:fill="E0FCF9"/>
          </w:tcPr>
          <w:p>
            <w:pPr>
              <w:spacing w:after="0"/>
              <w:rPr>
                <w:sz w:val="12"/>
                <w:szCs w:val="12"/>
                <w:color w:val="auto"/>
              </w:rPr>
            </w:pPr>
          </w:p>
        </w:tc>
        <w:tc>
          <w:tcPr>
            <w:tcW w:w="1160" w:type="dxa"/>
            <w:vAlign w:val="bottom"/>
            <w:gridSpan w:val="2"/>
            <w:shd w:val="clear" w:color="auto" w:fill="E0FCF9"/>
          </w:tcPr>
          <w:p>
            <w:pPr>
              <w:jc w:val="center"/>
              <w:ind w:right="280"/>
              <w:spacing w:after="0" w:line="149" w:lineRule="exact"/>
              <w:rPr>
                <w:sz w:val="20"/>
                <w:szCs w:val="20"/>
                <w:color w:val="auto"/>
              </w:rPr>
            </w:pPr>
            <w:r>
              <w:rPr>
                <w:rFonts w:ascii="Arial" w:cs="Arial" w:eastAsia="Arial" w:hAnsi="Arial"/>
                <w:sz w:val="14"/>
                <w:szCs w:val="14"/>
                <w:b w:val="1"/>
                <w:bCs w:val="1"/>
                <w:color w:val="0016FF"/>
                <w:w w:val="92"/>
              </w:rPr>
              <w:t>Stock or Units</w:t>
            </w:r>
          </w:p>
        </w:tc>
        <w:tc>
          <w:tcPr>
            <w:tcW w:w="760" w:type="dxa"/>
            <w:vAlign w:val="bottom"/>
            <w:gridSpan w:val="2"/>
            <w:shd w:val="clear" w:color="auto" w:fill="E0FCF9"/>
          </w:tcPr>
          <w:p>
            <w:pPr>
              <w:jc w:val="center"/>
              <w:ind w:right="40"/>
              <w:spacing w:after="0" w:line="149" w:lineRule="exact"/>
              <w:rPr>
                <w:sz w:val="20"/>
                <w:szCs w:val="20"/>
                <w:color w:val="auto"/>
              </w:rPr>
            </w:pPr>
            <w:r>
              <w:rPr>
                <w:rFonts w:ascii="Arial" w:cs="Arial" w:eastAsia="Arial" w:hAnsi="Arial"/>
                <w:sz w:val="14"/>
                <w:szCs w:val="14"/>
                <w:b w:val="1"/>
                <w:bCs w:val="1"/>
                <w:color w:val="0016FF"/>
                <w:w w:val="94"/>
              </w:rPr>
              <w:t>Awards(1)</w:t>
            </w: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shd w:val="clear" w:color="auto" w:fill="E0FCF9"/>
          </w:tcPr>
          <w:p>
            <w:pPr>
              <w:spacing w:after="0"/>
              <w:rPr>
                <w:sz w:val="15"/>
                <w:szCs w:val="15"/>
                <w:color w:val="auto"/>
              </w:rPr>
            </w:pPr>
          </w:p>
        </w:tc>
        <w:tc>
          <w:tcPr>
            <w:tcW w:w="880" w:type="dxa"/>
            <w:vAlign w:val="bottom"/>
            <w:tcBorders>
              <w:bottom w:val="single" w:sz="8" w:color="E0FCF9"/>
            </w:tcBorders>
            <w:gridSpan w:val="2"/>
            <w:shd w:val="clear" w:color="auto" w:fill="E0FCF9"/>
          </w:tcPr>
          <w:p>
            <w:pPr>
              <w:jc w:val="center"/>
              <w:ind w:left="188"/>
              <w:spacing w:after="0" w:line="158" w:lineRule="exact"/>
              <w:rPr>
                <w:sz w:val="20"/>
                <w:szCs w:val="20"/>
                <w:color w:val="auto"/>
              </w:rPr>
            </w:pPr>
            <w:r>
              <w:rPr>
                <w:rFonts w:ascii="Arial" w:cs="Arial" w:eastAsia="Arial" w:hAnsi="Arial"/>
                <w:sz w:val="14"/>
                <w:szCs w:val="14"/>
                <w:b w:val="1"/>
                <w:bCs w:val="1"/>
                <w:color w:val="0016FF"/>
              </w:rPr>
              <w:t>($)</w:t>
            </w:r>
          </w:p>
        </w:tc>
        <w:tc>
          <w:tcPr>
            <w:tcW w:w="320" w:type="dxa"/>
            <w:vAlign w:val="bottom"/>
            <w:tcBorders>
              <w:bottom w:val="single" w:sz="8" w:color="E0FCF9"/>
            </w:tcBorders>
            <w:shd w:val="clear" w:color="auto" w:fill="E0FCF9"/>
          </w:tcPr>
          <w:p>
            <w:pPr>
              <w:spacing w:after="0"/>
              <w:rPr>
                <w:sz w:val="15"/>
                <w:szCs w:val="15"/>
                <w:color w:val="auto"/>
              </w:rPr>
            </w:pPr>
          </w:p>
        </w:tc>
        <w:tc>
          <w:tcPr>
            <w:tcW w:w="400" w:type="dxa"/>
            <w:vAlign w:val="bottom"/>
            <w:tcBorders>
              <w:bottom w:val="single" w:sz="8" w:color="E0FCF9"/>
            </w:tcBorders>
            <w:shd w:val="clear" w:color="auto" w:fill="E0FCF9"/>
          </w:tcPr>
          <w:p>
            <w:pPr>
              <w:jc w:val="right"/>
              <w:ind w:right="49"/>
              <w:spacing w:after="0" w:line="158" w:lineRule="exact"/>
              <w:rPr>
                <w:sz w:val="20"/>
                <w:szCs w:val="20"/>
                <w:color w:val="auto"/>
              </w:rPr>
            </w:pPr>
            <w:r>
              <w:rPr>
                <w:rFonts w:ascii="Arial" w:cs="Arial" w:eastAsia="Arial" w:hAnsi="Arial"/>
                <w:sz w:val="14"/>
                <w:szCs w:val="14"/>
                <w:b w:val="1"/>
                <w:bCs w:val="1"/>
                <w:color w:val="0016FF"/>
              </w:rPr>
              <w:t>($)</w:t>
            </w:r>
          </w:p>
        </w:tc>
        <w:tc>
          <w:tcPr>
            <w:tcW w:w="300" w:type="dxa"/>
            <w:vAlign w:val="bottom"/>
            <w:tcBorders>
              <w:bottom w:val="single" w:sz="8" w:color="E0FCF9"/>
            </w:tcBorders>
            <w:shd w:val="clear" w:color="auto" w:fill="E0FCF9"/>
          </w:tcPr>
          <w:p>
            <w:pPr>
              <w:spacing w:after="0"/>
              <w:rPr>
                <w:sz w:val="15"/>
                <w:szCs w:val="15"/>
                <w:color w:val="auto"/>
              </w:rPr>
            </w:pPr>
          </w:p>
        </w:tc>
        <w:tc>
          <w:tcPr>
            <w:tcW w:w="660" w:type="dxa"/>
            <w:vAlign w:val="bottom"/>
            <w:tcBorders>
              <w:bottom w:val="single" w:sz="8" w:color="E0FCF9"/>
            </w:tcBorders>
            <w:shd w:val="clear" w:color="auto" w:fill="E0FCF9"/>
          </w:tcPr>
          <w:p>
            <w:pPr>
              <w:jc w:val="right"/>
              <w:ind w:right="169"/>
              <w:spacing w:after="0" w:line="158" w:lineRule="exact"/>
              <w:rPr>
                <w:sz w:val="20"/>
                <w:szCs w:val="20"/>
                <w:color w:val="auto"/>
              </w:rPr>
            </w:pPr>
            <w:r>
              <w:rPr>
                <w:rFonts w:ascii="Arial" w:cs="Arial" w:eastAsia="Arial" w:hAnsi="Arial"/>
                <w:sz w:val="14"/>
                <w:szCs w:val="14"/>
                <w:b w:val="1"/>
                <w:bCs w:val="1"/>
                <w:color w:val="0016FF"/>
              </w:rPr>
              <w:t>($)</w:t>
            </w:r>
          </w:p>
        </w:tc>
        <w:tc>
          <w:tcPr>
            <w:tcW w:w="300" w:type="dxa"/>
            <w:vAlign w:val="bottom"/>
            <w:tcBorders>
              <w:bottom w:val="single" w:sz="8" w:color="E0FCF9"/>
            </w:tcBorders>
            <w:shd w:val="clear" w:color="auto" w:fill="E0FCF9"/>
          </w:tcPr>
          <w:p>
            <w:pPr>
              <w:spacing w:after="0"/>
              <w:rPr>
                <w:sz w:val="15"/>
                <w:szCs w:val="15"/>
                <w:color w:val="auto"/>
              </w:rPr>
            </w:pPr>
          </w:p>
        </w:tc>
        <w:tc>
          <w:tcPr>
            <w:tcW w:w="640" w:type="dxa"/>
            <w:vAlign w:val="bottom"/>
            <w:tcBorders>
              <w:bottom w:val="single" w:sz="8" w:color="E0FCF9"/>
            </w:tcBorders>
            <w:shd w:val="clear" w:color="auto" w:fill="E0FCF9"/>
          </w:tcPr>
          <w:p>
            <w:pPr>
              <w:jc w:val="right"/>
              <w:ind w:right="169"/>
              <w:spacing w:after="0" w:line="158" w:lineRule="exact"/>
              <w:rPr>
                <w:sz w:val="20"/>
                <w:szCs w:val="20"/>
                <w:color w:val="auto"/>
              </w:rPr>
            </w:pPr>
            <w:r>
              <w:rPr>
                <w:rFonts w:ascii="Arial" w:cs="Arial" w:eastAsia="Arial" w:hAnsi="Arial"/>
                <w:sz w:val="14"/>
                <w:szCs w:val="14"/>
                <w:b w:val="1"/>
                <w:bCs w:val="1"/>
                <w:color w:val="0016FF"/>
              </w:rPr>
              <w:t>(#)</w:t>
            </w:r>
          </w:p>
        </w:tc>
        <w:tc>
          <w:tcPr>
            <w:tcW w:w="320" w:type="dxa"/>
            <w:vAlign w:val="bottom"/>
            <w:tcBorders>
              <w:bottom w:val="single" w:sz="8" w:color="E0FCF9"/>
            </w:tcBorders>
            <w:shd w:val="clear" w:color="auto" w:fill="E0FCF9"/>
          </w:tcPr>
          <w:p>
            <w:pPr>
              <w:spacing w:after="0"/>
              <w:rPr>
                <w:sz w:val="15"/>
                <w:szCs w:val="15"/>
                <w:color w:val="auto"/>
              </w:rPr>
            </w:pPr>
          </w:p>
        </w:tc>
        <w:tc>
          <w:tcPr>
            <w:tcW w:w="400" w:type="dxa"/>
            <w:vAlign w:val="bottom"/>
            <w:tcBorders>
              <w:bottom w:val="single" w:sz="8" w:color="E0FCF9"/>
            </w:tcBorders>
            <w:shd w:val="clear" w:color="auto" w:fill="E0FCF9"/>
          </w:tcPr>
          <w:p>
            <w:pPr>
              <w:ind w:left="120"/>
              <w:spacing w:after="0" w:line="158" w:lineRule="exact"/>
              <w:rPr>
                <w:sz w:val="20"/>
                <w:szCs w:val="20"/>
                <w:color w:val="auto"/>
              </w:rPr>
            </w:pPr>
            <w:r>
              <w:rPr>
                <w:rFonts w:ascii="Arial" w:cs="Arial" w:eastAsia="Arial" w:hAnsi="Arial"/>
                <w:sz w:val="14"/>
                <w:szCs w:val="14"/>
                <w:b w:val="1"/>
                <w:bCs w:val="1"/>
                <w:color w:val="0016FF"/>
              </w:rPr>
              <w:t>(#)</w:t>
            </w:r>
          </w:p>
        </w:tc>
        <w:tc>
          <w:tcPr>
            <w:tcW w:w="300" w:type="dxa"/>
            <w:vAlign w:val="bottom"/>
            <w:tcBorders>
              <w:bottom w:val="single" w:sz="8" w:color="E0FCF9"/>
            </w:tcBorders>
            <w:shd w:val="clear" w:color="auto" w:fill="E0FCF9"/>
          </w:tcPr>
          <w:p>
            <w:pPr>
              <w:spacing w:after="0"/>
              <w:rPr>
                <w:sz w:val="15"/>
                <w:szCs w:val="15"/>
                <w:color w:val="auto"/>
              </w:rPr>
            </w:pPr>
          </w:p>
        </w:tc>
        <w:tc>
          <w:tcPr>
            <w:tcW w:w="660" w:type="dxa"/>
            <w:vAlign w:val="bottom"/>
            <w:tcBorders>
              <w:bottom w:val="single" w:sz="8" w:color="E0FCF9"/>
            </w:tcBorders>
            <w:shd w:val="clear" w:color="auto" w:fill="E0FCF9"/>
          </w:tcPr>
          <w:p>
            <w:pPr>
              <w:jc w:val="right"/>
              <w:ind w:right="169"/>
              <w:spacing w:after="0" w:line="158" w:lineRule="exact"/>
              <w:rPr>
                <w:sz w:val="20"/>
                <w:szCs w:val="20"/>
                <w:color w:val="auto"/>
              </w:rPr>
            </w:pPr>
            <w:r>
              <w:rPr>
                <w:rFonts w:ascii="Arial" w:cs="Arial" w:eastAsia="Arial" w:hAnsi="Arial"/>
                <w:sz w:val="14"/>
                <w:szCs w:val="14"/>
                <w:b w:val="1"/>
                <w:bCs w:val="1"/>
                <w:color w:val="0016FF"/>
              </w:rPr>
              <w:t>(#)</w:t>
            </w:r>
          </w:p>
        </w:tc>
        <w:tc>
          <w:tcPr>
            <w:tcW w:w="300" w:type="dxa"/>
            <w:vAlign w:val="bottom"/>
            <w:tcBorders>
              <w:bottom w:val="single" w:sz="8" w:color="E0FCF9"/>
            </w:tcBorders>
            <w:shd w:val="clear" w:color="auto" w:fill="E0FCF9"/>
          </w:tcPr>
          <w:p>
            <w:pPr>
              <w:spacing w:after="0"/>
              <w:rPr>
                <w:sz w:val="15"/>
                <w:szCs w:val="15"/>
                <w:color w:val="auto"/>
              </w:rPr>
            </w:pPr>
          </w:p>
        </w:tc>
        <w:tc>
          <w:tcPr>
            <w:tcW w:w="360" w:type="dxa"/>
            <w:vAlign w:val="bottom"/>
            <w:tcBorders>
              <w:bottom w:val="single" w:sz="8" w:color="E0FCF9"/>
              <w:right w:val="single" w:sz="8" w:color="E0FCF9"/>
            </w:tcBorders>
            <w:shd w:val="clear" w:color="auto" w:fill="E0FCF9"/>
          </w:tcPr>
          <w:p>
            <w:pPr>
              <w:spacing w:after="0"/>
              <w:rPr>
                <w:sz w:val="15"/>
                <w:szCs w:val="15"/>
                <w:color w:val="auto"/>
              </w:rPr>
            </w:pPr>
          </w:p>
        </w:tc>
        <w:tc>
          <w:tcPr>
            <w:tcW w:w="1140" w:type="dxa"/>
            <w:vAlign w:val="bottom"/>
            <w:tcBorders>
              <w:bottom w:val="single" w:sz="8" w:color="E0FCF9"/>
            </w:tcBorders>
            <w:gridSpan w:val="2"/>
            <w:shd w:val="clear" w:color="auto" w:fill="E0FCF9"/>
          </w:tcPr>
          <w:p>
            <w:pPr>
              <w:jc w:val="center"/>
              <w:ind w:left="168"/>
              <w:spacing w:after="0" w:line="158" w:lineRule="exact"/>
              <w:rPr>
                <w:sz w:val="20"/>
                <w:szCs w:val="20"/>
                <w:color w:val="auto"/>
              </w:rPr>
            </w:pPr>
            <w:r>
              <w:rPr>
                <w:rFonts w:ascii="Arial" w:cs="Arial" w:eastAsia="Arial" w:hAnsi="Arial"/>
                <w:sz w:val="14"/>
                <w:szCs w:val="14"/>
                <w:b w:val="1"/>
                <w:bCs w:val="1"/>
                <w:color w:val="0016FF"/>
              </w:rPr>
              <w:t>(#)</w:t>
            </w:r>
          </w:p>
        </w:tc>
        <w:tc>
          <w:tcPr>
            <w:tcW w:w="280" w:type="dxa"/>
            <w:vAlign w:val="bottom"/>
            <w:tcBorders>
              <w:bottom w:val="single" w:sz="8" w:color="E0FCF9"/>
            </w:tcBorders>
            <w:shd w:val="clear" w:color="auto" w:fill="E0FCF9"/>
          </w:tcPr>
          <w:p>
            <w:pPr>
              <w:spacing w:after="0"/>
              <w:rPr>
                <w:sz w:val="15"/>
                <w:szCs w:val="15"/>
                <w:color w:val="auto"/>
              </w:rPr>
            </w:pPr>
          </w:p>
        </w:tc>
        <w:tc>
          <w:tcPr>
            <w:tcW w:w="720" w:type="dxa"/>
            <w:vAlign w:val="bottom"/>
            <w:tcBorders>
              <w:bottom w:val="single" w:sz="8" w:color="E0FCF9"/>
            </w:tcBorders>
            <w:shd w:val="clear" w:color="auto" w:fill="E0FCF9"/>
          </w:tcPr>
          <w:p>
            <w:pPr>
              <w:jc w:val="right"/>
              <w:ind w:right="209"/>
              <w:spacing w:after="0" w:line="158" w:lineRule="exact"/>
              <w:rPr>
                <w:sz w:val="20"/>
                <w:szCs w:val="20"/>
                <w:color w:val="auto"/>
              </w:rPr>
            </w:pPr>
            <w:r>
              <w:rPr>
                <w:rFonts w:ascii="Arial" w:cs="Arial" w:eastAsia="Arial" w:hAnsi="Arial"/>
                <w:sz w:val="14"/>
                <w:szCs w:val="14"/>
                <w:b w:val="1"/>
                <w:bCs w:val="1"/>
                <w:color w:val="0016FF"/>
              </w:rPr>
              <w:t>($)</w:t>
            </w:r>
          </w:p>
        </w:tc>
        <w:tc>
          <w:tcPr>
            <w:tcW w:w="40" w:type="dxa"/>
            <w:vAlign w:val="bottom"/>
            <w:tcBorders>
              <w:bottom w:val="single" w:sz="8" w:color="E0FCF9"/>
            </w:tcBorders>
            <w:shd w:val="clear" w:color="auto" w:fill="E0FCF9"/>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ind w:left="40"/>
              <w:spacing w:after="0" w:line="117" w:lineRule="exact"/>
              <w:rPr>
                <w:sz w:val="20"/>
                <w:szCs w:val="20"/>
                <w:color w:val="auto"/>
              </w:rPr>
            </w:pPr>
            <w:r>
              <w:rPr>
                <w:rFonts w:ascii="Arial" w:cs="Arial" w:eastAsia="Arial" w:hAnsi="Arial"/>
                <w:sz w:val="13"/>
                <w:szCs w:val="13"/>
                <w:color w:val="auto"/>
              </w:rPr>
              <w:t>Roger C. Altman</w:t>
            </w:r>
          </w:p>
        </w:tc>
        <w:tc>
          <w:tcPr>
            <w:tcW w:w="240" w:type="dxa"/>
            <w:vAlign w:val="bottom"/>
          </w:tcPr>
          <w:p>
            <w:pPr>
              <w:spacing w:after="0"/>
              <w:rPr>
                <w:sz w:val="10"/>
                <w:szCs w:val="10"/>
                <w:color w:val="auto"/>
              </w:rPr>
            </w:pPr>
          </w:p>
        </w:tc>
        <w:tc>
          <w:tcPr>
            <w:tcW w:w="6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2/12/2019</w:t>
            </w:r>
          </w:p>
        </w:tc>
        <w:tc>
          <w:tcPr>
            <w:tcW w:w="320" w:type="dxa"/>
            <w:vAlign w:val="bottom"/>
          </w:tcPr>
          <w:p>
            <w:pPr>
              <w:spacing w:after="0"/>
              <w:rPr>
                <w:sz w:val="10"/>
                <w:szCs w:val="10"/>
                <w:color w:val="auto"/>
              </w:rPr>
            </w:pPr>
          </w:p>
        </w:tc>
        <w:tc>
          <w:tcPr>
            <w:tcW w:w="4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0"/>
                <w:szCs w:val="10"/>
                <w:color w:val="auto"/>
              </w:rPr>
            </w:pPr>
          </w:p>
        </w:tc>
        <w:tc>
          <w:tcPr>
            <w:tcW w:w="6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0"/>
                <w:szCs w:val="10"/>
                <w:color w:val="auto"/>
              </w:rPr>
            </w:pPr>
          </w:p>
        </w:tc>
        <w:tc>
          <w:tcPr>
            <w:tcW w:w="6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4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0"/>
                <w:szCs w:val="10"/>
                <w:color w:val="auto"/>
              </w:rPr>
            </w:pPr>
          </w:p>
        </w:tc>
        <w:tc>
          <w:tcPr>
            <w:tcW w:w="6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0"/>
                <w:szCs w:val="10"/>
                <w:color w:val="auto"/>
              </w:rPr>
            </w:pPr>
          </w:p>
        </w:tc>
        <w:tc>
          <w:tcPr>
            <w:tcW w:w="360" w:type="dxa"/>
            <w:vAlign w:val="bottom"/>
            <w:tcBorders>
              <w:top w:val="single" w:sz="8" w:color="auto"/>
            </w:tcBorders>
          </w:tcPr>
          <w:p>
            <w:pPr>
              <w:ind w:left="160"/>
              <w:spacing w:after="0" w:line="117"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88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63,817</w:t>
            </w:r>
          </w:p>
        </w:tc>
        <w:tc>
          <w:tcPr>
            <w:tcW w:w="280" w:type="dxa"/>
            <w:vAlign w:val="bottom"/>
          </w:tcPr>
          <w:p>
            <w:pPr>
              <w:spacing w:after="0"/>
              <w:rPr>
                <w:sz w:val="10"/>
                <w:szCs w:val="10"/>
                <w:color w:val="auto"/>
              </w:rPr>
            </w:pPr>
          </w:p>
        </w:tc>
        <w:tc>
          <w:tcPr>
            <w:tcW w:w="7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5,835,107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Ralph L. Schlosstein</w:t>
            </w:r>
          </w:p>
        </w:tc>
        <w:tc>
          <w:tcPr>
            <w:tcW w:w="12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2/12/2019</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47,169</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4,312,898</w:t>
            </w:r>
          </w:p>
        </w:tc>
        <w:tc>
          <w:tcPr>
            <w:tcW w:w="0" w:type="dxa"/>
            <w:vAlign w:val="bottom"/>
          </w:tcPr>
          <w:p>
            <w:pPr>
              <w:spacing w:after="0"/>
              <w:rPr>
                <w:sz w:val="1"/>
                <w:szCs w:val="1"/>
                <w:color w:val="auto"/>
              </w:rPr>
            </w:pPr>
          </w:p>
        </w:tc>
      </w:tr>
      <w:tr>
        <w:trPr>
          <w:trHeight w:val="148"/>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John S. Weinberg</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2/12/2019</w:t>
            </w:r>
          </w:p>
        </w:tc>
        <w:tc>
          <w:tcPr>
            <w:tcW w:w="32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47,169</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4,312,898</w:t>
            </w:r>
          </w:p>
        </w:tc>
        <w:tc>
          <w:tcPr>
            <w:tcW w:w="0" w:type="dxa"/>
            <w:vAlign w:val="bottom"/>
          </w:tcPr>
          <w:p>
            <w:pPr>
              <w:spacing w:after="0"/>
              <w:rPr>
                <w:sz w:val="1"/>
                <w:szCs w:val="1"/>
                <w:color w:val="auto"/>
              </w:rPr>
            </w:pPr>
          </w:p>
        </w:tc>
      </w:tr>
      <w:tr>
        <w:trPr>
          <w:trHeight w:val="148"/>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Robert B. Walsh</w:t>
            </w:r>
          </w:p>
        </w:tc>
        <w:tc>
          <w:tcPr>
            <w:tcW w:w="12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2/12/2019</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19,423</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1,775,942</w:t>
            </w:r>
          </w:p>
        </w:tc>
        <w:tc>
          <w:tcPr>
            <w:tcW w:w="0" w:type="dxa"/>
            <w:vAlign w:val="bottom"/>
          </w:tcPr>
          <w:p>
            <w:pPr>
              <w:spacing w:after="0"/>
              <w:rPr>
                <w:sz w:val="1"/>
                <w:szCs w:val="1"/>
                <w:color w:val="auto"/>
              </w:rPr>
            </w:pPr>
          </w:p>
        </w:tc>
      </w:tr>
      <w:tr>
        <w:trPr>
          <w:trHeight w:val="182"/>
        </w:trPr>
        <w:tc>
          <w:tcPr>
            <w:tcW w:w="2880" w:type="dxa"/>
            <w:vAlign w:val="bottom"/>
          </w:tcPr>
          <w:p>
            <w:pPr>
              <w:ind w:left="20"/>
              <w:spacing w:after="0"/>
              <w:rPr>
                <w:sz w:val="20"/>
                <w:szCs w:val="20"/>
                <w:color w:val="auto"/>
              </w:rPr>
            </w:pPr>
            <w:r>
              <w:rPr>
                <w:rFonts w:ascii="Arial" w:cs="Arial" w:eastAsia="Arial" w:hAnsi="Arial"/>
                <w:sz w:val="14"/>
                <w:szCs w:val="14"/>
                <w:color w:val="auto"/>
              </w:rPr>
              <w:t>Andrew Sibbald</w:t>
            </w:r>
          </w:p>
        </w:tc>
        <w:tc>
          <w:tcPr>
            <w:tcW w:w="1200" w:type="dxa"/>
            <w:vAlign w:val="bottom"/>
            <w:gridSpan w:val="3"/>
          </w:tcPr>
          <w:p>
            <w:pPr>
              <w:jc w:val="right"/>
              <w:ind w:right="320"/>
              <w:spacing w:after="0"/>
              <w:rPr>
                <w:sz w:val="20"/>
                <w:szCs w:val="20"/>
                <w:color w:val="auto"/>
              </w:rPr>
            </w:pPr>
            <w:r>
              <w:rPr>
                <w:rFonts w:ascii="Arial" w:cs="Arial" w:eastAsia="Arial" w:hAnsi="Arial"/>
                <w:sz w:val="14"/>
                <w:szCs w:val="14"/>
                <w:color w:val="auto"/>
              </w:rPr>
              <w:t>2/12/2019</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color w:val="auto"/>
              </w:rPr>
              <w:t>21,488</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1,964,755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76200</wp:posOffset>
            </wp:positionV>
            <wp:extent cx="13284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2" w:lineRule="exact"/>
        <w:rPr>
          <w:sz w:val="20"/>
          <w:szCs w:val="20"/>
          <w:color w:val="auto"/>
        </w:rPr>
      </w:pPr>
    </w:p>
    <w:p>
      <w:pPr>
        <w:ind w:left="660" w:hanging="436"/>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grant date fair value of the awards, as computed in accordance with FASB ASC Topic 718.</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540" w:type="dxa"/>
            <w:vAlign w:val="bottom"/>
            <w:shd w:val="clear" w:color="auto" w:fill="E0FCF9"/>
          </w:tcPr>
          <w:p>
            <w:pPr>
              <w:spacing w:after="0"/>
              <w:rPr>
                <w:sz w:val="18"/>
                <w:szCs w:val="18"/>
                <w:color w:val="auto"/>
              </w:rPr>
            </w:pPr>
          </w:p>
        </w:tc>
        <w:tc>
          <w:tcPr>
            <w:tcW w:w="1140" w:type="dxa"/>
            <w:vAlign w:val="bottom"/>
            <w:shd w:val="clear" w:color="auto" w:fill="E0FCF9"/>
          </w:tcPr>
          <w:p>
            <w:pPr>
              <w:spacing w:after="0"/>
              <w:rPr>
                <w:sz w:val="18"/>
                <w:szCs w:val="18"/>
                <w:color w:val="auto"/>
              </w:rPr>
            </w:pPr>
          </w:p>
        </w:tc>
        <w:tc>
          <w:tcPr>
            <w:tcW w:w="4220" w:type="dxa"/>
            <w:vAlign w:val="bottom"/>
            <w:gridSpan w:val="5"/>
            <w:shd w:val="clear" w:color="auto" w:fill="E0FCF9"/>
          </w:tcPr>
          <w:p>
            <w:pPr>
              <w:ind w:left="1280"/>
              <w:spacing w:after="0"/>
              <w:rPr>
                <w:sz w:val="20"/>
                <w:szCs w:val="20"/>
                <w:color w:val="auto"/>
              </w:rPr>
            </w:pPr>
            <w:r>
              <w:rPr>
                <w:rFonts w:ascii="Arial" w:cs="Arial" w:eastAsia="Arial" w:hAnsi="Arial"/>
                <w:sz w:val="18"/>
                <w:szCs w:val="18"/>
                <w:b w:val="1"/>
                <w:bCs w:val="1"/>
                <w:color w:val="0016FF"/>
              </w:rPr>
              <w:t>Stock Awards</w:t>
            </w:r>
          </w:p>
        </w:tc>
        <w:tc>
          <w:tcPr>
            <w:tcW w:w="0" w:type="dxa"/>
            <w:vAlign w:val="bottom"/>
          </w:tcPr>
          <w:p>
            <w:pPr>
              <w:spacing w:after="0"/>
              <w:rPr>
                <w:sz w:val="1"/>
                <w:szCs w:val="1"/>
                <w:color w:val="auto"/>
              </w:rPr>
            </w:pPr>
          </w:p>
        </w:tc>
      </w:tr>
      <w:tr>
        <w:trPr>
          <w:trHeight w:val="119"/>
        </w:trPr>
        <w:tc>
          <w:tcPr>
            <w:tcW w:w="5540" w:type="dxa"/>
            <w:vAlign w:val="bottom"/>
            <w:tcBorders>
              <w:top w:val="single" w:sz="8" w:color="E0FCF9"/>
            </w:tcBorders>
            <w:shd w:val="clear" w:color="auto" w:fill="E0FCF9"/>
          </w:tcPr>
          <w:p>
            <w:pPr>
              <w:spacing w:after="0"/>
              <w:rPr>
                <w:sz w:val="10"/>
                <w:szCs w:val="10"/>
                <w:color w:val="auto"/>
              </w:rPr>
            </w:pPr>
          </w:p>
        </w:tc>
        <w:tc>
          <w:tcPr>
            <w:tcW w:w="1140" w:type="dxa"/>
            <w:vAlign w:val="bottom"/>
            <w:tcBorders>
              <w:top w:val="single" w:sz="8" w:color="E0FCF9"/>
            </w:tcBorders>
            <w:shd w:val="clear" w:color="auto" w:fill="E0FCF9"/>
          </w:tcPr>
          <w:p>
            <w:pPr>
              <w:spacing w:after="0"/>
              <w:rPr>
                <w:sz w:val="10"/>
                <w:szCs w:val="10"/>
                <w:color w:val="auto"/>
              </w:rPr>
            </w:pPr>
          </w:p>
        </w:tc>
        <w:tc>
          <w:tcPr>
            <w:tcW w:w="2180" w:type="dxa"/>
            <w:vAlign w:val="bottom"/>
            <w:tcBorders>
              <w:top w:val="single" w:sz="8" w:color="auto"/>
            </w:tcBorders>
            <w:gridSpan w:val="3"/>
            <w:shd w:val="clear" w:color="auto" w:fill="E0FCF9"/>
          </w:tcPr>
          <w:p>
            <w:pPr>
              <w:jc w:val="right"/>
              <w:ind w:right="620"/>
              <w:spacing w:after="0" w:line="119" w:lineRule="exact"/>
              <w:rPr>
                <w:sz w:val="20"/>
                <w:szCs w:val="20"/>
                <w:color w:val="auto"/>
              </w:rPr>
            </w:pPr>
            <w:r>
              <w:rPr>
                <w:rFonts w:ascii="Arial" w:cs="Arial" w:eastAsia="Arial" w:hAnsi="Arial"/>
                <w:sz w:val="13"/>
                <w:szCs w:val="13"/>
                <w:b w:val="1"/>
                <w:bCs w:val="1"/>
                <w:color w:val="0016FF"/>
              </w:rPr>
              <w:t>Number of Shares or</w:t>
            </w:r>
          </w:p>
        </w:tc>
        <w:tc>
          <w:tcPr>
            <w:tcW w:w="1460" w:type="dxa"/>
            <w:vAlign w:val="bottom"/>
            <w:tcBorders>
              <w:top w:val="single" w:sz="8" w:color="auto"/>
            </w:tcBorders>
            <w:shd w:val="clear" w:color="auto" w:fill="E0FCF9"/>
          </w:tcPr>
          <w:p>
            <w:pPr>
              <w:jc w:val="right"/>
              <w:spacing w:after="0" w:line="119" w:lineRule="exact"/>
              <w:rPr>
                <w:sz w:val="20"/>
                <w:szCs w:val="20"/>
                <w:color w:val="auto"/>
              </w:rPr>
            </w:pPr>
            <w:r>
              <w:rPr>
                <w:rFonts w:ascii="Arial" w:cs="Arial" w:eastAsia="Arial" w:hAnsi="Arial"/>
                <w:sz w:val="13"/>
                <w:szCs w:val="13"/>
                <w:b w:val="1"/>
                <w:bCs w:val="1"/>
                <w:color w:val="0016FF"/>
              </w:rPr>
              <w:t>Market Value of Shares</w:t>
            </w:r>
          </w:p>
        </w:tc>
        <w:tc>
          <w:tcPr>
            <w:tcW w:w="580" w:type="dxa"/>
            <w:vAlign w:val="bottom"/>
            <w:tcBorders>
              <w:top w:val="single" w:sz="8" w:color="E0FCF9"/>
            </w:tcBorders>
            <w:shd w:val="clear" w:color="auto" w:fill="E0FCF9"/>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shd w:val="clear" w:color="auto" w:fill="E0FCF9"/>
          </w:tcPr>
          <w:p>
            <w:pPr>
              <w:ind w:left="2540"/>
              <w:spacing w:after="0"/>
              <w:rPr>
                <w:sz w:val="20"/>
                <w:szCs w:val="20"/>
                <w:color w:val="auto"/>
              </w:rPr>
            </w:pPr>
            <w:r>
              <w:rPr>
                <w:rFonts w:ascii="Arial" w:cs="Arial" w:eastAsia="Arial" w:hAnsi="Arial"/>
                <w:sz w:val="18"/>
                <w:szCs w:val="18"/>
                <w:b w:val="1"/>
                <w:bCs w:val="1"/>
                <w:color w:val="0016FF"/>
              </w:rPr>
              <w:t>Name</w:t>
            </w:r>
          </w:p>
        </w:tc>
        <w:tc>
          <w:tcPr>
            <w:tcW w:w="1140" w:type="dxa"/>
            <w:vAlign w:val="bottom"/>
            <w:shd w:val="clear" w:color="auto" w:fill="E0FCF9"/>
          </w:tcPr>
          <w:p>
            <w:pPr>
              <w:spacing w:after="0"/>
              <w:rPr>
                <w:sz w:val="12"/>
                <w:szCs w:val="12"/>
                <w:color w:val="auto"/>
              </w:rPr>
            </w:pPr>
          </w:p>
        </w:tc>
        <w:tc>
          <w:tcPr>
            <w:tcW w:w="2180" w:type="dxa"/>
            <w:vAlign w:val="bottom"/>
            <w:gridSpan w:val="3"/>
            <w:shd w:val="clear" w:color="auto" w:fill="E0FCF9"/>
          </w:tcPr>
          <w:p>
            <w:pPr>
              <w:jc w:val="right"/>
              <w:ind w:right="620"/>
              <w:spacing w:after="0" w:line="149" w:lineRule="exact"/>
              <w:rPr>
                <w:sz w:val="20"/>
                <w:szCs w:val="20"/>
                <w:color w:val="auto"/>
              </w:rPr>
            </w:pPr>
            <w:r>
              <w:rPr>
                <w:rFonts w:ascii="Arial" w:cs="Arial" w:eastAsia="Arial" w:hAnsi="Arial"/>
                <w:sz w:val="14"/>
                <w:szCs w:val="14"/>
                <w:b w:val="1"/>
                <w:bCs w:val="1"/>
                <w:color w:val="0016FF"/>
                <w:w w:val="93"/>
              </w:rPr>
              <w:t>Units of Stock That Have</w:t>
            </w:r>
          </w:p>
        </w:tc>
        <w:tc>
          <w:tcPr>
            <w:tcW w:w="2040" w:type="dxa"/>
            <w:vAlign w:val="bottom"/>
            <w:gridSpan w:val="2"/>
            <w:shd w:val="clear" w:color="auto" w:fill="E0FCF9"/>
          </w:tcPr>
          <w:p>
            <w:pPr>
              <w:jc w:val="right"/>
              <w:ind w:right="580"/>
              <w:spacing w:after="0" w:line="149" w:lineRule="exact"/>
              <w:rPr>
                <w:sz w:val="20"/>
                <w:szCs w:val="20"/>
                <w:color w:val="auto"/>
              </w:rPr>
            </w:pPr>
            <w:r>
              <w:rPr>
                <w:rFonts w:ascii="Arial" w:cs="Arial" w:eastAsia="Arial" w:hAnsi="Arial"/>
                <w:sz w:val="14"/>
                <w:szCs w:val="14"/>
                <w:b w:val="1"/>
                <w:bCs w:val="1"/>
                <w:color w:val="0016FF"/>
                <w:w w:val="98"/>
              </w:rPr>
              <w:t>or Units of Stock That</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shd w:val="clear" w:color="auto" w:fill="E0FCF9"/>
          </w:tcPr>
          <w:p>
            <w:pPr>
              <w:spacing w:after="0"/>
              <w:rPr>
                <w:sz w:val="14"/>
                <w:szCs w:val="14"/>
                <w:color w:val="auto"/>
              </w:rPr>
            </w:pPr>
          </w:p>
        </w:tc>
        <w:tc>
          <w:tcPr>
            <w:tcW w:w="1140" w:type="dxa"/>
            <w:vAlign w:val="bottom"/>
            <w:shd w:val="clear" w:color="auto" w:fill="E0FCF9"/>
          </w:tcPr>
          <w:p>
            <w:pPr>
              <w:spacing w:after="0"/>
              <w:rPr>
                <w:sz w:val="14"/>
                <w:szCs w:val="14"/>
                <w:color w:val="auto"/>
              </w:rPr>
            </w:pPr>
          </w:p>
        </w:tc>
        <w:tc>
          <w:tcPr>
            <w:tcW w:w="1560" w:type="dxa"/>
            <w:vAlign w:val="bottom"/>
            <w:tcBorders>
              <w:bottom w:val="single" w:sz="8" w:color="auto"/>
            </w:tcBorders>
            <w:gridSpan w:val="2"/>
            <w:shd w:val="clear" w:color="auto" w:fill="E0FCF9"/>
          </w:tcPr>
          <w:p>
            <w:pPr>
              <w:jc w:val="right"/>
              <w:spacing w:after="0"/>
              <w:rPr>
                <w:sz w:val="20"/>
                <w:szCs w:val="20"/>
                <w:color w:val="auto"/>
              </w:rPr>
            </w:pPr>
            <w:r>
              <w:rPr>
                <w:rFonts w:ascii="Arial" w:cs="Arial" w:eastAsia="Arial" w:hAnsi="Arial"/>
                <w:sz w:val="14"/>
                <w:szCs w:val="14"/>
                <w:b w:val="1"/>
                <w:bCs w:val="1"/>
                <w:color w:val="0016FF"/>
              </w:rPr>
              <w:t>Not Vested(1) (#)</w:t>
            </w:r>
          </w:p>
        </w:tc>
        <w:tc>
          <w:tcPr>
            <w:tcW w:w="620" w:type="dxa"/>
            <w:vAlign w:val="bottom"/>
            <w:shd w:val="clear" w:color="auto" w:fill="E0FCF9"/>
          </w:tcPr>
          <w:p>
            <w:pPr>
              <w:spacing w:after="0"/>
              <w:rPr>
                <w:sz w:val="14"/>
                <w:szCs w:val="14"/>
                <w:color w:val="auto"/>
              </w:rPr>
            </w:pPr>
          </w:p>
        </w:tc>
        <w:tc>
          <w:tcPr>
            <w:tcW w:w="1460" w:type="dxa"/>
            <w:vAlign w:val="bottom"/>
            <w:tcBorders>
              <w:bottom w:val="single" w:sz="8" w:color="auto"/>
            </w:tcBorders>
            <w:shd w:val="clear" w:color="auto" w:fill="E0FCF9"/>
          </w:tcPr>
          <w:p>
            <w:pPr>
              <w:jc w:val="right"/>
              <w:spacing w:after="0"/>
              <w:rPr>
                <w:sz w:val="20"/>
                <w:szCs w:val="20"/>
                <w:color w:val="auto"/>
              </w:rPr>
            </w:pPr>
            <w:r>
              <w:rPr>
                <w:rFonts w:ascii="Arial" w:cs="Arial" w:eastAsia="Arial" w:hAnsi="Arial"/>
                <w:sz w:val="14"/>
                <w:szCs w:val="14"/>
                <w:b w:val="1"/>
                <w:bCs w:val="1"/>
                <w:color w:val="0016FF"/>
                <w:w w:val="96"/>
              </w:rPr>
              <w:t>Have Not Vested(7) ($)</w:t>
            </w:r>
          </w:p>
        </w:tc>
        <w:tc>
          <w:tcPr>
            <w:tcW w:w="58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40" w:type="dxa"/>
            <w:vAlign w:val="bottom"/>
          </w:tcPr>
          <w:p>
            <w:pPr>
              <w:ind w:left="40"/>
              <w:spacing w:after="0" w:line="195" w:lineRule="exact"/>
              <w:rPr>
                <w:sz w:val="20"/>
                <w:szCs w:val="20"/>
                <w:color w:val="auto"/>
              </w:rPr>
            </w:pPr>
            <w:r>
              <w:rPr>
                <w:rFonts w:ascii="Arial" w:cs="Arial" w:eastAsia="Arial" w:hAnsi="Arial"/>
                <w:sz w:val="18"/>
                <w:szCs w:val="18"/>
                <w:color w:val="auto"/>
              </w:rPr>
              <w:t>Roger C. Altman</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129,028</w:t>
            </w:r>
          </w:p>
        </w:tc>
        <w:tc>
          <w:tcPr>
            <w:tcW w:w="840" w:type="dxa"/>
            <w:vAlign w:val="bottom"/>
            <w:gridSpan w:val="2"/>
          </w:tcPr>
          <w:p>
            <w:pPr>
              <w:jc w:val="right"/>
              <w:ind w:right="620"/>
              <w:spacing w:after="0"/>
              <w:rPr>
                <w:sz w:val="20"/>
                <w:szCs w:val="20"/>
                <w:color w:val="auto"/>
              </w:rPr>
            </w:pPr>
            <w:r>
              <w:rPr>
                <w:rFonts w:ascii="Arial" w:cs="Arial" w:eastAsia="Arial" w:hAnsi="Arial"/>
                <w:sz w:val="16"/>
                <w:szCs w:val="16"/>
                <w:color w:val="auto"/>
              </w:rPr>
              <w:t>(2)</w:t>
            </w:r>
          </w:p>
        </w:tc>
        <w:tc>
          <w:tcPr>
            <w:tcW w:w="1460" w:type="dxa"/>
            <w:vAlign w:val="bottom"/>
          </w:tcPr>
          <w:p>
            <w:pPr>
              <w:jc w:val="right"/>
              <w:spacing w:after="0"/>
              <w:rPr>
                <w:sz w:val="20"/>
                <w:szCs w:val="20"/>
                <w:color w:val="auto"/>
              </w:rPr>
            </w:pPr>
            <w:r>
              <w:rPr>
                <w:rFonts w:ascii="Arial" w:cs="Arial" w:eastAsia="Arial" w:hAnsi="Arial"/>
                <w:sz w:val="16"/>
                <w:szCs w:val="16"/>
                <w:color w:val="auto"/>
              </w:rPr>
              <w:t>9,646,133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0"/>
              <w:spacing w:after="0"/>
              <w:rPr>
                <w:sz w:val="20"/>
                <w:szCs w:val="20"/>
                <w:color w:val="auto"/>
              </w:rPr>
            </w:pPr>
            <w:r>
              <w:rPr>
                <w:rFonts w:ascii="Arial" w:cs="Arial" w:eastAsia="Arial" w:hAnsi="Arial"/>
                <w:sz w:val="18"/>
                <w:szCs w:val="18"/>
                <w:color w:val="auto"/>
              </w:rPr>
              <w:t>Ralph Schlosstein</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107,162</w:t>
            </w:r>
          </w:p>
        </w:tc>
        <w:tc>
          <w:tcPr>
            <w:tcW w:w="840" w:type="dxa"/>
            <w:vAlign w:val="bottom"/>
            <w:gridSpan w:val="2"/>
          </w:tcPr>
          <w:p>
            <w:pPr>
              <w:jc w:val="right"/>
              <w:ind w:right="620"/>
              <w:spacing w:after="0"/>
              <w:rPr>
                <w:sz w:val="20"/>
                <w:szCs w:val="20"/>
                <w:color w:val="auto"/>
              </w:rPr>
            </w:pPr>
            <w:r>
              <w:rPr>
                <w:rFonts w:ascii="Arial" w:cs="Arial" w:eastAsia="Arial" w:hAnsi="Arial"/>
                <w:sz w:val="16"/>
                <w:szCs w:val="16"/>
                <w:color w:val="auto"/>
              </w:rPr>
              <w:t>(3)</w:t>
            </w:r>
          </w:p>
        </w:tc>
        <w:tc>
          <w:tcPr>
            <w:tcW w:w="2040" w:type="dxa"/>
            <w:vAlign w:val="bottom"/>
            <w:gridSpan w:val="2"/>
          </w:tcPr>
          <w:p>
            <w:pPr>
              <w:jc w:val="right"/>
              <w:ind w:right="580"/>
              <w:spacing w:after="0"/>
              <w:rPr>
                <w:sz w:val="20"/>
                <w:szCs w:val="20"/>
                <w:color w:val="auto"/>
              </w:rPr>
            </w:pPr>
            <w:r>
              <w:rPr>
                <w:rFonts w:ascii="Arial" w:cs="Arial" w:eastAsia="Arial" w:hAnsi="Arial"/>
                <w:sz w:val="16"/>
                <w:szCs w:val="16"/>
                <w:color w:val="auto"/>
              </w:rPr>
              <w:t>8,011,431</w:t>
            </w:r>
          </w:p>
        </w:tc>
        <w:tc>
          <w:tcPr>
            <w:tcW w:w="0" w:type="dxa"/>
            <w:vAlign w:val="bottom"/>
          </w:tcPr>
          <w:p>
            <w:pPr>
              <w:spacing w:after="0"/>
              <w:rPr>
                <w:sz w:val="1"/>
                <w:szCs w:val="1"/>
                <w:color w:val="auto"/>
              </w:rPr>
            </w:pPr>
          </w:p>
        </w:tc>
      </w:tr>
      <w:tr>
        <w:trPr>
          <w:trHeight w:val="216"/>
        </w:trPr>
        <w:tc>
          <w:tcPr>
            <w:tcW w:w="5540" w:type="dxa"/>
            <w:vAlign w:val="bottom"/>
          </w:tcPr>
          <w:p>
            <w:pPr>
              <w:ind w:left="40"/>
              <w:spacing w:after="0"/>
              <w:rPr>
                <w:sz w:val="20"/>
                <w:szCs w:val="20"/>
                <w:color w:val="auto"/>
              </w:rPr>
            </w:pPr>
            <w:r>
              <w:rPr>
                <w:rFonts w:ascii="Arial" w:cs="Arial" w:eastAsia="Arial" w:hAnsi="Arial"/>
                <w:sz w:val="18"/>
                <w:szCs w:val="18"/>
                <w:color w:val="auto"/>
              </w:rPr>
              <w:t>John S. Weinberg</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958,615</w:t>
            </w:r>
          </w:p>
        </w:tc>
        <w:tc>
          <w:tcPr>
            <w:tcW w:w="840" w:type="dxa"/>
            <w:vAlign w:val="bottom"/>
            <w:gridSpan w:val="2"/>
          </w:tcPr>
          <w:p>
            <w:pPr>
              <w:jc w:val="right"/>
              <w:ind w:right="620"/>
              <w:spacing w:after="0"/>
              <w:rPr>
                <w:sz w:val="20"/>
                <w:szCs w:val="20"/>
                <w:color w:val="auto"/>
              </w:rPr>
            </w:pPr>
            <w:r>
              <w:rPr>
                <w:rFonts w:ascii="Arial" w:cs="Arial" w:eastAsia="Arial" w:hAnsi="Arial"/>
                <w:sz w:val="16"/>
                <w:szCs w:val="16"/>
                <w:color w:val="auto"/>
              </w:rPr>
              <w:t>(4)</w:t>
            </w:r>
          </w:p>
        </w:tc>
        <w:tc>
          <w:tcPr>
            <w:tcW w:w="1460" w:type="dxa"/>
            <w:vAlign w:val="bottom"/>
          </w:tcPr>
          <w:p>
            <w:pPr>
              <w:jc w:val="right"/>
              <w:spacing w:after="0"/>
              <w:rPr>
                <w:sz w:val="20"/>
                <w:szCs w:val="20"/>
                <w:color w:val="auto"/>
              </w:rPr>
            </w:pPr>
            <w:r>
              <w:rPr>
                <w:rFonts w:ascii="Arial" w:cs="Arial" w:eastAsia="Arial" w:hAnsi="Arial"/>
                <w:sz w:val="16"/>
                <w:szCs w:val="16"/>
                <w:color w:val="auto"/>
              </w:rPr>
              <w:t>71,666,057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0"/>
              <w:spacing w:after="0"/>
              <w:rPr>
                <w:sz w:val="20"/>
                <w:szCs w:val="20"/>
                <w:color w:val="auto"/>
              </w:rPr>
            </w:pPr>
            <w:r>
              <w:rPr>
                <w:rFonts w:ascii="Arial" w:cs="Arial" w:eastAsia="Arial" w:hAnsi="Arial"/>
                <w:sz w:val="18"/>
                <w:szCs w:val="18"/>
                <w:color w:val="auto"/>
              </w:rPr>
              <w:t>Robert B. Walsh</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41,046</w:t>
            </w:r>
          </w:p>
        </w:tc>
        <w:tc>
          <w:tcPr>
            <w:tcW w:w="840" w:type="dxa"/>
            <w:vAlign w:val="bottom"/>
            <w:gridSpan w:val="2"/>
          </w:tcPr>
          <w:p>
            <w:pPr>
              <w:jc w:val="right"/>
              <w:ind w:right="620"/>
              <w:spacing w:after="0"/>
              <w:rPr>
                <w:sz w:val="20"/>
                <w:szCs w:val="20"/>
                <w:color w:val="auto"/>
              </w:rPr>
            </w:pPr>
            <w:r>
              <w:rPr>
                <w:rFonts w:ascii="Arial" w:cs="Arial" w:eastAsia="Arial" w:hAnsi="Arial"/>
                <w:sz w:val="16"/>
                <w:szCs w:val="16"/>
                <w:color w:val="auto"/>
              </w:rPr>
              <w:t>(5)</w:t>
            </w:r>
          </w:p>
        </w:tc>
        <w:tc>
          <w:tcPr>
            <w:tcW w:w="1460" w:type="dxa"/>
            <w:vAlign w:val="bottom"/>
          </w:tcPr>
          <w:p>
            <w:pPr>
              <w:jc w:val="right"/>
              <w:spacing w:after="0"/>
              <w:rPr>
                <w:sz w:val="20"/>
                <w:szCs w:val="20"/>
                <w:color w:val="auto"/>
              </w:rPr>
            </w:pPr>
            <w:r>
              <w:rPr>
                <w:rFonts w:ascii="Arial" w:cs="Arial" w:eastAsia="Arial" w:hAnsi="Arial"/>
                <w:sz w:val="16"/>
                <w:szCs w:val="16"/>
                <w:color w:val="auto"/>
              </w:rPr>
              <w:t>3,068,599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Andrew Sibbald</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71,212</w:t>
            </w:r>
          </w:p>
        </w:tc>
        <w:tc>
          <w:tcPr>
            <w:tcW w:w="840" w:type="dxa"/>
            <w:vAlign w:val="bottom"/>
            <w:gridSpan w:val="2"/>
          </w:tcPr>
          <w:p>
            <w:pPr>
              <w:jc w:val="right"/>
              <w:ind w:right="620"/>
              <w:spacing w:after="0"/>
              <w:rPr>
                <w:sz w:val="20"/>
                <w:szCs w:val="20"/>
                <w:color w:val="auto"/>
              </w:rPr>
            </w:pPr>
            <w:r>
              <w:rPr>
                <w:rFonts w:ascii="Arial" w:cs="Arial" w:eastAsia="Arial" w:hAnsi="Arial"/>
                <w:sz w:val="16"/>
                <w:szCs w:val="16"/>
                <w:color w:val="auto"/>
              </w:rPr>
              <w:t>(6)</w:t>
            </w:r>
          </w:p>
        </w:tc>
        <w:tc>
          <w:tcPr>
            <w:tcW w:w="1460" w:type="dxa"/>
            <w:vAlign w:val="bottom"/>
          </w:tcPr>
          <w:p>
            <w:pPr>
              <w:jc w:val="right"/>
              <w:spacing w:after="0"/>
              <w:rPr>
                <w:sz w:val="20"/>
                <w:szCs w:val="20"/>
                <w:color w:val="auto"/>
              </w:rPr>
            </w:pPr>
            <w:r>
              <w:rPr>
                <w:rFonts w:ascii="Arial" w:cs="Arial" w:eastAsia="Arial" w:hAnsi="Arial"/>
                <w:sz w:val="16"/>
                <w:szCs w:val="16"/>
                <w:color w:val="auto"/>
              </w:rPr>
              <w:t>5,323,809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13284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33" w:lineRule="exact"/>
        <w:rPr>
          <w:sz w:val="20"/>
          <w:szCs w:val="20"/>
          <w:color w:val="auto"/>
        </w:rPr>
      </w:pPr>
    </w:p>
    <w:p>
      <w:pPr>
        <w:ind w:left="660" w:right="260" w:hanging="436"/>
        <w:spacing w:after="0" w:line="258"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All RSUs are subject to accelerated vesting upon a change in control, qualifying retirement, the executive’s death or the executive’s disability. See “</w:t>
      </w:r>
      <w:r>
        <w:rPr>
          <w:rFonts w:ascii="Arial" w:cs="Arial" w:eastAsia="Arial" w:hAnsi="Arial"/>
          <w:sz w:val="14"/>
          <w:szCs w:val="14"/>
          <w:b w:val="1"/>
          <w:bCs w:val="1"/>
          <w:color w:val="auto"/>
        </w:rPr>
        <w:t>—Employment Agreements</w:t>
      </w:r>
      <w:r>
        <w:rPr>
          <w:rFonts w:ascii="Arial" w:cs="Arial" w:eastAsia="Arial" w:hAnsi="Arial"/>
          <w:sz w:val="14"/>
          <w:szCs w:val="14"/>
          <w:color w:val="auto"/>
        </w:rPr>
        <w:t xml:space="preserve"> </w:t>
      </w:r>
      <w:r>
        <w:rPr>
          <w:rFonts w:ascii="Arial" w:cs="Arial" w:eastAsia="Arial" w:hAnsi="Arial"/>
          <w:sz w:val="14"/>
          <w:szCs w:val="14"/>
          <w:b w:val="1"/>
          <w:bCs w:val="1"/>
          <w:color w:val="auto"/>
        </w:rPr>
        <w:t>and Awards—Evercore Annual Equity Awards</w:t>
      </w:r>
      <w:r>
        <w:rPr>
          <w:rFonts w:ascii="Arial" w:cs="Arial" w:eastAsia="Arial" w:hAnsi="Arial"/>
          <w:sz w:val="14"/>
          <w:szCs w:val="14"/>
          <w:color w:val="auto"/>
        </w:rPr>
        <w:t>” below for a further discussion on the terms of the RSUs.</w:t>
      </w:r>
    </w:p>
    <w:p>
      <w:pPr>
        <w:spacing w:after="0" w:line="76" w:lineRule="exact"/>
        <w:rPr>
          <w:rFonts w:ascii="Arial" w:cs="Arial" w:eastAsia="Arial" w:hAnsi="Arial"/>
          <w:sz w:val="14"/>
          <w:szCs w:val="14"/>
          <w:color w:val="auto"/>
        </w:rPr>
      </w:pPr>
    </w:p>
    <w:p>
      <w:pPr>
        <w:ind w:left="660" w:right="300" w:hanging="436"/>
        <w:spacing w:after="0" w:line="253"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56,229 of Mr. Altman’s RSUs vested on February 4, 2020; 32,408 RSUs vest on February 4, 2021; 24,436 RSUs vest on February 4, 2022; and 15,955 RSUs vest on February 4, 2023.</w:t>
      </w:r>
    </w:p>
    <w:p>
      <w:pPr>
        <w:spacing w:after="0" w:line="79" w:lineRule="exact"/>
        <w:rPr>
          <w:rFonts w:ascii="Arial" w:cs="Arial" w:eastAsia="Arial" w:hAnsi="Arial"/>
          <w:sz w:val="14"/>
          <w:szCs w:val="14"/>
          <w:color w:val="auto"/>
        </w:rPr>
      </w:pPr>
    </w:p>
    <w:p>
      <w:pPr>
        <w:ind w:left="660" w:right="80" w:hanging="436"/>
        <w:spacing w:after="0" w:line="253"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45,254 of Mr. Schlosstein’s RSUs vested on February 4, 2020; 29,841 RSUs vest on February 4, 2021; 20,274 RSUs vest on February 4, 2022; and 11,793 RSUs vest on February 4, 2023.</w:t>
      </w:r>
    </w:p>
    <w:p>
      <w:pPr>
        <w:spacing w:after="0" w:line="79" w:lineRule="exact"/>
        <w:rPr>
          <w:rFonts w:ascii="Arial" w:cs="Arial" w:eastAsia="Arial" w:hAnsi="Arial"/>
          <w:sz w:val="14"/>
          <w:szCs w:val="14"/>
          <w:color w:val="auto"/>
        </w:rPr>
      </w:pPr>
    </w:p>
    <w:p>
      <w:pPr>
        <w:ind w:left="660" w:right="20" w:hanging="436"/>
        <w:spacing w:after="0" w:line="253"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20,274 of Mr. Weinberg’s RSUs vested on February 4, 2020 and 126,000 RSUs vested on March 1, 2020; 20,274 RSUs vest on February 4, 2021 and 126,000 RSUs vest on March 1, 2021; 20,274 RSUs vest on February 4, 2022 and 234,000 RSUs vest on March 1, 2022; and 11,793 RSUs vest on February 4, 2023.</w:t>
      </w:r>
    </w:p>
    <w:p>
      <w:pPr>
        <w:spacing w:after="0" w:line="65" w:lineRule="exact"/>
        <w:rPr>
          <w:rFonts w:ascii="Arial" w:cs="Arial" w:eastAsia="Arial" w:hAnsi="Arial"/>
          <w:sz w:val="14"/>
          <w:szCs w:val="14"/>
          <w:color w:val="auto"/>
        </w:rPr>
      </w:pPr>
    </w:p>
    <w:p>
      <w:pPr>
        <w:ind w:left="660" w:right="120"/>
        <w:spacing w:after="0" w:line="264" w:lineRule="auto"/>
        <w:rPr>
          <w:rFonts w:ascii="Arial" w:cs="Arial" w:eastAsia="Arial" w:hAnsi="Arial"/>
          <w:sz w:val="14"/>
          <w:szCs w:val="14"/>
          <w:color w:val="auto"/>
        </w:rPr>
      </w:pPr>
      <w:r>
        <w:rPr>
          <w:rFonts w:ascii="Arial" w:cs="Arial" w:eastAsia="Arial" w:hAnsi="Arial"/>
          <w:sz w:val="13"/>
          <w:szCs w:val="13"/>
          <w:color w:val="auto"/>
        </w:rPr>
        <w:t>Mr. Weinberg holds 400,000 Class I-P units that vest on March 1, 2022, subject to certain stock price performance conditions and Mr. Weinberg’s continuous employment through such date (or earlier, upon a termination of Mr. Weinberg’s employment without cause or due to his death, disability or resignation for good reason, or Mr. Weinberg’s retirement on or following January 15, 2022 (subject to a one-year notice requirement)). The stock price condition for all 400,000 Class I-P units had been satisfied.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80"/>
        <w:spacing w:after="0" w:line="238" w:lineRule="auto"/>
        <w:rPr>
          <w:sz w:val="20"/>
          <w:szCs w:val="20"/>
          <w:color w:val="auto"/>
        </w:rPr>
      </w:pPr>
      <w:r>
        <w:rPr>
          <w:rFonts w:ascii="Arial" w:cs="Arial" w:eastAsia="Arial" w:hAnsi="Arial"/>
          <w:sz w:val="14"/>
          <w:szCs w:val="14"/>
          <w:color w:val="auto"/>
        </w:rPr>
        <w:t>This amount excludes the outstanding portion of Mr. Weinberg’s initial sign-on restricted cash award with a target payment amount of $35 million, of which $6 million vested on March 1, 2020 and $6 million is scheduled to vest on each of March 1, 2021, 2022 and 2023, which will be reported as compensation in the years in which it is earned. As described above, the Compensation Committee determined not to increase or decrease the $11 million that vested on March 1, 2019.</w:t>
      </w:r>
    </w:p>
    <w:p>
      <w:pPr>
        <w:spacing w:after="0" w:line="88" w:lineRule="exact"/>
        <w:rPr>
          <w:sz w:val="20"/>
          <w:szCs w:val="20"/>
          <w:color w:val="auto"/>
        </w:rPr>
      </w:pPr>
    </w:p>
    <w:p>
      <w:pPr>
        <w:ind w:left="660" w:hanging="436"/>
        <w:spacing w:after="0"/>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16,628 of Mr. Walsh’s RSUs vested on February 4, 2020; 11,443 RSUs vest on February 4, 2021; 8,119 RSUs vest on February 4, 2022; and 4,856 RSUs vest on February 4, 2023.</w:t>
      </w:r>
    </w:p>
    <w:p>
      <w:pPr>
        <w:spacing w:after="0" w:line="120" w:lineRule="exact"/>
        <w:rPr>
          <w:rFonts w:ascii="Arial" w:cs="Arial" w:eastAsia="Arial" w:hAnsi="Arial"/>
          <w:sz w:val="13"/>
          <w:szCs w:val="13"/>
          <w:color w:val="auto"/>
        </w:rPr>
      </w:pPr>
    </w:p>
    <w:p>
      <w:pPr>
        <w:ind w:left="660" w:hanging="436"/>
        <w:spacing w:after="0"/>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35,221 of Mr. Sibbald’s RSUs vested on February 4, 2020; 20,874 RSUs vest on February 4, 2021; 9,745 RSUs vest on February 4, 2022; and 5,372 RSUs vest on February 4, 2023.</w:t>
      </w:r>
    </w:p>
    <w:p>
      <w:pPr>
        <w:spacing w:after="0" w:line="120" w:lineRule="exact"/>
        <w:rPr>
          <w:rFonts w:ascii="Arial" w:cs="Arial" w:eastAsia="Arial" w:hAnsi="Arial"/>
          <w:sz w:val="13"/>
          <w:szCs w:val="13"/>
          <w:color w:val="auto"/>
        </w:rPr>
      </w:pPr>
    </w:p>
    <w:p>
      <w:pPr>
        <w:ind w:left="660" w:hanging="436"/>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market value is based upon the closing price of our Class A common stock on December 31, 2019 ($74.76).</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Options Exercised and Stock Vested in 2019</w:t>
      </w:r>
    </w:p>
    <w:p>
      <w:pPr>
        <w:spacing w:after="0" w:line="189" w:lineRule="exact"/>
        <w:rPr>
          <w:sz w:val="20"/>
          <w:szCs w:val="20"/>
          <w:color w:val="auto"/>
        </w:rPr>
      </w:pPr>
    </w:p>
    <w:p>
      <w:pPr>
        <w:ind w:left="220" w:right="80" w:firstLine="1745"/>
        <w:spacing w:after="0" w:line="277" w:lineRule="auto"/>
        <w:rPr>
          <w:sz w:val="20"/>
          <w:szCs w:val="20"/>
          <w:color w:val="auto"/>
        </w:rPr>
      </w:pPr>
      <w:r>
        <w:rPr>
          <w:rFonts w:ascii="Arial" w:cs="Arial" w:eastAsia="Arial" w:hAnsi="Arial"/>
          <w:sz w:val="18"/>
          <w:szCs w:val="18"/>
          <w:color w:val="auto"/>
        </w:rPr>
        <w:t>Although we have had the authority to issue stock options since our IPO, we have not done so. Accordingly, the below table is with respect to the vesting of RSUs, including dividend equivalent RSUs, and other stock-based awards.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380" w:type="dxa"/>
            <w:vAlign w:val="bottom"/>
            <w:tcBorders>
              <w:bottom w:val="single" w:sz="8" w:color="E0FCF9"/>
            </w:tcBorders>
            <w:shd w:val="clear" w:color="auto" w:fill="E0FCF9"/>
          </w:tcPr>
          <w:p>
            <w:pPr>
              <w:spacing w:after="0"/>
              <w:rPr>
                <w:sz w:val="18"/>
                <w:szCs w:val="18"/>
                <w:color w:val="auto"/>
              </w:rPr>
            </w:pPr>
          </w:p>
        </w:tc>
        <w:tc>
          <w:tcPr>
            <w:tcW w:w="1280" w:type="dxa"/>
            <w:vAlign w:val="bottom"/>
            <w:tcBorders>
              <w:bottom w:val="single" w:sz="8" w:color="E0FCF9"/>
            </w:tcBorders>
            <w:shd w:val="clear" w:color="auto" w:fill="E0FCF9"/>
          </w:tcPr>
          <w:p>
            <w:pPr>
              <w:spacing w:after="0"/>
              <w:rPr>
                <w:sz w:val="18"/>
                <w:szCs w:val="18"/>
                <w:color w:val="auto"/>
              </w:rPr>
            </w:pPr>
          </w:p>
        </w:tc>
        <w:tc>
          <w:tcPr>
            <w:tcW w:w="2760" w:type="dxa"/>
            <w:vAlign w:val="bottom"/>
            <w:tcBorders>
              <w:bottom w:val="single" w:sz="8" w:color="auto"/>
            </w:tcBorders>
            <w:gridSpan w:val="3"/>
            <w:shd w:val="clear" w:color="auto" w:fill="E0FCF9"/>
          </w:tcPr>
          <w:p>
            <w:pPr>
              <w:ind w:left="1400"/>
              <w:spacing w:after="0"/>
              <w:rPr>
                <w:sz w:val="20"/>
                <w:szCs w:val="20"/>
                <w:color w:val="auto"/>
              </w:rPr>
            </w:pPr>
            <w:r>
              <w:rPr>
                <w:rFonts w:ascii="Arial" w:cs="Arial" w:eastAsia="Arial" w:hAnsi="Arial"/>
                <w:sz w:val="18"/>
                <w:szCs w:val="18"/>
                <w:b w:val="1"/>
                <w:bCs w:val="1"/>
                <w:color w:val="0016FF"/>
              </w:rPr>
              <w:t>Stock Awards</w:t>
            </w:r>
          </w:p>
        </w:tc>
        <w:tc>
          <w:tcPr>
            <w:tcW w:w="1100" w:type="dxa"/>
            <w:vAlign w:val="bottom"/>
            <w:tcBorders>
              <w:bottom w:val="single" w:sz="8" w:color="auto"/>
            </w:tcBorders>
            <w:shd w:val="clear" w:color="auto" w:fill="E0FCF9"/>
          </w:tcPr>
          <w:p>
            <w:pPr>
              <w:spacing w:after="0"/>
              <w:rPr>
                <w:sz w:val="18"/>
                <w:szCs w:val="18"/>
                <w:color w:val="auto"/>
              </w:rPr>
            </w:pPr>
          </w:p>
        </w:tc>
        <w:tc>
          <w:tcPr>
            <w:tcW w:w="500" w:type="dxa"/>
            <w:vAlign w:val="bottom"/>
            <w:tcBorders>
              <w:bottom w:val="single" w:sz="8" w:color="E0FCF9"/>
            </w:tcBorders>
            <w:shd w:val="clear" w:color="auto" w:fill="E0FCF9"/>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E0FCF9"/>
          </w:tcPr>
          <w:p>
            <w:pPr>
              <w:spacing w:after="0"/>
              <w:rPr>
                <w:sz w:val="16"/>
                <w:szCs w:val="16"/>
                <w:color w:val="auto"/>
              </w:rPr>
            </w:pPr>
          </w:p>
        </w:tc>
        <w:tc>
          <w:tcPr>
            <w:tcW w:w="1280" w:type="dxa"/>
            <w:vAlign w:val="bottom"/>
            <w:shd w:val="clear" w:color="auto" w:fill="E0FCF9"/>
          </w:tcPr>
          <w:p>
            <w:pPr>
              <w:spacing w:after="0"/>
              <w:rPr>
                <w:sz w:val="16"/>
                <w:szCs w:val="16"/>
                <w:color w:val="auto"/>
              </w:rPr>
            </w:pPr>
          </w:p>
        </w:tc>
        <w:tc>
          <w:tcPr>
            <w:tcW w:w="2440" w:type="dxa"/>
            <w:vAlign w:val="bottom"/>
            <w:gridSpan w:val="2"/>
            <w:shd w:val="clear" w:color="auto" w:fill="E0FCF9"/>
          </w:tcPr>
          <w:p>
            <w:pPr>
              <w:jc w:val="right"/>
              <w:ind w:right="880"/>
              <w:spacing w:after="0" w:line="191" w:lineRule="exact"/>
              <w:rPr>
                <w:sz w:val="20"/>
                <w:szCs w:val="20"/>
                <w:color w:val="auto"/>
              </w:rPr>
            </w:pPr>
            <w:r>
              <w:rPr>
                <w:rFonts w:ascii="Arial" w:cs="Arial" w:eastAsia="Arial" w:hAnsi="Arial"/>
                <w:sz w:val="18"/>
                <w:szCs w:val="18"/>
                <w:b w:val="1"/>
                <w:bCs w:val="1"/>
                <w:color w:val="0016FF"/>
                <w:w w:val="99"/>
              </w:rPr>
              <w:t>Number of Shares</w:t>
            </w:r>
          </w:p>
        </w:tc>
        <w:tc>
          <w:tcPr>
            <w:tcW w:w="1420" w:type="dxa"/>
            <w:vAlign w:val="bottom"/>
            <w:gridSpan w:val="2"/>
            <w:shd w:val="clear" w:color="auto" w:fill="E0FCF9"/>
          </w:tcPr>
          <w:p>
            <w:pPr>
              <w:spacing w:after="0" w:line="191" w:lineRule="exact"/>
              <w:rPr>
                <w:sz w:val="20"/>
                <w:szCs w:val="20"/>
                <w:color w:val="auto"/>
              </w:rPr>
            </w:pPr>
            <w:r>
              <w:rPr>
                <w:rFonts w:ascii="Arial" w:cs="Arial" w:eastAsia="Arial" w:hAnsi="Arial"/>
                <w:sz w:val="18"/>
                <w:szCs w:val="18"/>
                <w:b w:val="1"/>
                <w:bCs w:val="1"/>
                <w:color w:val="0016FF"/>
                <w:w w:val="91"/>
              </w:rPr>
              <w:t>Value Realized on</w:t>
            </w:r>
          </w:p>
        </w:tc>
        <w:tc>
          <w:tcPr>
            <w:tcW w:w="500" w:type="dxa"/>
            <w:vAlign w:val="bottom"/>
            <w:shd w:val="clear" w:color="auto" w:fill="E0FCF9"/>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vMerge w:val="restart"/>
            <w:shd w:val="clear" w:color="auto" w:fill="E0FCF9"/>
          </w:tcPr>
          <w:p>
            <w:pPr>
              <w:ind w:left="2460"/>
              <w:spacing w:after="0"/>
              <w:rPr>
                <w:sz w:val="20"/>
                <w:szCs w:val="20"/>
                <w:color w:val="auto"/>
              </w:rPr>
            </w:pPr>
            <w:r>
              <w:rPr>
                <w:rFonts w:ascii="Arial" w:cs="Arial" w:eastAsia="Arial" w:hAnsi="Arial"/>
                <w:sz w:val="18"/>
                <w:szCs w:val="18"/>
                <w:b w:val="1"/>
                <w:bCs w:val="1"/>
                <w:color w:val="0016FF"/>
              </w:rPr>
              <w:t>Name</w:t>
            </w:r>
          </w:p>
        </w:tc>
        <w:tc>
          <w:tcPr>
            <w:tcW w:w="1280" w:type="dxa"/>
            <w:vAlign w:val="bottom"/>
            <w:shd w:val="clear" w:color="auto" w:fill="E0FCF9"/>
          </w:tcPr>
          <w:p>
            <w:pPr>
              <w:spacing w:after="0"/>
              <w:rPr>
                <w:sz w:val="18"/>
                <w:szCs w:val="18"/>
                <w:color w:val="auto"/>
              </w:rPr>
            </w:pPr>
          </w:p>
        </w:tc>
        <w:tc>
          <w:tcPr>
            <w:tcW w:w="2440" w:type="dxa"/>
            <w:vAlign w:val="bottom"/>
            <w:gridSpan w:val="2"/>
            <w:shd w:val="clear" w:color="auto" w:fill="E0FCF9"/>
          </w:tcPr>
          <w:p>
            <w:pPr>
              <w:jc w:val="right"/>
              <w:ind w:right="880"/>
              <w:spacing w:after="0"/>
              <w:rPr>
                <w:sz w:val="20"/>
                <w:szCs w:val="20"/>
                <w:color w:val="auto"/>
              </w:rPr>
            </w:pPr>
            <w:r>
              <w:rPr>
                <w:rFonts w:ascii="Arial" w:cs="Arial" w:eastAsia="Arial" w:hAnsi="Arial"/>
                <w:sz w:val="18"/>
                <w:szCs w:val="18"/>
                <w:b w:val="1"/>
                <w:bCs w:val="1"/>
                <w:color w:val="0016FF"/>
                <w:w w:val="87"/>
              </w:rPr>
              <w:t>Acquired on Vesting</w:t>
            </w:r>
          </w:p>
        </w:tc>
        <w:tc>
          <w:tcPr>
            <w:tcW w:w="320" w:type="dxa"/>
            <w:vAlign w:val="bottom"/>
            <w:shd w:val="clear" w:color="auto" w:fill="E0FCF9"/>
          </w:tcPr>
          <w:p>
            <w:pPr>
              <w:spacing w:after="0"/>
              <w:rPr>
                <w:sz w:val="18"/>
                <w:szCs w:val="18"/>
                <w:color w:val="auto"/>
              </w:rPr>
            </w:pPr>
          </w:p>
        </w:tc>
        <w:tc>
          <w:tcPr>
            <w:tcW w:w="1600" w:type="dxa"/>
            <w:vAlign w:val="bottom"/>
            <w:gridSpan w:val="2"/>
            <w:shd w:val="clear" w:color="auto" w:fill="E0FCF9"/>
          </w:tcPr>
          <w:p>
            <w:pPr>
              <w:jc w:val="right"/>
              <w:ind w:right="540"/>
              <w:spacing w:after="0"/>
              <w:rPr>
                <w:sz w:val="20"/>
                <w:szCs w:val="20"/>
                <w:color w:val="auto"/>
              </w:rPr>
            </w:pPr>
            <w:r>
              <w:rPr>
                <w:rFonts w:ascii="Arial" w:cs="Arial" w:eastAsia="Arial" w:hAnsi="Arial"/>
                <w:sz w:val="18"/>
                <w:szCs w:val="18"/>
                <w:b w:val="1"/>
                <w:bCs w:val="1"/>
                <w:color w:val="0016FF"/>
              </w:rPr>
              <w:t>Vesting(1)</w:t>
            </w:r>
          </w:p>
        </w:tc>
        <w:tc>
          <w:tcPr>
            <w:tcW w:w="0" w:type="dxa"/>
            <w:vAlign w:val="bottom"/>
          </w:tcPr>
          <w:p>
            <w:pPr>
              <w:spacing w:after="0"/>
              <w:rPr>
                <w:sz w:val="1"/>
                <w:szCs w:val="1"/>
                <w:color w:val="auto"/>
              </w:rPr>
            </w:pPr>
          </w:p>
        </w:tc>
      </w:tr>
      <w:tr>
        <w:trPr>
          <w:trHeight w:val="234"/>
        </w:trPr>
        <w:tc>
          <w:tcPr>
            <w:tcW w:w="5380" w:type="dxa"/>
            <w:vAlign w:val="bottom"/>
            <w:vMerge w:val="continue"/>
            <w:shd w:val="clear" w:color="auto" w:fill="E0FCF9"/>
          </w:tcPr>
          <w:p>
            <w:pPr>
              <w:spacing w:after="0"/>
              <w:rPr>
                <w:sz w:val="20"/>
                <w:szCs w:val="20"/>
                <w:color w:val="auto"/>
              </w:rPr>
            </w:pPr>
          </w:p>
        </w:tc>
        <w:tc>
          <w:tcPr>
            <w:tcW w:w="2880" w:type="dxa"/>
            <w:vAlign w:val="bottom"/>
            <w:gridSpan w:val="2"/>
            <w:shd w:val="clear" w:color="auto" w:fill="E0FCF9"/>
          </w:tcPr>
          <w:p>
            <w:pPr>
              <w:jc w:val="right"/>
              <w:spacing w:after="0"/>
              <w:rPr>
                <w:sz w:val="20"/>
                <w:szCs w:val="20"/>
                <w:color w:val="auto"/>
              </w:rPr>
            </w:pPr>
            <w:r>
              <w:rPr>
                <w:rFonts w:ascii="Arial" w:cs="Arial" w:eastAsia="Arial" w:hAnsi="Arial"/>
                <w:sz w:val="18"/>
                <w:szCs w:val="18"/>
                <w:b w:val="1"/>
                <w:bCs w:val="1"/>
                <w:color w:val="0016FF"/>
              </w:rPr>
              <w:t>(#)</w:t>
            </w:r>
          </w:p>
        </w:tc>
        <w:tc>
          <w:tcPr>
            <w:tcW w:w="840" w:type="dxa"/>
            <w:vAlign w:val="bottom"/>
            <w:shd w:val="clear" w:color="auto" w:fill="E0FCF9"/>
          </w:tcPr>
          <w:p>
            <w:pPr>
              <w:spacing w:after="0"/>
              <w:rPr>
                <w:sz w:val="20"/>
                <w:szCs w:val="20"/>
                <w:color w:val="auto"/>
              </w:rPr>
            </w:pPr>
          </w:p>
        </w:tc>
        <w:tc>
          <w:tcPr>
            <w:tcW w:w="320" w:type="dxa"/>
            <w:vAlign w:val="bottom"/>
            <w:shd w:val="clear" w:color="auto" w:fill="E0FCF9"/>
          </w:tcPr>
          <w:p>
            <w:pPr>
              <w:spacing w:after="0"/>
              <w:rPr>
                <w:sz w:val="20"/>
                <w:szCs w:val="20"/>
                <w:color w:val="auto"/>
              </w:rPr>
            </w:pPr>
          </w:p>
        </w:tc>
        <w:tc>
          <w:tcPr>
            <w:tcW w:w="1100" w:type="dxa"/>
            <w:vAlign w:val="bottom"/>
            <w:shd w:val="clear" w:color="auto" w:fill="E0FCF9"/>
          </w:tcPr>
          <w:p>
            <w:pPr>
              <w:jc w:val="right"/>
              <w:spacing w:after="0"/>
              <w:rPr>
                <w:sz w:val="20"/>
                <w:szCs w:val="20"/>
                <w:color w:val="auto"/>
              </w:rPr>
            </w:pPr>
            <w:r>
              <w:rPr>
                <w:rFonts w:ascii="Arial" w:cs="Arial" w:eastAsia="Arial" w:hAnsi="Arial"/>
                <w:sz w:val="18"/>
                <w:szCs w:val="18"/>
                <w:b w:val="1"/>
                <w:bCs w:val="1"/>
                <w:color w:val="0016FF"/>
              </w:rPr>
              <w:t>($)</w:t>
            </w:r>
          </w:p>
        </w:tc>
        <w:tc>
          <w:tcPr>
            <w:tcW w:w="500" w:type="dxa"/>
            <w:vAlign w:val="bottom"/>
            <w:shd w:val="clear" w:color="auto" w:fill="E0FCF9"/>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Roger C. Altman</w:t>
            </w:r>
          </w:p>
        </w:tc>
        <w:tc>
          <w:tcPr>
            <w:tcW w:w="1280" w:type="dxa"/>
            <w:vAlign w:val="bottom"/>
          </w:tcPr>
          <w:p>
            <w:pPr>
              <w:spacing w:after="0"/>
              <w:rPr>
                <w:sz w:val="16"/>
                <w:szCs w:val="16"/>
                <w:color w:val="auto"/>
              </w:rPr>
            </w:pPr>
          </w:p>
        </w:tc>
        <w:tc>
          <w:tcPr>
            <w:tcW w:w="1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56,782</w:t>
            </w:r>
          </w:p>
        </w:tc>
        <w:tc>
          <w:tcPr>
            <w:tcW w:w="84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5,069,153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0"/>
              <w:spacing w:after="0"/>
              <w:rPr>
                <w:sz w:val="20"/>
                <w:szCs w:val="20"/>
                <w:color w:val="auto"/>
              </w:rPr>
            </w:pPr>
            <w:r>
              <w:rPr>
                <w:rFonts w:ascii="Arial" w:cs="Arial" w:eastAsia="Arial" w:hAnsi="Arial"/>
                <w:sz w:val="18"/>
                <w:szCs w:val="18"/>
                <w:color w:val="auto"/>
              </w:rPr>
              <w:t>Ralph Schlosstein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44,762</w:t>
            </w:r>
          </w:p>
        </w:tc>
        <w:tc>
          <w:tcPr>
            <w:tcW w:w="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3,996,081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0"/>
              <w:spacing w:after="0"/>
              <w:rPr>
                <w:sz w:val="20"/>
                <w:szCs w:val="20"/>
                <w:color w:val="auto"/>
              </w:rPr>
            </w:pPr>
            <w:r>
              <w:rPr>
                <w:rFonts w:ascii="Arial" w:cs="Arial" w:eastAsia="Arial" w:hAnsi="Arial"/>
                <w:sz w:val="18"/>
                <w:szCs w:val="18"/>
                <w:color w:val="auto"/>
              </w:rPr>
              <w:t>John S. Weinberg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134,481</w:t>
            </w:r>
          </w:p>
        </w:tc>
        <w:tc>
          <w:tcPr>
            <w:tcW w:w="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12,541,912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0"/>
              <w:spacing w:after="0"/>
              <w:rPr>
                <w:sz w:val="20"/>
                <w:szCs w:val="20"/>
                <w:color w:val="auto"/>
              </w:rPr>
            </w:pPr>
            <w:r>
              <w:rPr>
                <w:rFonts w:ascii="Arial" w:cs="Arial" w:eastAsia="Arial" w:hAnsi="Arial"/>
                <w:sz w:val="18"/>
                <w:szCs w:val="18"/>
                <w:color w:val="auto"/>
              </w:rPr>
              <w:t>Robert B. Walsh</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16,853</w:t>
            </w:r>
          </w:p>
        </w:tc>
        <w:tc>
          <w:tcPr>
            <w:tcW w:w="8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1,504,534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Andrew Sibbald</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41,155</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3,674,069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13284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50" w:lineRule="exact"/>
        <w:rPr>
          <w:sz w:val="20"/>
          <w:szCs w:val="20"/>
          <w:color w:val="auto"/>
        </w:rPr>
      </w:pPr>
    </w:p>
    <w:p>
      <w:pPr>
        <w:ind w:left="660" w:right="380" w:hanging="436"/>
        <w:spacing w:after="0" w:line="253"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value of the awards is based on the average of the high and low trading price of the Class A common stock on the vesting date (or if such date was not a trading day, on the trading day immediately preceding the vesting date).</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Nonqualified Deferred Compensation for 2019</w:t>
      </w:r>
    </w:p>
    <w:p>
      <w:pPr>
        <w:spacing w:after="0" w:line="189" w:lineRule="exact"/>
        <w:rPr>
          <w:sz w:val="20"/>
          <w:szCs w:val="20"/>
          <w:color w:val="auto"/>
        </w:rPr>
      </w:pPr>
    </w:p>
    <w:p>
      <w:pPr>
        <w:ind w:left="220" w:right="180" w:firstLine="1745"/>
        <w:spacing w:after="0" w:line="255" w:lineRule="auto"/>
        <w:rPr>
          <w:sz w:val="20"/>
          <w:szCs w:val="20"/>
          <w:color w:val="auto"/>
        </w:rPr>
      </w:pPr>
      <w:r>
        <w:rPr>
          <w:rFonts w:ascii="Arial" w:cs="Arial" w:eastAsia="Arial" w:hAnsi="Arial"/>
          <w:sz w:val="18"/>
          <w:szCs w:val="18"/>
          <w:color w:val="auto"/>
        </w:rPr>
        <w:t>Generally, we provide SMDs (other than our NEOs) an election to receive a portion of their deferred incentive compensation in the form of deferred cash rather than RSUs, which had a similar four-year vesting schedule to RSUs. Deferred cash was credited under this arrangement when annual bonuses were declared (generally, in February of the year following the year to which the bonus relates). Pending distribution, these deferred cash amounts were notionally invested in one or more registered mutual funds or fixed income options selected by the executive from a list of funds established by us. None of our NEOs had a deferred cash balance during 2019. There were no deferred cash awards granted to any NEOs for 2019 performance.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89" w:lineRule="exact"/>
        <w:rPr>
          <w:sz w:val="20"/>
          <w:szCs w:val="20"/>
          <w:color w:val="auto"/>
        </w:rPr>
      </w:pPr>
    </w:p>
    <w:p>
      <w:pPr>
        <w:ind w:left="120" w:right="60" w:firstLine="1983"/>
        <w:spacing w:after="0" w:line="259" w:lineRule="auto"/>
        <w:rPr>
          <w:sz w:val="20"/>
          <w:szCs w:val="20"/>
          <w:color w:val="auto"/>
        </w:rPr>
      </w:pPr>
      <w:r>
        <w:rPr>
          <w:rFonts w:ascii="Arial" w:cs="Arial" w:eastAsia="Arial" w:hAnsi="Arial"/>
          <w:sz w:val="18"/>
          <w:szCs w:val="18"/>
          <w:color w:val="auto"/>
        </w:rPr>
        <w:t>The following table describes the potential incremental payments and benefits to which our NEOs would be entitled upon termination of employment or a change in control. All calculations in this table are based on an assumed termination date of December 31, 2019 and the completion of a full fiscal year, and all defined terms are as defined in the respective employment agreements of each NEO, which are summarized below under “</w:t>
      </w:r>
      <w:r>
        <w:rPr>
          <w:rFonts w:ascii="Arial" w:cs="Arial" w:eastAsia="Arial" w:hAnsi="Arial"/>
          <w:sz w:val="18"/>
          <w:szCs w:val="18"/>
          <w:b w:val="1"/>
          <w:bCs w:val="1"/>
          <w:color w:val="auto"/>
        </w:rPr>
        <w:t>—Employment Agreements and Awards</w:t>
      </w:r>
      <w:r>
        <w:rPr>
          <w:rFonts w:ascii="Arial" w:cs="Arial" w:eastAsia="Arial" w:hAnsi="Arial"/>
          <w:sz w:val="18"/>
          <w:szCs w:val="18"/>
          <w:color w:val="auto"/>
        </w:rPr>
        <w: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1745"/>
        <w:spacing w:after="0" w:line="255" w:lineRule="auto"/>
        <w:rPr>
          <w:sz w:val="20"/>
          <w:szCs w:val="20"/>
          <w:color w:val="auto"/>
        </w:rPr>
      </w:pPr>
      <w:r>
        <w:rPr>
          <w:rFonts w:ascii="Arial" w:cs="Arial" w:eastAsia="Arial" w:hAnsi="Arial"/>
          <w:sz w:val="18"/>
          <w:szCs w:val="18"/>
          <w:color w:val="auto"/>
        </w:rPr>
        <w:t>The amounts shown in the table below do not include payments and benefits to the extent they are provided on a non-discriminatory basis to salaried employees generally upon termination of employment, such as continuation of health care benefits through the end of the month of the termination of employment. While our NEOs’ rights in respect of RSUs granted in connection with bonuses and deferred cash awards are subject to continued vesting upon a qualifying retirement, as described above, none of our NEOs have given the advance notice required for such qualifying retirement. Accordingly, none of our NEOs would have been eligible for this benefit as of December 31, 2019 and this benefit is therefore not illustrated in the table below for those awards.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shd w:val="clear" w:color="auto" w:fill="E0FCF9"/>
          </w:tcPr>
          <w:p>
            <w:pPr>
              <w:spacing w:after="0"/>
              <w:rPr>
                <w:sz w:val="14"/>
                <w:szCs w:val="14"/>
                <w:color w:val="auto"/>
              </w:rPr>
            </w:pPr>
          </w:p>
        </w:tc>
        <w:tc>
          <w:tcPr>
            <w:tcW w:w="220" w:type="dxa"/>
            <w:vAlign w:val="bottom"/>
            <w:shd w:val="clear" w:color="auto" w:fill="E0FCF9"/>
          </w:tcPr>
          <w:p>
            <w:pPr>
              <w:spacing w:after="0"/>
              <w:rPr>
                <w:sz w:val="14"/>
                <w:szCs w:val="14"/>
                <w:color w:val="auto"/>
              </w:rPr>
            </w:pPr>
          </w:p>
        </w:tc>
        <w:tc>
          <w:tcPr>
            <w:tcW w:w="1080" w:type="dxa"/>
            <w:vAlign w:val="bottom"/>
            <w:shd w:val="clear" w:color="auto" w:fill="E0FCF9"/>
          </w:tcPr>
          <w:p>
            <w:pPr>
              <w:jc w:val="center"/>
              <w:ind w:right="308"/>
              <w:spacing w:after="0"/>
              <w:rPr>
                <w:sz w:val="20"/>
                <w:szCs w:val="20"/>
                <w:color w:val="auto"/>
              </w:rPr>
            </w:pPr>
            <w:r>
              <w:rPr>
                <w:rFonts w:ascii="Arial" w:cs="Arial" w:eastAsia="Arial" w:hAnsi="Arial"/>
                <w:sz w:val="14"/>
                <w:szCs w:val="14"/>
                <w:b w:val="1"/>
                <w:bCs w:val="1"/>
                <w:color w:val="0016FF"/>
                <w:w w:val="96"/>
              </w:rPr>
              <w:t>Lump Sum</w:t>
            </w:r>
          </w:p>
        </w:tc>
        <w:tc>
          <w:tcPr>
            <w:tcW w:w="1140" w:type="dxa"/>
            <w:vAlign w:val="bottom"/>
            <w:vMerge w:val="restart"/>
            <w:shd w:val="clear" w:color="auto" w:fill="E0FCF9"/>
          </w:tcPr>
          <w:p>
            <w:pPr>
              <w:jc w:val="center"/>
              <w:ind w:right="108"/>
              <w:spacing w:after="0"/>
              <w:rPr>
                <w:sz w:val="20"/>
                <w:szCs w:val="20"/>
                <w:color w:val="auto"/>
              </w:rPr>
            </w:pPr>
            <w:r>
              <w:rPr>
                <w:rFonts w:ascii="Arial" w:cs="Arial" w:eastAsia="Arial" w:hAnsi="Arial"/>
                <w:sz w:val="14"/>
                <w:szCs w:val="14"/>
                <w:b w:val="1"/>
                <w:bCs w:val="1"/>
                <w:color w:val="0016FF"/>
                <w:w w:val="90"/>
              </w:rPr>
              <w:t>2019 Fiscal</w:t>
            </w:r>
          </w:p>
        </w:tc>
        <w:tc>
          <w:tcPr>
            <w:tcW w:w="1260" w:type="dxa"/>
            <w:vAlign w:val="bottom"/>
            <w:vMerge w:val="restart"/>
            <w:shd w:val="clear" w:color="auto" w:fill="E0FCF9"/>
          </w:tcPr>
          <w:p>
            <w:pPr>
              <w:jc w:val="center"/>
              <w:ind w:right="88"/>
              <w:spacing w:after="0"/>
              <w:rPr>
                <w:sz w:val="20"/>
                <w:szCs w:val="20"/>
                <w:color w:val="auto"/>
              </w:rPr>
            </w:pPr>
            <w:r>
              <w:rPr>
                <w:rFonts w:ascii="Arial" w:cs="Arial" w:eastAsia="Arial" w:hAnsi="Arial"/>
                <w:sz w:val="14"/>
                <w:szCs w:val="14"/>
                <w:b w:val="1"/>
                <w:bCs w:val="1"/>
                <w:color w:val="0016FF"/>
                <w:w w:val="94"/>
              </w:rPr>
              <w:t>Continuation</w:t>
            </w:r>
          </w:p>
        </w:tc>
        <w:tc>
          <w:tcPr>
            <w:tcW w:w="1000" w:type="dxa"/>
            <w:vAlign w:val="bottom"/>
            <w:shd w:val="clear" w:color="auto" w:fill="E0FCF9"/>
          </w:tcPr>
          <w:p>
            <w:pPr>
              <w:jc w:val="center"/>
              <w:spacing w:after="0"/>
              <w:rPr>
                <w:sz w:val="20"/>
                <w:szCs w:val="20"/>
                <w:color w:val="auto"/>
              </w:rPr>
            </w:pPr>
            <w:r>
              <w:rPr>
                <w:rFonts w:ascii="Arial" w:cs="Arial" w:eastAsia="Arial" w:hAnsi="Arial"/>
                <w:sz w:val="14"/>
                <w:szCs w:val="14"/>
                <w:b w:val="1"/>
                <w:bCs w:val="1"/>
                <w:color w:val="0016FF"/>
                <w:w w:val="90"/>
              </w:rPr>
              <w:t>Accelerated</w:t>
            </w:r>
          </w:p>
        </w:tc>
        <w:tc>
          <w:tcPr>
            <w:tcW w:w="1260" w:type="dxa"/>
            <w:vAlign w:val="bottom"/>
            <w:shd w:val="clear" w:color="auto" w:fill="E0FCF9"/>
          </w:tcPr>
          <w:p>
            <w:pPr>
              <w:jc w:val="center"/>
              <w:ind w:right="188"/>
              <w:spacing w:after="0"/>
              <w:rPr>
                <w:sz w:val="20"/>
                <w:szCs w:val="20"/>
                <w:color w:val="auto"/>
              </w:rPr>
            </w:pPr>
            <w:r>
              <w:rPr>
                <w:rFonts w:ascii="Arial" w:cs="Arial" w:eastAsia="Arial" w:hAnsi="Arial"/>
                <w:sz w:val="14"/>
                <w:szCs w:val="14"/>
                <w:b w:val="1"/>
                <w:bCs w:val="1"/>
                <w:color w:val="0016FF"/>
                <w:w w:val="90"/>
              </w:rPr>
              <w:t>Accelerated</w:t>
            </w:r>
          </w:p>
        </w:tc>
        <w:tc>
          <w:tcPr>
            <w:tcW w:w="900" w:type="dxa"/>
            <w:vAlign w:val="bottom"/>
            <w:shd w:val="clear" w:color="auto" w:fill="E0FCF9"/>
          </w:tcPr>
          <w:p>
            <w:pPr>
              <w:spacing w:after="0"/>
              <w:rPr>
                <w:sz w:val="14"/>
                <w:szCs w:val="14"/>
                <w:color w:val="auto"/>
              </w:rPr>
            </w:pPr>
          </w:p>
        </w:tc>
        <w:tc>
          <w:tcPr>
            <w:tcW w:w="560" w:type="dxa"/>
            <w:vAlign w:val="bottom"/>
            <w:shd w:val="clear" w:color="auto" w:fill="E0FCF9"/>
          </w:tcPr>
          <w:p>
            <w:pPr>
              <w:spacing w:after="0"/>
              <w:rPr>
                <w:sz w:val="14"/>
                <w:szCs w:val="14"/>
                <w:color w:val="auto"/>
              </w:rPr>
            </w:pPr>
          </w:p>
        </w:tc>
        <w:tc>
          <w:tcPr>
            <w:tcW w:w="6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E0FCF9"/>
          </w:tcPr>
          <w:p>
            <w:pPr>
              <w:spacing w:after="0"/>
              <w:rPr>
                <w:sz w:val="12"/>
                <w:szCs w:val="12"/>
                <w:color w:val="auto"/>
              </w:rPr>
            </w:pPr>
          </w:p>
        </w:tc>
        <w:tc>
          <w:tcPr>
            <w:tcW w:w="220" w:type="dxa"/>
            <w:vAlign w:val="bottom"/>
            <w:shd w:val="clear" w:color="auto" w:fill="E0FCF9"/>
          </w:tcPr>
          <w:p>
            <w:pPr>
              <w:spacing w:after="0"/>
              <w:rPr>
                <w:sz w:val="12"/>
                <w:szCs w:val="12"/>
                <w:color w:val="auto"/>
              </w:rPr>
            </w:pPr>
          </w:p>
        </w:tc>
        <w:tc>
          <w:tcPr>
            <w:tcW w:w="1080" w:type="dxa"/>
            <w:vAlign w:val="bottom"/>
            <w:shd w:val="clear" w:color="auto" w:fill="E0FCF9"/>
          </w:tcPr>
          <w:p>
            <w:pPr>
              <w:jc w:val="center"/>
              <w:ind w:right="308"/>
              <w:spacing w:after="0" w:line="149" w:lineRule="exact"/>
              <w:rPr>
                <w:sz w:val="20"/>
                <w:szCs w:val="20"/>
                <w:color w:val="auto"/>
              </w:rPr>
            </w:pPr>
            <w:r>
              <w:rPr>
                <w:rFonts w:ascii="Arial" w:cs="Arial" w:eastAsia="Arial" w:hAnsi="Arial"/>
                <w:sz w:val="14"/>
                <w:szCs w:val="14"/>
                <w:b w:val="1"/>
                <w:bCs w:val="1"/>
                <w:color w:val="0016FF"/>
                <w:w w:val="87"/>
              </w:rPr>
              <w:t>Cash</w:t>
            </w:r>
          </w:p>
        </w:tc>
        <w:tc>
          <w:tcPr>
            <w:tcW w:w="1140" w:type="dxa"/>
            <w:vAlign w:val="bottom"/>
            <w:vMerge w:val="continue"/>
            <w:shd w:val="clear" w:color="auto" w:fill="E0FCF9"/>
          </w:tcPr>
          <w:p>
            <w:pPr>
              <w:spacing w:after="0"/>
              <w:rPr>
                <w:sz w:val="12"/>
                <w:szCs w:val="12"/>
                <w:color w:val="auto"/>
              </w:rPr>
            </w:pPr>
          </w:p>
        </w:tc>
        <w:tc>
          <w:tcPr>
            <w:tcW w:w="1260" w:type="dxa"/>
            <w:vAlign w:val="bottom"/>
            <w:vMerge w:val="continue"/>
            <w:shd w:val="clear" w:color="auto" w:fill="E0FCF9"/>
          </w:tcPr>
          <w:p>
            <w:pPr>
              <w:spacing w:after="0"/>
              <w:rPr>
                <w:sz w:val="12"/>
                <w:szCs w:val="12"/>
                <w:color w:val="auto"/>
              </w:rPr>
            </w:pPr>
          </w:p>
        </w:tc>
        <w:tc>
          <w:tcPr>
            <w:tcW w:w="100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88"/>
              </w:rPr>
              <w:t>Vesting of</w:t>
            </w:r>
          </w:p>
        </w:tc>
        <w:tc>
          <w:tcPr>
            <w:tcW w:w="1260" w:type="dxa"/>
            <w:vAlign w:val="bottom"/>
            <w:shd w:val="clear" w:color="auto" w:fill="E0FCF9"/>
          </w:tcPr>
          <w:p>
            <w:pPr>
              <w:jc w:val="center"/>
              <w:ind w:right="188"/>
              <w:spacing w:after="0" w:line="149" w:lineRule="exact"/>
              <w:rPr>
                <w:sz w:val="20"/>
                <w:szCs w:val="20"/>
                <w:color w:val="auto"/>
              </w:rPr>
            </w:pPr>
            <w:r>
              <w:rPr>
                <w:rFonts w:ascii="Arial" w:cs="Arial" w:eastAsia="Arial" w:hAnsi="Arial"/>
                <w:sz w:val="14"/>
                <w:szCs w:val="14"/>
                <w:b w:val="1"/>
                <w:bCs w:val="1"/>
                <w:color w:val="0016FF"/>
                <w:w w:val="88"/>
              </w:rPr>
              <w:t>Vesting of</w:t>
            </w:r>
          </w:p>
        </w:tc>
        <w:tc>
          <w:tcPr>
            <w:tcW w:w="900" w:type="dxa"/>
            <w:vAlign w:val="bottom"/>
            <w:shd w:val="clear" w:color="auto" w:fill="E0FCF9"/>
          </w:tcPr>
          <w:p>
            <w:pPr>
              <w:spacing w:after="0"/>
              <w:rPr>
                <w:sz w:val="12"/>
                <w:szCs w:val="12"/>
                <w:color w:val="auto"/>
              </w:rPr>
            </w:pPr>
          </w:p>
        </w:tc>
        <w:tc>
          <w:tcPr>
            <w:tcW w:w="560" w:type="dxa"/>
            <w:vAlign w:val="bottom"/>
            <w:shd w:val="clear" w:color="auto" w:fill="E0FCF9"/>
          </w:tcPr>
          <w:p>
            <w:pPr>
              <w:spacing w:after="0"/>
              <w:rPr>
                <w:sz w:val="12"/>
                <w:szCs w:val="12"/>
                <w:color w:val="auto"/>
              </w:rPr>
            </w:pPr>
          </w:p>
        </w:tc>
        <w:tc>
          <w:tcPr>
            <w:tcW w:w="60" w:type="dxa"/>
            <w:vAlign w:val="bottom"/>
            <w:shd w:val="clear" w:color="auto" w:fill="E0FCF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E0FCF9"/>
          </w:tcPr>
          <w:p>
            <w:pPr>
              <w:spacing w:after="0"/>
              <w:rPr>
                <w:sz w:val="12"/>
                <w:szCs w:val="12"/>
                <w:color w:val="auto"/>
              </w:rPr>
            </w:pPr>
          </w:p>
        </w:tc>
        <w:tc>
          <w:tcPr>
            <w:tcW w:w="220" w:type="dxa"/>
            <w:vAlign w:val="bottom"/>
            <w:shd w:val="clear" w:color="auto" w:fill="E0FCF9"/>
          </w:tcPr>
          <w:p>
            <w:pPr>
              <w:spacing w:after="0"/>
              <w:rPr>
                <w:sz w:val="12"/>
                <w:szCs w:val="12"/>
                <w:color w:val="auto"/>
              </w:rPr>
            </w:pPr>
          </w:p>
        </w:tc>
        <w:tc>
          <w:tcPr>
            <w:tcW w:w="1080" w:type="dxa"/>
            <w:vAlign w:val="bottom"/>
            <w:shd w:val="clear" w:color="auto" w:fill="E0FCF9"/>
          </w:tcPr>
          <w:p>
            <w:pPr>
              <w:jc w:val="center"/>
              <w:ind w:right="308"/>
              <w:spacing w:after="0" w:line="149" w:lineRule="exact"/>
              <w:rPr>
                <w:sz w:val="20"/>
                <w:szCs w:val="20"/>
                <w:color w:val="auto"/>
              </w:rPr>
            </w:pPr>
            <w:r>
              <w:rPr>
                <w:rFonts w:ascii="Arial" w:cs="Arial" w:eastAsia="Arial" w:hAnsi="Arial"/>
                <w:sz w:val="14"/>
                <w:szCs w:val="14"/>
                <w:b w:val="1"/>
                <w:bCs w:val="1"/>
                <w:color w:val="0016FF"/>
                <w:w w:val="88"/>
              </w:rPr>
              <w:t>Severance</w:t>
            </w:r>
          </w:p>
        </w:tc>
        <w:tc>
          <w:tcPr>
            <w:tcW w:w="1140" w:type="dxa"/>
            <w:vAlign w:val="bottom"/>
            <w:shd w:val="clear" w:color="auto" w:fill="E0FCF9"/>
          </w:tcPr>
          <w:p>
            <w:pPr>
              <w:jc w:val="center"/>
              <w:ind w:right="108"/>
              <w:spacing w:after="0" w:line="149" w:lineRule="exact"/>
              <w:rPr>
                <w:sz w:val="20"/>
                <w:szCs w:val="20"/>
                <w:color w:val="auto"/>
              </w:rPr>
            </w:pPr>
            <w:r>
              <w:rPr>
                <w:rFonts w:ascii="Arial" w:cs="Arial" w:eastAsia="Arial" w:hAnsi="Arial"/>
                <w:sz w:val="14"/>
                <w:szCs w:val="14"/>
                <w:b w:val="1"/>
                <w:bCs w:val="1"/>
                <w:color w:val="0016FF"/>
                <w:w w:val="92"/>
              </w:rPr>
              <w:t>Year</w:t>
            </w:r>
          </w:p>
        </w:tc>
        <w:tc>
          <w:tcPr>
            <w:tcW w:w="1260" w:type="dxa"/>
            <w:vAlign w:val="bottom"/>
            <w:shd w:val="clear" w:color="auto" w:fill="E0FCF9"/>
          </w:tcPr>
          <w:p>
            <w:pPr>
              <w:jc w:val="center"/>
              <w:ind w:right="108"/>
              <w:spacing w:after="0" w:line="149" w:lineRule="exact"/>
              <w:rPr>
                <w:sz w:val="20"/>
                <w:szCs w:val="20"/>
                <w:color w:val="auto"/>
              </w:rPr>
            </w:pPr>
            <w:r>
              <w:rPr>
                <w:rFonts w:ascii="Arial" w:cs="Arial" w:eastAsia="Arial" w:hAnsi="Arial"/>
                <w:sz w:val="14"/>
                <w:szCs w:val="14"/>
                <w:b w:val="1"/>
                <w:bCs w:val="1"/>
                <w:color w:val="0016FF"/>
                <w:w w:val="93"/>
              </w:rPr>
              <w:t>of Medical</w:t>
            </w:r>
          </w:p>
        </w:tc>
        <w:tc>
          <w:tcPr>
            <w:tcW w:w="100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8"/>
              </w:rPr>
              <w:t>Equity</w:t>
            </w:r>
          </w:p>
        </w:tc>
        <w:tc>
          <w:tcPr>
            <w:tcW w:w="1260" w:type="dxa"/>
            <w:vAlign w:val="bottom"/>
            <w:shd w:val="clear" w:color="auto" w:fill="E0FCF9"/>
          </w:tcPr>
          <w:p>
            <w:pPr>
              <w:jc w:val="center"/>
              <w:ind w:right="188"/>
              <w:spacing w:after="0" w:line="149" w:lineRule="exact"/>
              <w:rPr>
                <w:sz w:val="20"/>
                <w:szCs w:val="20"/>
                <w:color w:val="auto"/>
              </w:rPr>
            </w:pPr>
            <w:r>
              <w:rPr>
                <w:rFonts w:ascii="Arial" w:cs="Arial" w:eastAsia="Arial" w:hAnsi="Arial"/>
                <w:sz w:val="14"/>
                <w:szCs w:val="14"/>
                <w:b w:val="1"/>
                <w:bCs w:val="1"/>
                <w:color w:val="0016FF"/>
                <w:w w:val="93"/>
              </w:rPr>
              <w:t>Cash</w:t>
            </w:r>
          </w:p>
        </w:tc>
        <w:tc>
          <w:tcPr>
            <w:tcW w:w="900" w:type="dxa"/>
            <w:vAlign w:val="bottom"/>
            <w:vMerge w:val="restart"/>
            <w:shd w:val="clear" w:color="auto" w:fill="E0FCF9"/>
          </w:tcPr>
          <w:p>
            <w:pPr>
              <w:jc w:val="right"/>
              <w:ind w:right="308"/>
              <w:spacing w:after="0"/>
              <w:rPr>
                <w:sz w:val="20"/>
                <w:szCs w:val="20"/>
                <w:color w:val="auto"/>
              </w:rPr>
            </w:pPr>
            <w:r>
              <w:rPr>
                <w:rFonts w:ascii="Arial" w:cs="Arial" w:eastAsia="Arial" w:hAnsi="Arial"/>
                <w:sz w:val="14"/>
                <w:szCs w:val="14"/>
                <w:b w:val="1"/>
                <w:bCs w:val="1"/>
                <w:color w:val="0016FF"/>
              </w:rPr>
              <w:t>Other</w:t>
            </w:r>
          </w:p>
        </w:tc>
        <w:tc>
          <w:tcPr>
            <w:tcW w:w="620" w:type="dxa"/>
            <w:vAlign w:val="bottom"/>
            <w:gridSpan w:val="2"/>
            <w:vMerge w:val="restart"/>
            <w:shd w:val="clear" w:color="auto" w:fill="E0FCF9"/>
          </w:tcPr>
          <w:p>
            <w:pPr>
              <w:ind w:left="180"/>
              <w:spacing w:after="0"/>
              <w:rPr>
                <w:sz w:val="20"/>
                <w:szCs w:val="20"/>
                <w:color w:val="auto"/>
              </w:rPr>
            </w:pPr>
            <w:r>
              <w:rPr>
                <w:rFonts w:ascii="Arial" w:cs="Arial" w:eastAsia="Arial" w:hAnsi="Arial"/>
                <w:sz w:val="14"/>
                <w:szCs w:val="14"/>
                <w:b w:val="1"/>
                <w:bCs w:val="1"/>
                <w:color w:val="0016FF"/>
              </w:rPr>
              <w:t>Total</w:t>
            </w:r>
          </w:p>
        </w:tc>
        <w:tc>
          <w:tcPr>
            <w:tcW w:w="0" w:type="dxa"/>
            <w:vAlign w:val="bottom"/>
          </w:tcPr>
          <w:p>
            <w:pPr>
              <w:spacing w:after="0"/>
              <w:rPr>
                <w:sz w:val="1"/>
                <w:szCs w:val="1"/>
                <w:color w:val="auto"/>
              </w:rPr>
            </w:pPr>
          </w:p>
        </w:tc>
      </w:tr>
      <w:tr>
        <w:trPr>
          <w:trHeight w:val="148"/>
        </w:trPr>
        <w:tc>
          <w:tcPr>
            <w:tcW w:w="3540" w:type="dxa"/>
            <w:vAlign w:val="bottom"/>
            <w:vMerge w:val="restart"/>
            <w:shd w:val="clear" w:color="auto" w:fill="E0FCF9"/>
          </w:tcPr>
          <w:p>
            <w:pPr>
              <w:ind w:left="40"/>
              <w:spacing w:after="0"/>
              <w:rPr>
                <w:sz w:val="20"/>
                <w:szCs w:val="20"/>
                <w:color w:val="auto"/>
              </w:rPr>
            </w:pPr>
            <w:r>
              <w:rPr>
                <w:rFonts w:ascii="Arial" w:cs="Arial" w:eastAsia="Arial" w:hAnsi="Arial"/>
                <w:sz w:val="14"/>
                <w:szCs w:val="14"/>
                <w:b w:val="1"/>
                <w:bCs w:val="1"/>
                <w:color w:val="0016FF"/>
              </w:rPr>
              <w:t>Name</w:t>
            </w:r>
          </w:p>
        </w:tc>
        <w:tc>
          <w:tcPr>
            <w:tcW w:w="220" w:type="dxa"/>
            <w:vAlign w:val="bottom"/>
            <w:shd w:val="clear" w:color="auto" w:fill="E0FCF9"/>
          </w:tcPr>
          <w:p>
            <w:pPr>
              <w:spacing w:after="0"/>
              <w:rPr>
                <w:sz w:val="12"/>
                <w:szCs w:val="12"/>
                <w:color w:val="auto"/>
              </w:rPr>
            </w:pPr>
          </w:p>
        </w:tc>
        <w:tc>
          <w:tcPr>
            <w:tcW w:w="1080" w:type="dxa"/>
            <w:vAlign w:val="bottom"/>
            <w:shd w:val="clear" w:color="auto" w:fill="E0FCF9"/>
          </w:tcPr>
          <w:p>
            <w:pPr>
              <w:jc w:val="center"/>
              <w:ind w:right="308"/>
              <w:spacing w:after="0" w:line="149" w:lineRule="exact"/>
              <w:rPr>
                <w:sz w:val="20"/>
                <w:szCs w:val="20"/>
                <w:color w:val="auto"/>
              </w:rPr>
            </w:pPr>
            <w:r>
              <w:rPr>
                <w:rFonts w:ascii="Arial" w:cs="Arial" w:eastAsia="Arial" w:hAnsi="Arial"/>
                <w:sz w:val="14"/>
                <w:szCs w:val="14"/>
                <w:b w:val="1"/>
                <w:bCs w:val="1"/>
                <w:color w:val="0016FF"/>
                <w:w w:val="92"/>
              </w:rPr>
              <w:t>Payment</w:t>
            </w:r>
          </w:p>
        </w:tc>
        <w:tc>
          <w:tcPr>
            <w:tcW w:w="1140" w:type="dxa"/>
            <w:vAlign w:val="bottom"/>
            <w:shd w:val="clear" w:color="auto" w:fill="E0FCF9"/>
          </w:tcPr>
          <w:p>
            <w:pPr>
              <w:jc w:val="center"/>
              <w:ind w:right="108"/>
              <w:spacing w:after="0" w:line="149" w:lineRule="exact"/>
              <w:rPr>
                <w:sz w:val="20"/>
                <w:szCs w:val="20"/>
                <w:color w:val="auto"/>
              </w:rPr>
            </w:pPr>
            <w:r>
              <w:rPr>
                <w:rFonts w:ascii="Arial" w:cs="Arial" w:eastAsia="Arial" w:hAnsi="Arial"/>
                <w:sz w:val="14"/>
                <w:szCs w:val="14"/>
                <w:b w:val="1"/>
                <w:bCs w:val="1"/>
                <w:color w:val="0016FF"/>
                <w:w w:val="87"/>
              </w:rPr>
              <w:t>Bonuses</w:t>
            </w:r>
          </w:p>
        </w:tc>
        <w:tc>
          <w:tcPr>
            <w:tcW w:w="1260" w:type="dxa"/>
            <w:vAlign w:val="bottom"/>
            <w:shd w:val="clear" w:color="auto" w:fill="E0FCF9"/>
          </w:tcPr>
          <w:p>
            <w:pPr>
              <w:jc w:val="center"/>
              <w:ind w:right="88"/>
              <w:spacing w:after="0" w:line="149" w:lineRule="exact"/>
              <w:rPr>
                <w:sz w:val="20"/>
                <w:szCs w:val="20"/>
                <w:color w:val="auto"/>
              </w:rPr>
            </w:pPr>
            <w:r>
              <w:rPr>
                <w:rFonts w:ascii="Arial" w:cs="Arial" w:eastAsia="Arial" w:hAnsi="Arial"/>
                <w:sz w:val="14"/>
                <w:szCs w:val="14"/>
                <w:b w:val="1"/>
                <w:bCs w:val="1"/>
                <w:color w:val="0016FF"/>
                <w:w w:val="90"/>
              </w:rPr>
              <w:t>Benefits</w:t>
            </w:r>
          </w:p>
        </w:tc>
        <w:tc>
          <w:tcPr>
            <w:tcW w:w="1000" w:type="dxa"/>
            <w:vAlign w:val="bottom"/>
            <w:shd w:val="clear" w:color="auto" w:fill="E0FCF9"/>
          </w:tcPr>
          <w:p>
            <w:pPr>
              <w:jc w:val="center"/>
              <w:spacing w:after="0" w:line="149" w:lineRule="exact"/>
              <w:rPr>
                <w:sz w:val="20"/>
                <w:szCs w:val="20"/>
                <w:color w:val="auto"/>
              </w:rPr>
            </w:pPr>
            <w:r>
              <w:rPr>
                <w:rFonts w:ascii="Arial" w:cs="Arial" w:eastAsia="Arial" w:hAnsi="Arial"/>
                <w:sz w:val="14"/>
                <w:szCs w:val="14"/>
                <w:b w:val="1"/>
                <w:bCs w:val="1"/>
                <w:color w:val="0016FF"/>
                <w:w w:val="90"/>
              </w:rPr>
              <w:t>Awards</w:t>
            </w:r>
          </w:p>
        </w:tc>
        <w:tc>
          <w:tcPr>
            <w:tcW w:w="1260" w:type="dxa"/>
            <w:vAlign w:val="bottom"/>
            <w:shd w:val="clear" w:color="auto" w:fill="E0FCF9"/>
          </w:tcPr>
          <w:p>
            <w:pPr>
              <w:jc w:val="center"/>
              <w:ind w:right="188"/>
              <w:spacing w:after="0" w:line="149" w:lineRule="exact"/>
              <w:rPr>
                <w:sz w:val="20"/>
                <w:szCs w:val="20"/>
                <w:color w:val="auto"/>
              </w:rPr>
            </w:pPr>
            <w:r>
              <w:rPr>
                <w:rFonts w:ascii="Arial" w:cs="Arial" w:eastAsia="Arial" w:hAnsi="Arial"/>
                <w:sz w:val="14"/>
                <w:szCs w:val="14"/>
                <w:b w:val="1"/>
                <w:bCs w:val="1"/>
                <w:color w:val="0016FF"/>
                <w:w w:val="94"/>
              </w:rPr>
              <w:t>Awards</w:t>
            </w:r>
          </w:p>
        </w:tc>
        <w:tc>
          <w:tcPr>
            <w:tcW w:w="900" w:type="dxa"/>
            <w:vAlign w:val="bottom"/>
            <w:vMerge w:val="continue"/>
            <w:shd w:val="clear" w:color="auto" w:fill="E0FCF9"/>
          </w:tcPr>
          <w:p>
            <w:pPr>
              <w:spacing w:after="0"/>
              <w:rPr>
                <w:sz w:val="12"/>
                <w:szCs w:val="12"/>
                <w:color w:val="auto"/>
              </w:rPr>
            </w:pPr>
          </w:p>
        </w:tc>
        <w:tc>
          <w:tcPr>
            <w:tcW w:w="620" w:type="dxa"/>
            <w:vAlign w:val="bottom"/>
            <w:gridSpan w:val="2"/>
            <w:vMerge w:val="continue"/>
            <w:shd w:val="clear" w:color="auto" w:fill="E0FCF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vMerge w:val="continue"/>
            <w:shd w:val="clear" w:color="auto" w:fill="E0FCF9"/>
          </w:tcPr>
          <w:p>
            <w:pPr>
              <w:spacing w:after="0"/>
              <w:rPr>
                <w:sz w:val="14"/>
                <w:szCs w:val="14"/>
                <w:color w:val="auto"/>
              </w:rPr>
            </w:pPr>
          </w:p>
        </w:tc>
        <w:tc>
          <w:tcPr>
            <w:tcW w:w="1300" w:type="dxa"/>
            <w:vAlign w:val="bottom"/>
            <w:gridSpan w:val="2"/>
            <w:shd w:val="clear" w:color="auto" w:fill="E0FCF9"/>
          </w:tcPr>
          <w:p>
            <w:pPr>
              <w:jc w:val="center"/>
              <w:ind w:right="88"/>
              <w:spacing w:after="0"/>
              <w:rPr>
                <w:sz w:val="20"/>
                <w:szCs w:val="20"/>
                <w:color w:val="auto"/>
              </w:rPr>
            </w:pPr>
            <w:r>
              <w:rPr>
                <w:rFonts w:ascii="Arial" w:cs="Arial" w:eastAsia="Arial" w:hAnsi="Arial"/>
                <w:sz w:val="14"/>
                <w:szCs w:val="14"/>
                <w:b w:val="1"/>
                <w:bCs w:val="1"/>
                <w:color w:val="0016FF"/>
              </w:rPr>
              <w:t>($)</w:t>
            </w:r>
          </w:p>
        </w:tc>
        <w:tc>
          <w:tcPr>
            <w:tcW w:w="1140" w:type="dxa"/>
            <w:vAlign w:val="bottom"/>
            <w:shd w:val="clear" w:color="auto" w:fill="E0FCF9"/>
          </w:tcPr>
          <w:p>
            <w:pPr>
              <w:jc w:val="center"/>
              <w:ind w:right="108"/>
              <w:spacing w:after="0"/>
              <w:rPr>
                <w:sz w:val="20"/>
                <w:szCs w:val="20"/>
                <w:color w:val="auto"/>
              </w:rPr>
            </w:pPr>
            <w:r>
              <w:rPr>
                <w:rFonts w:ascii="Arial" w:cs="Arial" w:eastAsia="Arial" w:hAnsi="Arial"/>
                <w:sz w:val="14"/>
                <w:szCs w:val="14"/>
                <w:b w:val="1"/>
                <w:bCs w:val="1"/>
                <w:color w:val="0016FF"/>
                <w:w w:val="93"/>
              </w:rPr>
              <w:t>($)</w:t>
            </w:r>
          </w:p>
        </w:tc>
        <w:tc>
          <w:tcPr>
            <w:tcW w:w="1260" w:type="dxa"/>
            <w:vAlign w:val="bottom"/>
            <w:shd w:val="clear" w:color="auto" w:fill="E0FCF9"/>
          </w:tcPr>
          <w:p>
            <w:pPr>
              <w:jc w:val="center"/>
              <w:ind w:right="108"/>
              <w:spacing w:after="0"/>
              <w:rPr>
                <w:sz w:val="20"/>
                <w:szCs w:val="20"/>
                <w:color w:val="auto"/>
              </w:rPr>
            </w:pPr>
            <w:r>
              <w:rPr>
                <w:rFonts w:ascii="Arial" w:cs="Arial" w:eastAsia="Arial" w:hAnsi="Arial"/>
                <w:sz w:val="14"/>
                <w:szCs w:val="14"/>
                <w:b w:val="1"/>
                <w:bCs w:val="1"/>
                <w:color w:val="0016FF"/>
                <w:w w:val="93"/>
              </w:rPr>
              <w:t>($)</w:t>
            </w:r>
          </w:p>
        </w:tc>
        <w:tc>
          <w:tcPr>
            <w:tcW w:w="1000" w:type="dxa"/>
            <w:vAlign w:val="bottom"/>
            <w:shd w:val="clear" w:color="auto" w:fill="E0FCF9"/>
          </w:tcPr>
          <w:p>
            <w:pPr>
              <w:jc w:val="center"/>
              <w:spacing w:after="0"/>
              <w:rPr>
                <w:sz w:val="20"/>
                <w:szCs w:val="20"/>
                <w:color w:val="auto"/>
              </w:rPr>
            </w:pPr>
            <w:r>
              <w:rPr>
                <w:rFonts w:ascii="Arial" w:cs="Arial" w:eastAsia="Arial" w:hAnsi="Arial"/>
                <w:sz w:val="14"/>
                <w:szCs w:val="14"/>
                <w:b w:val="1"/>
                <w:bCs w:val="1"/>
                <w:color w:val="0016FF"/>
                <w:w w:val="93"/>
              </w:rPr>
              <w:t>($)</w:t>
            </w:r>
          </w:p>
        </w:tc>
        <w:tc>
          <w:tcPr>
            <w:tcW w:w="1260" w:type="dxa"/>
            <w:vAlign w:val="bottom"/>
            <w:shd w:val="clear" w:color="auto" w:fill="E0FCF9"/>
          </w:tcPr>
          <w:p>
            <w:pPr>
              <w:jc w:val="center"/>
              <w:ind w:right="188"/>
              <w:spacing w:after="0"/>
              <w:rPr>
                <w:sz w:val="20"/>
                <w:szCs w:val="20"/>
                <w:color w:val="auto"/>
              </w:rPr>
            </w:pPr>
            <w:r>
              <w:rPr>
                <w:rFonts w:ascii="Arial" w:cs="Arial" w:eastAsia="Arial" w:hAnsi="Arial"/>
                <w:sz w:val="14"/>
                <w:szCs w:val="14"/>
                <w:b w:val="1"/>
                <w:bCs w:val="1"/>
                <w:color w:val="0016FF"/>
                <w:w w:val="93"/>
              </w:rPr>
              <w:t>($)</w:t>
            </w:r>
          </w:p>
        </w:tc>
        <w:tc>
          <w:tcPr>
            <w:tcW w:w="900" w:type="dxa"/>
            <w:vAlign w:val="bottom"/>
            <w:shd w:val="clear" w:color="auto" w:fill="E0FCF9"/>
          </w:tcPr>
          <w:p>
            <w:pPr>
              <w:jc w:val="right"/>
              <w:ind w:right="408"/>
              <w:spacing w:after="0"/>
              <w:rPr>
                <w:sz w:val="20"/>
                <w:szCs w:val="20"/>
                <w:color w:val="auto"/>
              </w:rPr>
            </w:pPr>
            <w:r>
              <w:rPr>
                <w:rFonts w:ascii="Arial" w:cs="Arial" w:eastAsia="Arial" w:hAnsi="Arial"/>
                <w:sz w:val="14"/>
                <w:szCs w:val="14"/>
                <w:b w:val="1"/>
                <w:bCs w:val="1"/>
                <w:color w:val="0016FF"/>
              </w:rPr>
              <w:t>($)</w:t>
            </w:r>
          </w:p>
        </w:tc>
        <w:tc>
          <w:tcPr>
            <w:tcW w:w="560" w:type="dxa"/>
            <w:vAlign w:val="bottom"/>
            <w:shd w:val="clear" w:color="auto" w:fill="E0FCF9"/>
          </w:tcPr>
          <w:p>
            <w:pPr>
              <w:jc w:val="right"/>
              <w:ind w:right="68"/>
              <w:spacing w:after="0"/>
              <w:rPr>
                <w:sz w:val="20"/>
                <w:szCs w:val="20"/>
                <w:color w:val="auto"/>
              </w:rPr>
            </w:pPr>
            <w:r>
              <w:rPr>
                <w:rFonts w:ascii="Arial" w:cs="Arial" w:eastAsia="Arial" w:hAnsi="Arial"/>
                <w:sz w:val="14"/>
                <w:szCs w:val="14"/>
                <w:b w:val="1"/>
                <w:bCs w:val="1"/>
                <w:color w:val="0016FF"/>
              </w:rPr>
              <w:t>($)</w:t>
            </w:r>
          </w:p>
        </w:tc>
        <w:tc>
          <w:tcPr>
            <w:tcW w:w="6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Borders>
              <w:top w:val="single" w:sz="8" w:color="auto"/>
              <w:bottom w:val="single" w:sz="8" w:color="E0FCF9"/>
            </w:tcBorders>
            <w:shd w:val="clear" w:color="auto" w:fill="E0FCF9"/>
          </w:tcPr>
          <w:p>
            <w:pPr>
              <w:spacing w:after="0"/>
              <w:rPr>
                <w:sz w:val="16"/>
                <w:szCs w:val="16"/>
                <w:color w:val="auto"/>
              </w:rPr>
            </w:pPr>
          </w:p>
        </w:tc>
        <w:tc>
          <w:tcPr>
            <w:tcW w:w="220" w:type="dxa"/>
            <w:vAlign w:val="bottom"/>
            <w:tcBorders>
              <w:top w:val="single" w:sz="8" w:color="E0FCF9"/>
              <w:bottom w:val="single" w:sz="8" w:color="E0FCF9"/>
            </w:tcBorders>
            <w:shd w:val="clear" w:color="auto" w:fill="E0FCF9"/>
          </w:tcPr>
          <w:p>
            <w:pPr>
              <w:spacing w:after="0"/>
              <w:rPr>
                <w:sz w:val="16"/>
                <w:szCs w:val="16"/>
                <w:color w:val="auto"/>
              </w:rPr>
            </w:pPr>
          </w:p>
        </w:tc>
        <w:tc>
          <w:tcPr>
            <w:tcW w:w="1080" w:type="dxa"/>
            <w:vAlign w:val="bottom"/>
            <w:tcBorders>
              <w:top w:val="single" w:sz="8" w:color="auto"/>
              <w:bottom w:val="single" w:sz="8" w:color="E0FCF9"/>
            </w:tcBorders>
            <w:shd w:val="clear" w:color="auto" w:fill="E0FCF9"/>
          </w:tcPr>
          <w:p>
            <w:pPr>
              <w:spacing w:after="0"/>
              <w:rPr>
                <w:sz w:val="16"/>
                <w:szCs w:val="16"/>
                <w:color w:val="auto"/>
              </w:rPr>
            </w:pPr>
          </w:p>
        </w:tc>
        <w:tc>
          <w:tcPr>
            <w:tcW w:w="1140" w:type="dxa"/>
            <w:vAlign w:val="bottom"/>
            <w:tcBorders>
              <w:top w:val="single" w:sz="8" w:color="auto"/>
              <w:bottom w:val="single" w:sz="8" w:color="E0FCF9"/>
            </w:tcBorders>
            <w:shd w:val="clear" w:color="auto" w:fill="E0FCF9"/>
          </w:tcPr>
          <w:p>
            <w:pPr>
              <w:spacing w:after="0"/>
              <w:rPr>
                <w:sz w:val="16"/>
                <w:szCs w:val="16"/>
                <w:color w:val="auto"/>
              </w:rPr>
            </w:pPr>
          </w:p>
        </w:tc>
        <w:tc>
          <w:tcPr>
            <w:tcW w:w="3520" w:type="dxa"/>
            <w:vAlign w:val="bottom"/>
            <w:tcBorders>
              <w:top w:val="single" w:sz="8" w:color="auto"/>
              <w:bottom w:val="single" w:sz="8" w:color="E0FCF9"/>
            </w:tcBorders>
            <w:gridSpan w:val="3"/>
            <w:shd w:val="clear" w:color="auto" w:fill="E0FCF9"/>
          </w:tcPr>
          <w:p>
            <w:pPr>
              <w:ind w:left="140"/>
              <w:spacing w:after="0"/>
              <w:rPr>
                <w:sz w:val="20"/>
                <w:szCs w:val="20"/>
                <w:color w:val="auto"/>
              </w:rPr>
            </w:pPr>
            <w:r>
              <w:rPr>
                <w:rFonts w:ascii="Arial" w:cs="Arial" w:eastAsia="Arial" w:hAnsi="Arial"/>
                <w:sz w:val="14"/>
                <w:szCs w:val="14"/>
                <w:b w:val="1"/>
                <w:bCs w:val="1"/>
                <w:color w:val="0016FF"/>
              </w:rPr>
              <w:t>(dollars in thousands, except share data)</w:t>
            </w:r>
          </w:p>
        </w:tc>
        <w:tc>
          <w:tcPr>
            <w:tcW w:w="900" w:type="dxa"/>
            <w:vAlign w:val="bottom"/>
            <w:tcBorders>
              <w:top w:val="single" w:sz="8" w:color="auto"/>
              <w:bottom w:val="single" w:sz="8" w:color="E0FCF9"/>
            </w:tcBorders>
            <w:shd w:val="clear" w:color="auto" w:fill="E0FCF9"/>
          </w:tcPr>
          <w:p>
            <w:pPr>
              <w:spacing w:after="0"/>
              <w:rPr>
                <w:sz w:val="16"/>
                <w:szCs w:val="16"/>
                <w:color w:val="auto"/>
              </w:rPr>
            </w:pPr>
          </w:p>
        </w:tc>
        <w:tc>
          <w:tcPr>
            <w:tcW w:w="560" w:type="dxa"/>
            <w:vAlign w:val="bottom"/>
            <w:tcBorders>
              <w:top w:val="single" w:sz="8" w:color="auto"/>
              <w:bottom w:val="single" w:sz="8" w:color="E0FCF9"/>
            </w:tcBorders>
            <w:shd w:val="clear" w:color="auto" w:fill="E0FCF9"/>
          </w:tcPr>
          <w:p>
            <w:pPr>
              <w:spacing w:after="0"/>
              <w:rPr>
                <w:sz w:val="16"/>
                <w:szCs w:val="16"/>
                <w:color w:val="auto"/>
              </w:rPr>
            </w:pPr>
          </w:p>
        </w:tc>
        <w:tc>
          <w:tcPr>
            <w:tcW w:w="60" w:type="dxa"/>
            <w:vAlign w:val="bottom"/>
            <w:tcBorders>
              <w:top w:val="single" w:sz="8" w:color="E0FCF9"/>
              <w:bottom w:val="single" w:sz="8" w:color="E0FCF9"/>
            </w:tcBorders>
            <w:shd w:val="clear" w:color="auto" w:fill="E0FCF9"/>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40" w:type="dxa"/>
            <w:vAlign w:val="bottom"/>
          </w:tcPr>
          <w:p>
            <w:pPr>
              <w:ind w:left="40"/>
              <w:spacing w:after="0" w:line="130" w:lineRule="exact"/>
              <w:rPr>
                <w:sz w:val="20"/>
                <w:szCs w:val="20"/>
                <w:color w:val="auto"/>
              </w:rPr>
            </w:pPr>
            <w:r>
              <w:rPr>
                <w:rFonts w:ascii="Arial" w:cs="Arial" w:eastAsia="Arial" w:hAnsi="Arial"/>
                <w:sz w:val="14"/>
                <w:szCs w:val="14"/>
                <w:color w:val="auto"/>
              </w:rPr>
              <w:t>Roger C. Altman</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Termination due to death or disability</w:t>
            </w:r>
          </w:p>
        </w:tc>
        <w:tc>
          <w:tcPr>
            <w:tcW w:w="22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6,500(1)</w:t>
            </w:r>
          </w:p>
        </w:tc>
        <w:tc>
          <w:tcPr>
            <w:tcW w:w="126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9,646(2)</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16,146</w:t>
            </w: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w w:val="99"/>
              </w:rPr>
              <w:t>Termination by us without “cause” or by the executive</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for “good reason” or if we elect not to extend term</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Qualifying Terminations</w:t>
            </w:r>
            <w:r>
              <w:rPr>
                <w:rFonts w:ascii="Arial" w:cs="Arial" w:eastAsia="Arial" w:hAnsi="Arial"/>
                <w:sz w:val="14"/>
                <w:szCs w:val="14"/>
                <w:color w:val="auto"/>
              </w:rPr>
              <w:t>”)</w:t>
            </w:r>
          </w:p>
        </w:tc>
        <w:tc>
          <w:tcPr>
            <w:tcW w:w="13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17,333(3)</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6,500(1)</w:t>
            </w:r>
          </w:p>
        </w:tc>
        <w:tc>
          <w:tcPr>
            <w:tcW w:w="1260" w:type="dxa"/>
            <w:vAlign w:val="bottom"/>
          </w:tcPr>
          <w:p>
            <w:pPr>
              <w:ind w:left="820"/>
              <w:spacing w:after="0" w:line="149" w:lineRule="exact"/>
              <w:rPr>
                <w:sz w:val="20"/>
                <w:szCs w:val="20"/>
                <w:color w:val="auto"/>
              </w:rPr>
            </w:pPr>
            <w:r>
              <w:rPr>
                <w:rFonts w:ascii="Arial" w:cs="Arial" w:eastAsia="Arial" w:hAnsi="Arial"/>
                <w:sz w:val="14"/>
                <w:szCs w:val="14"/>
                <w:color w:val="auto"/>
              </w:rPr>
              <w:t>11(4)</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9,646(2)</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33,490</w:t>
            </w: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Qualifying Termination within six months prior to or</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anytime following a change in control</w:t>
            </w:r>
          </w:p>
        </w:tc>
        <w:tc>
          <w:tcPr>
            <w:tcW w:w="13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26,000(5)</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6,500(1)</w:t>
            </w:r>
          </w:p>
        </w:tc>
        <w:tc>
          <w:tcPr>
            <w:tcW w:w="1260" w:type="dxa"/>
            <w:vAlign w:val="bottom"/>
          </w:tcPr>
          <w:p>
            <w:pPr>
              <w:ind w:left="820"/>
              <w:spacing w:after="0" w:line="149" w:lineRule="exact"/>
              <w:rPr>
                <w:sz w:val="20"/>
                <w:szCs w:val="20"/>
                <w:color w:val="auto"/>
              </w:rPr>
            </w:pPr>
            <w:r>
              <w:rPr>
                <w:rFonts w:ascii="Arial" w:cs="Arial" w:eastAsia="Arial" w:hAnsi="Arial"/>
                <w:sz w:val="14"/>
                <w:szCs w:val="14"/>
                <w:color w:val="auto"/>
              </w:rPr>
              <w:t>15(6)</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9,646(2)</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17,692(7)</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59,853</w:t>
            </w: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employment terminates)</w:t>
            </w:r>
          </w:p>
        </w:tc>
        <w:tc>
          <w:tcPr>
            <w:tcW w:w="22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9,646(2)</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9,646</w:t>
            </w:r>
          </w:p>
        </w:tc>
        <w:tc>
          <w:tcPr>
            <w:tcW w:w="0" w:type="dxa"/>
            <w:vAlign w:val="bottom"/>
          </w:tcPr>
          <w:p>
            <w:pPr>
              <w:spacing w:after="0"/>
              <w:rPr>
                <w:sz w:val="1"/>
                <w:szCs w:val="1"/>
                <w:color w:val="auto"/>
              </w:rPr>
            </w:pPr>
          </w:p>
        </w:tc>
      </w:tr>
      <w:tr>
        <w:trPr>
          <w:trHeight w:val="149"/>
        </w:trPr>
        <w:tc>
          <w:tcPr>
            <w:tcW w:w="3540" w:type="dxa"/>
            <w:vAlign w:val="bottom"/>
          </w:tcPr>
          <w:p>
            <w:pPr>
              <w:ind w:left="40"/>
              <w:spacing w:after="0" w:line="149" w:lineRule="exact"/>
              <w:rPr>
                <w:sz w:val="20"/>
                <w:szCs w:val="20"/>
                <w:color w:val="auto"/>
              </w:rPr>
            </w:pPr>
            <w:r>
              <w:rPr>
                <w:rFonts w:ascii="Arial" w:cs="Arial" w:eastAsia="Arial" w:hAnsi="Arial"/>
                <w:sz w:val="14"/>
                <w:szCs w:val="14"/>
                <w:color w:val="auto"/>
              </w:rPr>
              <w:t>Ralph L. Schlosstein</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employment terminates), termination due to death,</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disability or termination by us without “cause”</w:t>
            </w:r>
          </w:p>
        </w:tc>
        <w:tc>
          <w:tcPr>
            <w:tcW w:w="22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8,011(8)</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8,011</w:t>
            </w:r>
          </w:p>
        </w:tc>
        <w:tc>
          <w:tcPr>
            <w:tcW w:w="0" w:type="dxa"/>
            <w:vAlign w:val="bottom"/>
          </w:tcPr>
          <w:p>
            <w:pPr>
              <w:spacing w:after="0"/>
              <w:rPr>
                <w:sz w:val="1"/>
                <w:szCs w:val="1"/>
                <w:color w:val="auto"/>
              </w:rPr>
            </w:pPr>
          </w:p>
        </w:tc>
      </w:tr>
      <w:tr>
        <w:trPr>
          <w:trHeight w:val="148"/>
        </w:trPr>
        <w:tc>
          <w:tcPr>
            <w:tcW w:w="3540" w:type="dxa"/>
            <w:vAlign w:val="bottom"/>
          </w:tcPr>
          <w:p>
            <w:pPr>
              <w:ind w:left="40"/>
              <w:spacing w:after="0" w:line="149" w:lineRule="exact"/>
              <w:rPr>
                <w:sz w:val="20"/>
                <w:szCs w:val="20"/>
                <w:color w:val="auto"/>
              </w:rPr>
            </w:pPr>
            <w:r>
              <w:rPr>
                <w:rFonts w:ascii="Arial" w:cs="Arial" w:eastAsia="Arial" w:hAnsi="Arial"/>
                <w:sz w:val="14"/>
                <w:szCs w:val="14"/>
                <w:color w:val="auto"/>
              </w:rPr>
              <w:t>John S. Weinberg</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employment terminates), termination due to death,</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disability, termination by us without “cause” or</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resignation for “good reason”</w:t>
            </w:r>
          </w:p>
        </w:tc>
        <w:tc>
          <w:tcPr>
            <w:tcW w:w="22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71,666(9)</w:t>
            </w:r>
          </w:p>
        </w:tc>
        <w:tc>
          <w:tcPr>
            <w:tcW w:w="12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24,000(10)</w:t>
            </w:r>
          </w:p>
        </w:tc>
        <w:tc>
          <w:tcPr>
            <w:tcW w:w="9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95,666</w:t>
            </w:r>
          </w:p>
        </w:tc>
        <w:tc>
          <w:tcPr>
            <w:tcW w:w="0" w:type="dxa"/>
            <w:vAlign w:val="bottom"/>
          </w:tcPr>
          <w:p>
            <w:pPr>
              <w:spacing w:after="0"/>
              <w:rPr>
                <w:sz w:val="1"/>
                <w:szCs w:val="1"/>
                <w:color w:val="auto"/>
              </w:rPr>
            </w:pPr>
          </w:p>
        </w:tc>
      </w:tr>
      <w:tr>
        <w:trPr>
          <w:trHeight w:val="148"/>
        </w:trPr>
        <w:tc>
          <w:tcPr>
            <w:tcW w:w="3540" w:type="dxa"/>
            <w:vAlign w:val="bottom"/>
          </w:tcPr>
          <w:p>
            <w:pPr>
              <w:ind w:left="40"/>
              <w:spacing w:after="0" w:line="149" w:lineRule="exact"/>
              <w:rPr>
                <w:sz w:val="20"/>
                <w:szCs w:val="20"/>
                <w:color w:val="auto"/>
              </w:rPr>
            </w:pPr>
            <w:r>
              <w:rPr>
                <w:rFonts w:ascii="Arial" w:cs="Arial" w:eastAsia="Arial" w:hAnsi="Arial"/>
                <w:sz w:val="14"/>
                <w:szCs w:val="14"/>
                <w:color w:val="auto"/>
              </w:rPr>
              <w:t>Robert B. Walsh</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employment terminates), termination due to death or</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disability, or termination by us without cause</w:t>
            </w:r>
          </w:p>
        </w:tc>
        <w:tc>
          <w:tcPr>
            <w:tcW w:w="22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3,069(11)</w:t>
            </w:r>
          </w:p>
        </w:tc>
        <w:tc>
          <w:tcPr>
            <w:tcW w:w="126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Andrew Sibbald</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Change in control (regardless of whether executive’s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20"/>
              <w:spacing w:after="0" w:line="149" w:lineRule="exact"/>
              <w:rPr>
                <w:sz w:val="20"/>
                <w:szCs w:val="20"/>
                <w:color w:val="auto"/>
              </w:rPr>
            </w:pPr>
            <w:r>
              <w:rPr>
                <w:rFonts w:ascii="Arial" w:cs="Arial" w:eastAsia="Arial" w:hAnsi="Arial"/>
                <w:sz w:val="14"/>
                <w:szCs w:val="14"/>
                <w:color w:val="auto"/>
              </w:rPr>
              <w:t>employment terminates), termination due to death or</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220"/>
              <w:spacing w:after="0"/>
              <w:rPr>
                <w:sz w:val="20"/>
                <w:szCs w:val="20"/>
                <w:color w:val="auto"/>
              </w:rPr>
            </w:pPr>
            <w:r>
              <w:rPr>
                <w:rFonts w:ascii="Arial" w:cs="Arial" w:eastAsia="Arial" w:hAnsi="Arial"/>
                <w:sz w:val="14"/>
                <w:szCs w:val="14"/>
                <w:color w:val="auto"/>
              </w:rPr>
              <w:t>disability, or termination by us without cause</w:t>
            </w:r>
          </w:p>
        </w:tc>
        <w:tc>
          <w:tcPr>
            <w:tcW w:w="22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ind w:left="8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5,324(13)</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76200</wp:posOffset>
            </wp:positionV>
            <wp:extent cx="13284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35" w:lineRule="exact"/>
        <w:rPr>
          <w:sz w:val="20"/>
          <w:szCs w:val="20"/>
          <w:color w:val="auto"/>
        </w:rPr>
      </w:pPr>
    </w:p>
    <w:p>
      <w:pPr>
        <w:ind w:left="660" w:right="20" w:hanging="436"/>
        <w:spacing w:after="0" w:line="233"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amount consists of Mr. Altman’s annual bonus for the 2019 fiscal year; Mr. Altman would otherwise be required to remain employed through the bonus payment date in order to receive these amounts. Note that approximately 50% of the annual bonus payable to Mr. Altman would have been paid in the form of restricted securities, subject to time-based vesting over a period of up to four years, but we have assumed for illustrative purposes only that when paid in connection with a severance event, Mr. Altman would have been paid the entire annual bonus in cash with no grants of equity securities subject to vesting.</w:t>
      </w:r>
    </w:p>
    <w:p>
      <w:pPr>
        <w:spacing w:after="0" w:line="90" w:lineRule="exact"/>
        <w:rPr>
          <w:rFonts w:ascii="Arial" w:cs="Arial" w:eastAsia="Arial" w:hAnsi="Arial"/>
          <w:sz w:val="14"/>
          <w:szCs w:val="14"/>
          <w:color w:val="auto"/>
        </w:rPr>
      </w:pPr>
    </w:p>
    <w:p>
      <w:pPr>
        <w:ind w:left="660" w:hanging="436"/>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amount represents the value of 129,028 otherwise unvested RSUs based on the closing price of our Class A common stock on December 31, 2019 ($74.76).</w:t>
      </w:r>
    </w:p>
    <w:p>
      <w:pPr>
        <w:spacing w:after="0" w:line="109" w:lineRule="exact"/>
        <w:rPr>
          <w:rFonts w:ascii="Arial" w:cs="Arial" w:eastAsia="Arial" w:hAnsi="Arial"/>
          <w:sz w:val="14"/>
          <w:szCs w:val="14"/>
          <w:color w:val="auto"/>
        </w:rPr>
      </w:pPr>
    </w:p>
    <w:p>
      <w:pPr>
        <w:ind w:left="660" w:right="80" w:hanging="436"/>
        <w:spacing w:after="0" w:line="290" w:lineRule="auto"/>
        <w:tabs>
          <w:tab w:leader="none" w:pos="6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This amount is equal to two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w:t>
      </w:r>
    </w:p>
    <w:p>
      <w:pPr>
        <w:spacing w:after="0" w:line="57" w:lineRule="exact"/>
        <w:rPr>
          <w:rFonts w:ascii="Arial" w:cs="Arial" w:eastAsia="Arial" w:hAnsi="Arial"/>
          <w:sz w:val="13"/>
          <w:szCs w:val="13"/>
          <w:color w:val="auto"/>
        </w:rPr>
      </w:pPr>
    </w:p>
    <w:p>
      <w:pPr>
        <w:ind w:left="660" w:hanging="436"/>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24 months of medical, dental and vision insurance coverage.</w:t>
      </w:r>
    </w:p>
    <w:p>
      <w:pPr>
        <w:spacing w:after="0" w:line="109" w:lineRule="exact"/>
        <w:rPr>
          <w:rFonts w:ascii="Arial" w:cs="Arial" w:eastAsia="Arial" w:hAnsi="Arial"/>
          <w:sz w:val="14"/>
          <w:szCs w:val="14"/>
          <w:color w:val="auto"/>
        </w:rPr>
      </w:pPr>
    </w:p>
    <w:p>
      <w:pPr>
        <w:ind w:left="660" w:right="20" w:hanging="436"/>
        <w:spacing w:after="0" w:line="290" w:lineRule="auto"/>
        <w:tabs>
          <w:tab w:leader="none" w:pos="6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This amount is equal to three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436"/>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the estimated present value of the employer-paid portion of premium payments for 36 months of medical, dental and vision insurance coverage.</w:t>
      </w:r>
    </w:p>
    <w:p>
      <w:pPr>
        <w:spacing w:after="0" w:line="109" w:lineRule="exact"/>
        <w:rPr>
          <w:rFonts w:ascii="Arial" w:cs="Arial" w:eastAsia="Arial" w:hAnsi="Arial"/>
          <w:sz w:val="14"/>
          <w:szCs w:val="14"/>
          <w:color w:val="auto"/>
        </w:rPr>
      </w:pPr>
    </w:p>
    <w:p>
      <w:pPr>
        <w:ind w:left="660" w:hanging="436"/>
        <w:spacing w:after="0" w:line="231"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If payments or benefits provided to Mr. Altman in connection with a change in control result in an “excess parachute payment” excise tax being imposed on Mr. Altman, he is entitled to a gross-up payment equal to the amount of the excise tax, as well as the excise tax and income tax on the gross-up payment. This amount represents the estimated gross-up payment that would be made to Mr. Altman in the event his employment is terminated by us without “cause” or by Mr. Altman for “good reason” on December 31, 2019, within six months prior to or anytime following a change in control. The actual amount of a gross-up payment, if any, will depend on the facts in existence at the time of any change in control and/or employment termination.</w:t>
      </w:r>
    </w:p>
    <w:p>
      <w:pPr>
        <w:spacing w:after="0" w:line="89" w:lineRule="exact"/>
        <w:rPr>
          <w:rFonts w:ascii="Arial" w:cs="Arial" w:eastAsia="Arial" w:hAnsi="Arial"/>
          <w:sz w:val="14"/>
          <w:szCs w:val="14"/>
          <w:color w:val="auto"/>
        </w:rPr>
      </w:pPr>
    </w:p>
    <w:p>
      <w:pPr>
        <w:ind w:left="660" w:hanging="436"/>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the value of 107,162 otherwise unvested RSUs, based on the closing price of our Class A common stock on December 31, 2019 ($74.76).</w:t>
      </w:r>
    </w:p>
    <w:p>
      <w:pPr>
        <w:spacing w:after="0" w:line="109" w:lineRule="exact"/>
        <w:rPr>
          <w:rFonts w:ascii="Arial" w:cs="Arial" w:eastAsia="Arial" w:hAnsi="Arial"/>
          <w:sz w:val="14"/>
          <w:szCs w:val="14"/>
          <w:color w:val="auto"/>
        </w:rPr>
      </w:pPr>
    </w:p>
    <w:p>
      <w:pPr>
        <w:ind w:left="660" w:right="120" w:hanging="436"/>
        <w:spacing w:after="0" w:line="233"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is equal to the sum of (i) $41,762,057, representing the value of 558,615 otherwise unvested RSUs, based on the closing price of our Class A common stock on December 31, 2019 ($74.76), and (ii) $29,904,000, representing the unvested portion of Mr. Weinberg’s Class I-P units, based on the closing price of our Class A common stock on December 31, 2019 ($74.76), which reflects the achievement of the performance vesting conditions applicable to such units (upon vesting, such Class I-P units would become convertible into Class I units and, following conversion, exchangeable into shares of our Class A common stock).</w:t>
      </w:r>
    </w:p>
    <w:p>
      <w:pPr>
        <w:spacing w:after="0" w:line="90" w:lineRule="exact"/>
        <w:rPr>
          <w:rFonts w:ascii="Arial" w:cs="Arial" w:eastAsia="Arial" w:hAnsi="Arial"/>
          <w:sz w:val="14"/>
          <w:szCs w:val="14"/>
          <w:color w:val="auto"/>
        </w:rPr>
      </w:pPr>
    </w:p>
    <w:p>
      <w:pPr>
        <w:ind w:left="660" w:right="40" w:hanging="436"/>
        <w:spacing w:after="0" w:line="238"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the unvested portion of Mr. Weinberg’s initial cash award, at target value, on December 31, 2019. Mr. Weinberg’s initial cash award is payable in a lump sum upon a change in control, but otherwise would be payable on its original payment schedule. The first tranche of this award ($11 million) vested on March 1, 2019 and the second tranche of this award ($6 million) vested on March 1, 2020.</w:t>
      </w:r>
    </w:p>
    <w:p>
      <w:pPr>
        <w:spacing w:after="0" w:line="88" w:lineRule="exact"/>
        <w:rPr>
          <w:rFonts w:ascii="Arial" w:cs="Arial" w:eastAsia="Arial" w:hAnsi="Arial"/>
          <w:sz w:val="14"/>
          <w:szCs w:val="14"/>
          <w:color w:val="auto"/>
        </w:rPr>
      </w:pPr>
    </w:p>
    <w:p>
      <w:pPr>
        <w:ind w:left="660" w:hanging="436"/>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the value of 41,046 otherwise unvested RSUs, based on the closing price of our Class A common stock on December 31, 2019 ($74.76).</w:t>
      </w:r>
    </w:p>
    <w:p>
      <w:pPr>
        <w:spacing w:after="0" w:line="109" w:lineRule="exact"/>
        <w:rPr>
          <w:rFonts w:ascii="Arial" w:cs="Arial" w:eastAsia="Arial" w:hAnsi="Arial"/>
          <w:sz w:val="14"/>
          <w:szCs w:val="14"/>
          <w:color w:val="auto"/>
        </w:rPr>
      </w:pPr>
    </w:p>
    <w:p>
      <w:pPr>
        <w:ind w:left="660" w:hanging="436"/>
        <w:spacing w:after="0" w:line="238"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Pursuant to his employment agreement, Mr. Sibbald is entitled to six months’ prior notice of a termination of employment. We may pay Mr. Sibbald his base compensation and provide other customary benefits in lieu of providing such notice. However, we have assumed for purposes of this table that Mr. Sibbald had been provided with notice of termination no later than June 30, 2019.</w:t>
      </w:r>
    </w:p>
    <w:p>
      <w:pPr>
        <w:spacing w:after="0" w:line="88" w:lineRule="exact"/>
        <w:rPr>
          <w:rFonts w:ascii="Arial" w:cs="Arial" w:eastAsia="Arial" w:hAnsi="Arial"/>
          <w:sz w:val="14"/>
          <w:szCs w:val="14"/>
          <w:color w:val="auto"/>
        </w:rPr>
      </w:pPr>
    </w:p>
    <w:p>
      <w:pPr>
        <w:ind w:left="660" w:hanging="436"/>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amount represents the value of 71,212 otherwise unvested RSUs, based on the closing price of our Class A common stock on December 31, 2019 ($74.76).</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Employment Agreements and Awards</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Our Rationale for Agreements that Provide for Payments to Executives upon the Occurrence of Specified Events</w:t>
      </w:r>
    </w:p>
    <w:p>
      <w:pPr>
        <w:spacing w:after="0" w:line="185" w:lineRule="exact"/>
        <w:rPr>
          <w:sz w:val="20"/>
          <w:szCs w:val="20"/>
          <w:color w:val="auto"/>
        </w:rPr>
      </w:pPr>
    </w:p>
    <w:p>
      <w:pPr>
        <w:ind w:left="220" w:right="240" w:firstLine="1745"/>
        <w:spacing w:after="0" w:line="301" w:lineRule="auto"/>
        <w:rPr>
          <w:sz w:val="20"/>
          <w:szCs w:val="20"/>
          <w:color w:val="auto"/>
        </w:rPr>
      </w:pPr>
      <w:r>
        <w:rPr>
          <w:rFonts w:ascii="Arial" w:cs="Arial" w:eastAsia="Arial" w:hAnsi="Arial"/>
          <w:sz w:val="16"/>
          <w:szCs w:val="16"/>
          <w:color w:val="auto"/>
        </w:rPr>
        <w:t>The employment agreements we entered into with some of our NEOs provide for severance payments. In addition, some of those agreements provide for additional payments in connection with a change in control or a termination that occurs after a change in control (including, for Mr. Altman, a payment to compensate him for excise taxes that could arise in such circumstances). In December 2019, we confirmed our agreement to pay each of our executive officers their current base salaries during their employment with the Company.</w:t>
      </w:r>
    </w:p>
    <w:p>
      <w:pPr>
        <w:spacing w:after="0" w:line="130" w:lineRule="exact"/>
        <w:rPr>
          <w:sz w:val="20"/>
          <w:szCs w:val="20"/>
          <w:color w:val="auto"/>
        </w:rPr>
      </w:pPr>
    </w:p>
    <w:p>
      <w:pPr>
        <w:ind w:left="220" w:right="120" w:firstLine="1745"/>
        <w:spacing w:after="0" w:line="273" w:lineRule="auto"/>
        <w:rPr>
          <w:sz w:val="20"/>
          <w:szCs w:val="20"/>
          <w:color w:val="auto"/>
        </w:rPr>
      </w:pPr>
      <w:r>
        <w:rPr>
          <w:rFonts w:ascii="Arial" w:cs="Arial" w:eastAsia="Arial" w:hAnsi="Arial"/>
          <w:sz w:val="17"/>
          <w:szCs w:val="17"/>
          <w:color w:val="auto"/>
        </w:rPr>
        <w:t>We believe that these severance and change in control arrangements mitigate some of the risk that exists for executives working in a public company, while also appropriately balancing incentives and providing certainty to our executives, and, for Mr. Altman, will make him whole in the case of any potential tax penalty in connection with a change of control. In addition, due to the fact that there has historically been significant acquisition activity in the financial services industry, there is a possibility that we could be acquired in the future. Accordingly, we believe that severance and change in control arrangements are necessary to enable key executives to evaluate objectively the benefits to our shareholders of a proposed transaction, notwithstanding its potential effects on their own job security.</w:t>
      </w:r>
    </w:p>
    <w:p>
      <w:pPr>
        <w:spacing w:after="0" w:line="1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Employment Agreement with Mr. Altman</w:t>
      </w:r>
    </w:p>
    <w:p>
      <w:pPr>
        <w:spacing w:after="0" w:line="185" w:lineRule="exact"/>
        <w:rPr>
          <w:sz w:val="20"/>
          <w:szCs w:val="20"/>
          <w:color w:val="auto"/>
        </w:rPr>
      </w:pPr>
    </w:p>
    <w:p>
      <w:pPr>
        <w:ind w:left="220" w:right="40" w:firstLine="1745"/>
        <w:spacing w:after="0" w:line="263" w:lineRule="auto"/>
        <w:rPr>
          <w:sz w:val="20"/>
          <w:szCs w:val="20"/>
          <w:color w:val="auto"/>
        </w:rPr>
      </w:pPr>
      <w:r>
        <w:rPr>
          <w:rFonts w:ascii="Arial" w:cs="Arial" w:eastAsia="Arial" w:hAnsi="Arial"/>
          <w:sz w:val="18"/>
          <w:szCs w:val="18"/>
          <w:color w:val="auto"/>
        </w:rPr>
        <w:t>Pursuant to the terms of Mr. Altman’s employment agreement, Mr. Altman will have automatic, successive one-year extensions of his employment expiring on August 10 of the relevant year, unless either party gives the other 60 days’ prior notice that the term will not be extended.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1745"/>
        <w:spacing w:after="0" w:line="301" w:lineRule="auto"/>
        <w:rPr>
          <w:sz w:val="20"/>
          <w:szCs w:val="20"/>
          <w:color w:val="auto"/>
        </w:rPr>
      </w:pPr>
      <w:r>
        <w:rPr>
          <w:rFonts w:ascii="Arial" w:cs="Arial" w:eastAsia="Arial" w:hAnsi="Arial"/>
          <w:sz w:val="16"/>
          <w:szCs w:val="16"/>
          <w:color w:val="auto"/>
        </w:rPr>
        <w:t>Mr. Altman’s employment agreement provides for an annual base salary of $500,000, and an annual bonus as determined in the discretion of the Compensation Committee. According to Mr. Altman’s employment agreement, up to 50% of the annual bonus payable to him may be payable in the form of our restricted securities, with such restricted securities vesting in four equal annual installments (or at such faster rate and subject to acceleration upon certain specified events as may be applicable to restricted securities issued in the same fiscal year to our other SMDs).</w:t>
      </w:r>
    </w:p>
    <w:p>
      <w:pPr>
        <w:spacing w:after="0" w:line="130" w:lineRule="exact"/>
        <w:rPr>
          <w:sz w:val="20"/>
          <w:szCs w:val="20"/>
          <w:color w:val="auto"/>
        </w:rPr>
      </w:pPr>
    </w:p>
    <w:p>
      <w:pPr>
        <w:ind w:left="220" w:right="60" w:firstLine="1745"/>
        <w:spacing w:after="0" w:line="271" w:lineRule="auto"/>
        <w:rPr>
          <w:sz w:val="20"/>
          <w:szCs w:val="20"/>
          <w:color w:val="auto"/>
        </w:rPr>
      </w:pPr>
      <w:r>
        <w:rPr>
          <w:rFonts w:ascii="Arial" w:cs="Arial" w:eastAsia="Arial" w:hAnsi="Arial"/>
          <w:sz w:val="17"/>
          <w:szCs w:val="17"/>
          <w:color w:val="auto"/>
        </w:rPr>
        <w:t>Pursuant to his employment agreement, if Mr. Altman’s employment terminates prior to the expiration of the term due to his death or disability, he would be entitled to receive (1) any base salary earned but unpaid through the date of termination; (2) reimbursement for any unreimbursed business expenses properly incurred by him; (3) such employee benefits, if any, to which he may be entitled under our employee benefit plans (the payments and benefits described in (1) through (3) are referred to as the “</w:t>
      </w:r>
      <w:r>
        <w:rPr>
          <w:rFonts w:ascii="Arial" w:cs="Arial" w:eastAsia="Arial" w:hAnsi="Arial"/>
          <w:sz w:val="17"/>
          <w:szCs w:val="17"/>
          <w:i w:val="1"/>
          <w:iCs w:val="1"/>
          <w:color w:val="auto"/>
        </w:rPr>
        <w:t>accrued rights</w:t>
      </w:r>
      <w:r>
        <w:rPr>
          <w:rFonts w:ascii="Arial" w:cs="Arial" w:eastAsia="Arial" w:hAnsi="Arial"/>
          <w:sz w:val="17"/>
          <w:szCs w:val="17"/>
          <w:color w:val="auto"/>
        </w:rPr>
        <w:t>”); (4) lump sum payments equal to his earned but unpaid annual bonus, if any, payable in respect of the fiscal year immediately preceding the fiscal year in which the termination occurs, to be paid when such bonus would have otherwise been payable had his employment not terminated; and (5) a pro-rated portion of the annual bonus, calculated based on the number of months (and any fraction thereof) he is employed during the fiscal year in which a termination of employment occurs and in respect of which such bonus is payable, relative to 12 months.</w:t>
      </w:r>
    </w:p>
    <w:p>
      <w:pPr>
        <w:spacing w:after="0" w:line="138" w:lineRule="exact"/>
        <w:rPr>
          <w:sz w:val="20"/>
          <w:szCs w:val="20"/>
          <w:color w:val="auto"/>
        </w:rPr>
      </w:pPr>
    </w:p>
    <w:p>
      <w:pPr>
        <w:ind w:left="220" w:right="40" w:firstLine="1745"/>
        <w:spacing w:after="0" w:line="286" w:lineRule="auto"/>
        <w:rPr>
          <w:sz w:val="20"/>
          <w:szCs w:val="20"/>
          <w:color w:val="auto"/>
        </w:rPr>
      </w:pPr>
      <w:r>
        <w:rPr>
          <w:rFonts w:ascii="Arial" w:cs="Arial" w:eastAsia="Arial" w:hAnsi="Arial"/>
          <w:sz w:val="16"/>
          <w:szCs w:val="16"/>
          <w:color w:val="auto"/>
        </w:rPr>
        <w:t>If Mr. Altman’s employment is terminated prior to the expiration of the term (or such extension thereof) by us without “cause” (as defined below) or by him for “good reason” (as defined below) or if we elect not to extend the term (each a “</w:t>
      </w:r>
      <w:r>
        <w:rPr>
          <w:rFonts w:ascii="Arial" w:cs="Arial" w:eastAsia="Arial" w:hAnsi="Arial"/>
          <w:sz w:val="16"/>
          <w:szCs w:val="16"/>
          <w:i w:val="1"/>
          <w:iCs w:val="1"/>
          <w:color w:val="auto"/>
        </w:rPr>
        <w:t>qualifying termination</w:t>
      </w:r>
      <w:r>
        <w:rPr>
          <w:rFonts w:ascii="Arial" w:cs="Arial" w:eastAsia="Arial" w:hAnsi="Arial"/>
          <w:sz w:val="16"/>
          <w:szCs w:val="16"/>
          <w:color w:val="auto"/>
        </w:rPr>
        <w:t>”), he would be entitled, subject to his compliance with specified restrictive covenants, to (A) a lump sum payment equal to two times (three times in the case of a qualifying termination that occurs on or following our “change in control” (as defined in the employment agreement)) the greater of (x) the sum of</w:t>
      </w:r>
    </w:p>
    <w:p>
      <w:pPr>
        <w:spacing w:after="0" w:line="1" w:lineRule="exact"/>
        <w:rPr>
          <w:sz w:val="20"/>
          <w:szCs w:val="20"/>
          <w:color w:val="auto"/>
        </w:rPr>
      </w:pPr>
    </w:p>
    <w:p>
      <w:pPr>
        <w:ind w:left="220" w:right="40" w:firstLine="6"/>
        <w:spacing w:after="0" w:line="281" w:lineRule="auto"/>
        <w:tabs>
          <w:tab w:leader="none" w:pos="4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his annual base salary and (2) his average annual bonus for the three most recently completed fiscal years and (y) the average of the aggregate amount of cash compensation payable to our three most highly paid executives in the most recently completed fiscal year; (B) any “accrued rights” (as defined above); (C) lump sum payments equal to Mr. Altman’s earned but unpaid annual bonus, if any, payable in respect of the fiscal year immediately preceding the fiscal year in which the termination occurs, to be paid when such bonuses would have otherwise been payable had</w:t>
      </w:r>
    </w:p>
    <w:p>
      <w:pPr>
        <w:spacing w:after="0" w:line="2" w:lineRule="exact"/>
        <w:rPr>
          <w:rFonts w:ascii="Arial" w:cs="Arial" w:eastAsia="Arial" w:hAnsi="Arial"/>
          <w:sz w:val="16"/>
          <w:szCs w:val="16"/>
          <w:color w:val="auto"/>
        </w:rPr>
      </w:pPr>
    </w:p>
    <w:p>
      <w:pPr>
        <w:ind w:left="220"/>
        <w:spacing w:after="0" w:line="281" w:lineRule="auto"/>
        <w:rPr>
          <w:rFonts w:ascii="Arial" w:cs="Arial" w:eastAsia="Arial" w:hAnsi="Arial"/>
          <w:sz w:val="16"/>
          <w:szCs w:val="16"/>
          <w:color w:val="auto"/>
        </w:rPr>
      </w:pPr>
      <w:r>
        <w:rPr>
          <w:rFonts w:ascii="Arial" w:cs="Arial" w:eastAsia="Arial" w:hAnsi="Arial"/>
          <w:sz w:val="16"/>
          <w:szCs w:val="16"/>
          <w:color w:val="auto"/>
        </w:rPr>
        <w:t>Mr. Altman’s employment not terminated; and (D) a pro-rated portion of the annual bonus, calculated based on the number of months (and any fraction thereof) Mr. Altman is employed during the fiscal year in which a termination of employment occurs and in respect of which such bonus is payable, relative to 12 months. Mr. Altman would also be entitled to receive continued coverage for himself and his spouse and dependents under our medical plans for two years (three years in the case of a qualifying termination that occurs on or following a change in control), subject to payment by him of the same premiums he would have paid during such period of coverage if he were an active employee. Any termination by us without cause within six months prior to the occurrence of a change in control would be deemed to be a termination of employment on the date of such change in control. The severance benefits payable to Mr. Altman are conditioned on his continued compliance with specified confidentiality, non-solicitation and proprietary information covenants following his termination of employment with us. For purposes of Mr. Altman’s employment agreement, “cause” means the occurrence of: (1) Mr. Altman’s breach of a material obligation under the governing documents of our entities, (2) Mr. Altman’s conviction of, or plea of guilty or nolo contendere in respect of, any felony, (3) Mr. Altman’s perpetration of a fraud against us, (4) Mr. Altman’s willful and continued failure to perform his duties to us or (5) any willful misconduct by Mr. Altman which could reasonably have an adverse effect on his ability to function as our employee or on our business or reputation. For purposes of Mr. Altman’s employment agreement, “good reason” means: (1) our failure to pay</w:t>
      </w:r>
    </w:p>
    <w:p>
      <w:pPr>
        <w:spacing w:after="0" w:line="7" w:lineRule="exact"/>
        <w:rPr>
          <w:rFonts w:ascii="Arial" w:cs="Arial" w:eastAsia="Arial" w:hAnsi="Arial"/>
          <w:sz w:val="16"/>
          <w:szCs w:val="16"/>
          <w:color w:val="auto"/>
        </w:rPr>
      </w:pPr>
    </w:p>
    <w:p>
      <w:pPr>
        <w:ind w:left="220" w:right="20"/>
        <w:spacing w:after="0" w:line="255" w:lineRule="auto"/>
        <w:rPr>
          <w:rFonts w:ascii="Arial" w:cs="Arial" w:eastAsia="Arial" w:hAnsi="Arial"/>
          <w:sz w:val="16"/>
          <w:szCs w:val="16"/>
          <w:color w:val="auto"/>
        </w:rPr>
      </w:pPr>
      <w:r>
        <w:rPr>
          <w:rFonts w:ascii="Arial" w:cs="Arial" w:eastAsia="Arial" w:hAnsi="Arial"/>
          <w:sz w:val="18"/>
          <w:szCs w:val="18"/>
          <w:color w:val="auto"/>
        </w:rPr>
        <w:t>Mr. Altman’s base salary and annual bonus (if such amounts become payable to Mr. Altman), (2) any diminution in Mr. Altman’s title or authority with us, (3) our failure to provide Mr. Altman with the employee benefits or perquisites provided for in the employment agreement, or (4) the failure to re-elect him as a member of the Board.</w:t>
      </w:r>
    </w:p>
    <w:p>
      <w:pPr>
        <w:spacing w:after="0" w:line="149" w:lineRule="exact"/>
        <w:rPr>
          <w:sz w:val="20"/>
          <w:szCs w:val="20"/>
          <w:color w:val="auto"/>
        </w:rPr>
      </w:pPr>
    </w:p>
    <w:p>
      <w:pPr>
        <w:jc w:val="both"/>
        <w:ind w:left="220" w:right="320" w:firstLine="1745"/>
        <w:spacing w:after="0" w:line="263" w:lineRule="auto"/>
        <w:rPr>
          <w:sz w:val="20"/>
          <w:szCs w:val="20"/>
          <w:color w:val="auto"/>
        </w:rPr>
      </w:pPr>
      <w:r>
        <w:rPr>
          <w:rFonts w:ascii="Arial" w:cs="Arial" w:eastAsia="Arial" w:hAnsi="Arial"/>
          <w:sz w:val="18"/>
          <w:szCs w:val="18"/>
          <w:color w:val="auto"/>
        </w:rPr>
        <w:t>In the event of a termination of Mr. Altman’s employment which is not a qualifying termination or a termination due to his death or disability (including if Mr. Altman resigns without good reason), Mr. Altman would be entitled to receive any “accrued rights” (as defined above).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00" w:firstLine="1745"/>
        <w:spacing w:after="0" w:line="279" w:lineRule="auto"/>
        <w:rPr>
          <w:sz w:val="20"/>
          <w:szCs w:val="20"/>
          <w:color w:val="auto"/>
        </w:rPr>
      </w:pPr>
      <w:r>
        <w:rPr>
          <w:rFonts w:ascii="Arial" w:cs="Arial" w:eastAsia="Arial" w:hAnsi="Arial"/>
          <w:sz w:val="17"/>
          <w:szCs w:val="17"/>
          <w:color w:val="auto"/>
        </w:rPr>
        <w:t>Mr. Altman has also entered into confidentiality, non-solicitation and proprietary information agreements with us. Pursuant to these agreements, he is subject to a covenant not to (1) compete with us while employed and for 24 months following his termination of employment for any reason and (2) solicit our employees, consultants and certain actual and prospective clients while employed and for 12 months following his termination of employment for any reason, in each case, subject to certain specified exclusions.</w:t>
      </w:r>
    </w:p>
    <w:p>
      <w:pPr>
        <w:spacing w:after="0" w:line="144" w:lineRule="exact"/>
        <w:rPr>
          <w:sz w:val="20"/>
          <w:szCs w:val="20"/>
          <w:color w:val="auto"/>
        </w:rPr>
      </w:pPr>
    </w:p>
    <w:p>
      <w:pPr>
        <w:ind w:left="220" w:right="260" w:firstLine="1745"/>
        <w:spacing w:after="0" w:line="277" w:lineRule="auto"/>
        <w:rPr>
          <w:sz w:val="20"/>
          <w:szCs w:val="20"/>
          <w:color w:val="auto"/>
        </w:rPr>
      </w:pPr>
      <w:r>
        <w:rPr>
          <w:rFonts w:ascii="Arial" w:cs="Arial" w:eastAsia="Arial" w:hAnsi="Arial"/>
          <w:sz w:val="18"/>
          <w:szCs w:val="18"/>
          <w:color w:val="auto"/>
        </w:rPr>
        <w:t>If a dispute arises out of the employment agreement with Mr. Altman, we would pay his reasonable legal fees and expenses incurred in connection with such dispute if he prevails on substantially all issues in dispute.</w:t>
      </w:r>
    </w:p>
    <w:p>
      <w:pPr>
        <w:spacing w:after="0" w:line="130" w:lineRule="exact"/>
        <w:rPr>
          <w:sz w:val="20"/>
          <w:szCs w:val="20"/>
          <w:color w:val="auto"/>
        </w:rPr>
      </w:pPr>
    </w:p>
    <w:p>
      <w:pPr>
        <w:ind w:left="220" w:firstLine="1745"/>
        <w:spacing w:after="0" w:line="286" w:lineRule="auto"/>
        <w:rPr>
          <w:sz w:val="20"/>
          <w:szCs w:val="20"/>
          <w:color w:val="auto"/>
        </w:rPr>
      </w:pPr>
      <w:r>
        <w:rPr>
          <w:rFonts w:ascii="Arial" w:cs="Arial" w:eastAsia="Arial" w:hAnsi="Arial"/>
          <w:sz w:val="17"/>
          <w:szCs w:val="17"/>
          <w:color w:val="auto"/>
        </w:rPr>
        <w:t>In addition, if payments or benefits provided to Mr. Altman under an employment agreement or any other plan or agreement in connection with a change in control result in an “excess parachute payment” excise tax being imposed on him, he would be entitled to a gross-up payment equal to the amount of the excise tax, as well as the excise tax and income tax on the gross-up payment.</w:t>
      </w:r>
    </w:p>
    <w:p>
      <w:pPr>
        <w:spacing w:after="0" w:line="1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Employment Agreement with Mr. Schlosstein</w:t>
      </w:r>
    </w:p>
    <w:p>
      <w:pPr>
        <w:spacing w:after="0" w:line="198" w:lineRule="exact"/>
        <w:rPr>
          <w:sz w:val="20"/>
          <w:szCs w:val="20"/>
          <w:color w:val="auto"/>
        </w:rPr>
      </w:pPr>
    </w:p>
    <w:p>
      <w:pPr>
        <w:ind w:left="220" w:right="560" w:firstLine="1745"/>
        <w:spacing w:after="0" w:line="277" w:lineRule="auto"/>
        <w:rPr>
          <w:sz w:val="20"/>
          <w:szCs w:val="20"/>
          <w:color w:val="auto"/>
        </w:rPr>
      </w:pPr>
      <w:r>
        <w:rPr>
          <w:rFonts w:ascii="Arial" w:cs="Arial" w:eastAsia="Arial" w:hAnsi="Arial"/>
          <w:sz w:val="18"/>
          <w:szCs w:val="18"/>
          <w:color w:val="auto"/>
        </w:rPr>
        <w:t>Mr. Schlosstein’s employment agreement with us ended in accordance with its terms on May 21, 2014. Mr. Schlosstein continues to be employed by us as an at-will employee.</w:t>
      </w:r>
    </w:p>
    <w:p>
      <w:pPr>
        <w:spacing w:after="0" w:line="130" w:lineRule="exact"/>
        <w:rPr>
          <w:sz w:val="20"/>
          <w:szCs w:val="20"/>
          <w:color w:val="auto"/>
        </w:rPr>
      </w:pPr>
    </w:p>
    <w:p>
      <w:pPr>
        <w:ind w:left="220" w:right="620" w:firstLine="1745"/>
        <w:spacing w:after="0" w:line="291" w:lineRule="auto"/>
        <w:rPr>
          <w:sz w:val="20"/>
          <w:szCs w:val="20"/>
          <w:color w:val="auto"/>
        </w:rPr>
      </w:pPr>
      <w:r>
        <w:rPr>
          <w:rFonts w:ascii="Arial" w:cs="Arial" w:eastAsia="Arial" w:hAnsi="Arial"/>
          <w:sz w:val="16"/>
          <w:szCs w:val="16"/>
          <w:color w:val="auto"/>
        </w:rPr>
        <w:t>In connection with his employment agreement, Mr. Schlosstein also entered into a confidentiality, non-solicitation and proprietary information agreement with us that remains in effect. Pursuant to this agreement, Mr. Schlosstein is subject to a covenant not to</w:t>
      </w:r>
    </w:p>
    <w:p>
      <w:pPr>
        <w:ind w:left="220" w:right="180" w:firstLine="6"/>
        <w:spacing w:after="0" w:line="271" w:lineRule="auto"/>
        <w:tabs>
          <w:tab w:leader="none" w:pos="4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compete with us while employed and for 12 months following his termination of employment for any reason and (2) solicit our employees, consultants and certain actual and prospective clients while employed and for 12 months following his termination of employment for any reason, in each case, subject to certain specified exclusions. Notwithstanding the foregoing, in the event of a termination of Mr. Schlosstein’s employment without cause or for good reason, the non-competition and non-solicitation restrictions will only apply for six months and only if we elect to pay Mr. Schlosstein’s base salary and provide continued medical plan coverage during such period.</w:t>
      </w:r>
    </w:p>
    <w:p>
      <w:pPr>
        <w:spacing w:after="0" w:line="138" w:lineRule="exact"/>
        <w:rPr>
          <w:sz w:val="20"/>
          <w:szCs w:val="20"/>
          <w:color w:val="auto"/>
        </w:rPr>
      </w:pPr>
    </w:p>
    <w:p>
      <w:pPr>
        <w:ind w:left="220" w:right="100" w:firstLine="1745"/>
        <w:spacing w:after="0" w:line="263" w:lineRule="auto"/>
        <w:rPr>
          <w:sz w:val="20"/>
          <w:szCs w:val="20"/>
          <w:color w:val="auto"/>
        </w:rPr>
      </w:pPr>
      <w:r>
        <w:rPr>
          <w:rFonts w:ascii="Arial" w:cs="Arial" w:eastAsia="Arial" w:hAnsi="Arial"/>
          <w:sz w:val="18"/>
          <w:szCs w:val="18"/>
          <w:color w:val="auto"/>
        </w:rPr>
        <w:t>In addition, if a dispute arises out of the employment agreement with Mr. Schlosstein, we would pay Mr. Schlosstein’s reasonable legal fees and expenses incurred in connection with such dispute if he prevails in substantially all material respects on the issues presented for resolution.</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Schedule of Terms with Mr. Sibbald</w:t>
      </w:r>
    </w:p>
    <w:p>
      <w:pPr>
        <w:spacing w:after="0" w:line="185" w:lineRule="exact"/>
        <w:rPr>
          <w:sz w:val="20"/>
          <w:szCs w:val="20"/>
          <w:color w:val="auto"/>
        </w:rPr>
      </w:pPr>
    </w:p>
    <w:p>
      <w:pPr>
        <w:ind w:left="220" w:right="200" w:firstLine="1745"/>
        <w:spacing w:after="0" w:line="277" w:lineRule="auto"/>
        <w:rPr>
          <w:sz w:val="20"/>
          <w:szCs w:val="20"/>
          <w:color w:val="auto"/>
        </w:rPr>
      </w:pPr>
      <w:r>
        <w:rPr>
          <w:rFonts w:ascii="Arial" w:cs="Arial" w:eastAsia="Arial" w:hAnsi="Arial"/>
          <w:sz w:val="18"/>
          <w:szCs w:val="18"/>
          <w:color w:val="auto"/>
        </w:rPr>
        <w:t>In connection with the 2011 acquisition of Lexicon, we entered into a Schedule of Terms with Mr. Sibbald. Pursuant to such Schedule of Terms and related agreements, Mr. Sibbald became a member and CEO of Evercore International.</w:t>
      </w:r>
    </w:p>
    <w:p>
      <w:pPr>
        <w:spacing w:after="0" w:line="130" w:lineRule="exact"/>
        <w:rPr>
          <w:sz w:val="20"/>
          <w:szCs w:val="20"/>
          <w:color w:val="auto"/>
        </w:rPr>
      </w:pPr>
    </w:p>
    <w:p>
      <w:pPr>
        <w:ind w:left="220" w:right="40" w:firstLine="1745"/>
        <w:spacing w:after="0" w:line="273" w:lineRule="auto"/>
        <w:rPr>
          <w:sz w:val="20"/>
          <w:szCs w:val="20"/>
          <w:color w:val="auto"/>
        </w:rPr>
      </w:pPr>
      <w:r>
        <w:rPr>
          <w:rFonts w:ascii="Arial" w:cs="Arial" w:eastAsia="Arial" w:hAnsi="Arial"/>
          <w:sz w:val="17"/>
          <w:szCs w:val="17"/>
          <w:color w:val="auto"/>
        </w:rPr>
        <w:t>Mr. Sibbald is entitled to take such monthly drawings as advised by the Executive Committee of Evercore International, from time to time, subject to a minimum monthly drawing of £20,833 (approximately $27,091 based on an exchange rate for 2019 of £0.769 to U.S. $1.00). The Executive Committee of Evercore International is solely responsible in its absolute discretion for determining Mr. Sibbald’s share of the distributable cash of Evercore International. Evercore International will also pay 17.5% of his monthly drawing into a proposed pension plan selected by Mr. Sibbald, subject to tax limits that may apply from time to time, and provide death in service benefits equal to four times his annual drawings and other health and welfare benefits offered to other members.</w:t>
      </w:r>
    </w:p>
    <w:p>
      <w:pPr>
        <w:spacing w:after="0" w:line="151" w:lineRule="exact"/>
        <w:rPr>
          <w:sz w:val="20"/>
          <w:szCs w:val="20"/>
          <w:color w:val="auto"/>
        </w:rPr>
      </w:pPr>
    </w:p>
    <w:p>
      <w:pPr>
        <w:ind w:left="220" w:right="80" w:firstLine="1745"/>
        <w:spacing w:after="0" w:line="279" w:lineRule="auto"/>
        <w:rPr>
          <w:sz w:val="20"/>
          <w:szCs w:val="20"/>
          <w:color w:val="auto"/>
        </w:rPr>
      </w:pPr>
      <w:r>
        <w:rPr>
          <w:rFonts w:ascii="Arial" w:cs="Arial" w:eastAsia="Arial" w:hAnsi="Arial"/>
          <w:sz w:val="17"/>
          <w:szCs w:val="17"/>
          <w:color w:val="auto"/>
        </w:rPr>
        <w:t>Mr. Sibbald may elect to terminate his membership with or without “good reason” (as defined below) upon six months’ prior written notice to Evercore International, and Evercore International may terminate Mr. Sibbald’s membership without “cause” (as defined below) by providing six months’ prior written notice to him. Upon a termination, Evercore International may elect to pay Mr. Sibbald in lieu of part or all of any notice. This payment will consist of Mr. Sibbald’s permitted drawings and other customary benefits as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provided for in the Schedule of Terms. Evercore International may terminate Mr. Sibbald’s membership for cause with no notice.</w:t>
      </w:r>
    </w:p>
    <w:p>
      <w:pPr>
        <w:spacing w:after="0" w:line="198" w:lineRule="exact"/>
        <w:rPr>
          <w:sz w:val="20"/>
          <w:szCs w:val="20"/>
          <w:color w:val="auto"/>
        </w:rPr>
      </w:pPr>
    </w:p>
    <w:p>
      <w:pPr>
        <w:ind w:left="220" w:right="360" w:firstLine="1745"/>
        <w:spacing w:after="0" w:line="291" w:lineRule="auto"/>
        <w:rPr>
          <w:sz w:val="20"/>
          <w:szCs w:val="20"/>
          <w:color w:val="auto"/>
        </w:rPr>
      </w:pPr>
      <w:r>
        <w:rPr>
          <w:rFonts w:ascii="Arial" w:cs="Arial" w:eastAsia="Arial" w:hAnsi="Arial"/>
          <w:sz w:val="16"/>
          <w:szCs w:val="16"/>
          <w:color w:val="auto"/>
        </w:rPr>
        <w:t>For purposes of Mr. Sibbald’s Schedule of Terms, “good reason” means the occurrence of (1) a reduction in Mr. Sibbald’s drawings or the other benefits provided for in his Schedule of Terms or a diminution in his title or status (such that he is no longer a SMD); (2)</w:t>
      </w:r>
    </w:p>
    <w:p>
      <w:pPr>
        <w:ind w:left="220" w:right="20"/>
        <w:spacing w:after="0" w:line="267" w:lineRule="auto"/>
        <w:rPr>
          <w:sz w:val="20"/>
          <w:szCs w:val="20"/>
          <w:color w:val="auto"/>
        </w:rPr>
      </w:pPr>
      <w:r>
        <w:rPr>
          <w:rFonts w:ascii="Arial" w:cs="Arial" w:eastAsia="Arial" w:hAnsi="Arial"/>
          <w:sz w:val="17"/>
          <w:szCs w:val="17"/>
          <w:color w:val="auto"/>
        </w:rPr>
        <w:t>Mr. Sibbald’s dismissal, if the Executive Committee so determines, for not participating in a capital call in accordance with the Evercore International Deed; (3) Mr. Sibbald’s removal from office as CEO of Evercore International, or chairman of Evercore International, or Executive Committee representative of Evercore International without such removal having first been ratified by the Executive Committee; (4) a material, unremedied breach by Evercore International or its corporate members of the terms of the Evercore International Deed or Mr. Sibbald’s Schedule of Terms; (5) any other circumstances that, were Mr. Sibbald an employee of Evercore International, would amount to a fundamental breach of his contract of employment; or (6) any other circumstance which a Queen’s Counsel of at least 25 years’ call who specializes in employment law confirms would have had a real prospect of success as a claim for dismissal for good reason had Mr. Sibbald been an employee of Evercore, Evercore International or any of their respective affiliates; however, neither removal from any directorship of Evercore International or any of its subsidiaries or from any regulatory office which Mr. Sibbald performs pursuant to certain rules or regulations, nor the making of any amendments to the terms and conditions of his benefits provided for in his Schedule of Terms to the extent required to comply with changes in all applicable law and regulation, would be deemed to be good reason.</w:t>
      </w:r>
    </w:p>
    <w:p>
      <w:pPr>
        <w:spacing w:after="0" w:line="145" w:lineRule="exact"/>
        <w:rPr>
          <w:sz w:val="20"/>
          <w:szCs w:val="20"/>
          <w:color w:val="auto"/>
        </w:rPr>
      </w:pPr>
    </w:p>
    <w:p>
      <w:pPr>
        <w:ind w:left="220" w:right="60" w:firstLine="1745"/>
        <w:spacing w:after="0" w:line="283" w:lineRule="auto"/>
        <w:rPr>
          <w:sz w:val="20"/>
          <w:szCs w:val="20"/>
          <w:color w:val="auto"/>
        </w:rPr>
      </w:pPr>
      <w:r>
        <w:rPr>
          <w:rFonts w:ascii="Arial" w:cs="Arial" w:eastAsia="Arial" w:hAnsi="Arial"/>
          <w:sz w:val="16"/>
          <w:szCs w:val="16"/>
          <w:color w:val="auto"/>
        </w:rPr>
        <w:t>In addition, for purposes of Mr. Sibbald’s Schedule of Terms, “cause” means the occurrence of (1) a material breach by Mr. Sibbald of his Schedule of Terms or the Evercore International Deed or any other material breach by Mr. Sibbald of his duties; (2) Mr. Sibbald’s failure to pay over or refund to Evercore International any money for which he is accountable to Evercore International in excess of £5,000 (approximately $6,502, based on an exchange rate for 2019 of £0.769 to U.S. $1.00) within 14 days after being required in writing to do so by the Executive Committee; (3) Mr. Sibbald becoming subject to the bankruptcy laws or entering into any composition or arrangement with or for the benefit of his creditors; (4) Mr. Sibbald acting in any respect contrary to the good faith or goodwill which ought to be observed between members of Evercore International or in a manner tending to bring Evercore International into disrepute that, in any such case, has a material adverse effect on the business; (5) Mr. Sibbald being absent from the business for a material period of time on a material number of occasions; (6) Mr. Sibbald misusing confidential information in a manner that has a material adverse effect on the business; (7) Mr. Sibbald’s (a) conviction of an offense under any law or regulation relating to insider dealing or, through any act or omission on his part, breached or caused Evercore International to breach any securities laws, or any rules or regulations to which Evercore International is or may be bound, in a manner that has a material adverse effect on the business,</w:t>
      </w:r>
    </w:p>
    <w:p>
      <w:pPr>
        <w:spacing w:after="0" w:line="4" w:lineRule="exact"/>
        <w:rPr>
          <w:sz w:val="20"/>
          <w:szCs w:val="20"/>
          <w:color w:val="auto"/>
        </w:rPr>
      </w:pPr>
    </w:p>
    <w:p>
      <w:pPr>
        <w:ind w:left="480" w:hanging="254"/>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breach of the provisions of the Evercore International compliance manual in a manner which has a material adverse effect on the business,</w:t>
      </w:r>
    </w:p>
    <w:p>
      <w:pPr>
        <w:spacing w:after="0" w:line="20" w:lineRule="exact"/>
        <w:rPr>
          <w:rFonts w:ascii="Arial" w:cs="Arial" w:eastAsia="Arial" w:hAnsi="Arial"/>
          <w:sz w:val="17"/>
          <w:szCs w:val="17"/>
          <w:color w:val="auto"/>
        </w:rPr>
      </w:pPr>
    </w:p>
    <w:p>
      <w:pPr>
        <w:ind w:left="220" w:firstLine="6"/>
        <w:spacing w:after="0" w:line="285" w:lineRule="auto"/>
        <w:tabs>
          <w:tab w:leader="none" w:pos="465"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conviction of a criminal offense or being reasonably suspected by the CEO of the Company after having made all reasonable enquiries, of being guilty of fraud, theft, criminal damage or willful dishonesty, (d) abuse of alcohol in the course of conducting the business or while on the premises of Evercore International or (e) assault on any person during the conduct of his duties or while on the premises of the Company, Evercore International or any of their respective affiliates or any client of the Company, Evercore International or any of their respective affiliates; (8) Mr. Sibbald committing arson of property or sabotage of machinery and/or materials which are on the premises of or belong to the Company, Evercore International or any of their respective affiliates or any client of the Company, Evercore International or any of their respective affiliates or any act or omission constituting unlawful discrimination (directly, indirectly or by association) on grounds of sex, race, disability, age, sexual orientation or religion or belief, or harassment on any of these grounds; (9) Mr. Sibbald giving false information on employment, health and previous experience relevant to his appointment as a member of Evercore International; or (10) following receipt of a written warning from the CEO of the Company, Mr. Sibbald failing to remedy within 10 business days what the CEO of the Company and a supermajority of the senior SMDs acting fairly, reasonably, on a fully informed basis and in good faith conclude was a deliberate and unreasonably continuous disregard of his fundamental obligation to commit time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and effort to the performance of his duties pursuant to the Evercore International Deed of such magnitude as to justify his summary dismissal.</w:t>
      </w:r>
    </w:p>
    <w:p>
      <w:pPr>
        <w:spacing w:after="0" w:line="210" w:lineRule="exact"/>
        <w:rPr>
          <w:sz w:val="20"/>
          <w:szCs w:val="20"/>
          <w:color w:val="auto"/>
        </w:rPr>
      </w:pPr>
    </w:p>
    <w:p>
      <w:pPr>
        <w:ind w:left="220" w:right="40" w:firstLine="1745"/>
        <w:spacing w:after="0" w:line="293" w:lineRule="auto"/>
        <w:rPr>
          <w:sz w:val="20"/>
          <w:szCs w:val="20"/>
          <w:color w:val="auto"/>
        </w:rPr>
      </w:pPr>
      <w:r>
        <w:rPr>
          <w:rFonts w:ascii="Arial" w:cs="Arial" w:eastAsia="Arial" w:hAnsi="Arial"/>
          <w:sz w:val="16"/>
          <w:szCs w:val="16"/>
          <w:color w:val="auto"/>
        </w:rPr>
        <w:t>If Mr. Sibbald’s service is terminated due to his death, permanent incapacity, being removed without cause (which includes constructive termination) or qualifying retirement, or if Mr. Sibbald terminates his service with Evercore International in connection with our failure to provide Evercore International sufficient regulatory capital, working capital or insurance coverage or another material breach of provisions of the Evercore International Deed, then he would be deemed to be a “good leaver” and in all other circumstances, he would be deemed to be a “bad leaver.” If Mr. Sibbald is deemed to be a good leaver, he will be entitled to retain any unvested deferred compensation and if Evercore has also committed a material breach of the Evercore International Deed, then he will be released from his post-membership restrictive covenant obligations.</w:t>
      </w:r>
    </w:p>
    <w:p>
      <w:pPr>
        <w:spacing w:after="0" w:line="124" w:lineRule="exact"/>
        <w:rPr>
          <w:sz w:val="20"/>
          <w:szCs w:val="20"/>
          <w:color w:val="auto"/>
        </w:rPr>
      </w:pPr>
    </w:p>
    <w:p>
      <w:pPr>
        <w:ind w:left="220" w:firstLine="1745"/>
        <w:spacing w:after="0" w:line="272" w:lineRule="auto"/>
        <w:rPr>
          <w:sz w:val="20"/>
          <w:szCs w:val="20"/>
          <w:color w:val="auto"/>
        </w:rPr>
      </w:pPr>
      <w:r>
        <w:rPr>
          <w:rFonts w:ascii="Arial" w:cs="Arial" w:eastAsia="Arial" w:hAnsi="Arial"/>
          <w:sz w:val="17"/>
          <w:szCs w:val="17"/>
          <w:color w:val="auto"/>
        </w:rPr>
        <w:t>Under the Schedule of Terms, Mr. Sibbald agreed to specified restrictive covenants. During his membership (including the six-month notice periods discussed above) and, until the vesting of all of the unvested restricted shares that Mr. Sibbald will receive in accordance with the Lexicon Agreement, for six months afterwards, Mr. Sibbald is subject to a covenant not to (1) compete with us, Evercore International or any of our and Evercore International’s respective affiliates and (2) solicit our or their employees, and certain actual and prospective clients, in each case, subject to specified exclusions. Notwithstanding the foregoing, in the event Mr. Sibbald elects to terminate the Schedule of Terms for good reason, he would no longer be subject to the notice requirements and restrictive covenants, if at the time of such termination there are no circumstances which would give Evercore International grounds for his dismissal for cause.</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Mr. Sibbald is also subject to standard confidentiality and proprietary information covenants set forth in the Schedule of</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Employment Agreement with Mr. Weinberg</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Mr. Weinberg’s employment agreement provides for a term continuing until March 1, 2023, and annual compensation as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follows: (1) an annual base salary in an amount equal to the greater of (x) $500,000 and (y) the then current annual base salary of Mr. Schlosstein, and</w:t>
      </w:r>
    </w:p>
    <w:p>
      <w:pPr>
        <w:spacing w:after="0" w:line="32" w:lineRule="exact"/>
        <w:rPr>
          <w:sz w:val="20"/>
          <w:szCs w:val="20"/>
          <w:color w:val="auto"/>
        </w:rPr>
      </w:pPr>
    </w:p>
    <w:p>
      <w:pPr>
        <w:ind w:left="220" w:right="160" w:firstLine="6"/>
        <w:spacing w:after="0" w:line="255" w:lineRule="auto"/>
        <w:tabs>
          <w:tab w:leader="none" w:pos="4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bonus, with the actual bonus award payable to be determined in the sole discretion of the Compensation Committee based on the achievement of pre-established performance criteria established by the Compensation Committee, on terms no less favorable than those applicable to Mr. Schlosstein.</w:t>
      </w:r>
    </w:p>
    <w:p>
      <w:pPr>
        <w:spacing w:after="0" w:line="149" w:lineRule="exact"/>
        <w:rPr>
          <w:sz w:val="20"/>
          <w:szCs w:val="20"/>
          <w:color w:val="auto"/>
        </w:rPr>
      </w:pPr>
    </w:p>
    <w:p>
      <w:pPr>
        <w:ind w:left="220" w:right="40" w:firstLine="1745"/>
        <w:spacing w:after="0" w:line="255" w:lineRule="auto"/>
        <w:rPr>
          <w:sz w:val="20"/>
          <w:szCs w:val="20"/>
          <w:color w:val="auto"/>
        </w:rPr>
      </w:pPr>
      <w:r>
        <w:rPr>
          <w:rFonts w:ascii="Arial" w:cs="Arial" w:eastAsia="Arial" w:hAnsi="Arial"/>
          <w:sz w:val="18"/>
          <w:szCs w:val="18"/>
          <w:color w:val="auto"/>
        </w:rPr>
        <w:t>Following Mr. Schlosstein’s retirement or termination, Mr. Weinberg’s threshold, target and maximum bonus opportunity shall be no less favorable than as applicable to Mr. Weinberg prior to such retirement or termination, and Mr. Weinberg’s bonus will be determined on a basis no less favorable than that applicable to the other executive officers of the Company. A percentage of Mr. Weinberg’s annual bonus, to be determined in the discretion of the Compensation Committee (but which percentage shall be the same percentage payable to Mr. Schlosstein or, following Mr. Schlosstein’s retirement or termination, the other executive officers of the Company) will be delivered in the form of deferred compensation.</w:t>
      </w:r>
    </w:p>
    <w:p>
      <w:pPr>
        <w:spacing w:after="0" w:line="165" w:lineRule="exact"/>
        <w:rPr>
          <w:sz w:val="20"/>
          <w:szCs w:val="20"/>
          <w:color w:val="auto"/>
        </w:rPr>
      </w:pPr>
    </w:p>
    <w:p>
      <w:pPr>
        <w:ind w:left="220" w:firstLine="1745"/>
        <w:spacing w:after="0" w:line="271" w:lineRule="auto"/>
        <w:rPr>
          <w:sz w:val="20"/>
          <w:szCs w:val="20"/>
          <w:color w:val="auto"/>
        </w:rPr>
      </w:pPr>
      <w:r>
        <w:rPr>
          <w:rFonts w:ascii="Arial" w:cs="Arial" w:eastAsia="Arial" w:hAnsi="Arial"/>
          <w:sz w:val="17"/>
          <w:szCs w:val="17"/>
          <w:color w:val="auto"/>
        </w:rPr>
        <w:t>Pursuant to his employment agreement, Mr. Weinberg received an initial sign-on restricted cash award with a target payment amount of $35 million, of which $11 million vested on March 1, 2019, $6 million vested on March 1, 2020, and $6 million is scheduled to vest on each of the next three anniversaries of March 1, 2019, subject to Mr. Weinberg’s continued employment through each such vesting date except as noted below. The Compensation Committee has discretion to increase or decrease the amount payable on each vesting date based on performance criteria to be discussed with Mr. Weinberg and determined by the Compensation Committee at least annually. The Compensation Committee may not, however, without Mr. Weinberg’s consent, increase the amount payable on any applicable vesting date to more than 200% of the target amount or decrease the amount payable by more than 25% of the target amount. The Compensation Committee determined not to increase or decrease the $11 million that vested on March 1, 2019 or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color w:val="auto"/>
        </w:rPr>
        <w:t>$6 million that vested on March 1, 2020. In the event of a “change in control” (as defined in the 2016 Plan), the initial cash award will vest in full at the target payment amount.</w:t>
      </w:r>
    </w:p>
    <w:p>
      <w:pPr>
        <w:spacing w:after="0" w:line="143" w:lineRule="exact"/>
        <w:rPr>
          <w:sz w:val="20"/>
          <w:szCs w:val="20"/>
          <w:color w:val="auto"/>
        </w:rPr>
      </w:pPr>
    </w:p>
    <w:p>
      <w:pPr>
        <w:ind w:left="220" w:firstLine="1745"/>
        <w:spacing w:after="0" w:line="263" w:lineRule="auto"/>
        <w:rPr>
          <w:sz w:val="20"/>
          <w:szCs w:val="20"/>
          <w:color w:val="auto"/>
        </w:rPr>
      </w:pPr>
      <w:r>
        <w:rPr>
          <w:rFonts w:ascii="Arial" w:cs="Arial" w:eastAsia="Arial" w:hAnsi="Arial"/>
          <w:sz w:val="18"/>
          <w:szCs w:val="18"/>
          <w:color w:val="auto"/>
        </w:rPr>
        <w:t>In addition to the foregoing, Mr. Weinberg will be entitled to participate in all Company employee benefit programs on terms no less favorable than those generally provided to Mr. Schlosstein (or, following Mr. Schlosstein’s retirement or termination, other executive officers of the Company).</w:t>
      </w:r>
    </w:p>
    <w:p>
      <w:pPr>
        <w:spacing w:after="0" w:line="143" w:lineRule="exact"/>
        <w:rPr>
          <w:sz w:val="20"/>
          <w:szCs w:val="20"/>
          <w:color w:val="auto"/>
        </w:rPr>
      </w:pPr>
    </w:p>
    <w:p>
      <w:pPr>
        <w:ind w:left="220" w:right="180" w:firstLine="1745"/>
        <w:spacing w:after="0" w:line="269" w:lineRule="auto"/>
        <w:rPr>
          <w:sz w:val="20"/>
          <w:szCs w:val="20"/>
          <w:color w:val="auto"/>
        </w:rPr>
      </w:pPr>
      <w:r>
        <w:rPr>
          <w:rFonts w:ascii="Arial" w:cs="Arial" w:eastAsia="Arial" w:hAnsi="Arial"/>
          <w:sz w:val="17"/>
          <w:szCs w:val="17"/>
          <w:color w:val="auto"/>
        </w:rPr>
        <w:t>The employment agreement further provides that if Mr. Weinberg’s employment is terminated by us without “cause,” by Mr. Weinberg for “good reason” or as a result of death or “disability” (each as defined in the employment agreement), then, subject to his execution, delivery and non-revocation of a release of claims with respect to the Company and its affiliates, Mr. Weinberg will be entitled to receive, in addition to certain accrued rights, (i) to the extent not already vested, full vesting of his initial RSU award (as described below); (ii) to the extent not already vested and paid, full vesting of his initial cash award, which shall be paid in accordance with the original payment schedule (with the Company to determine in good faith the amounts payable pursuant to the initial cash award based on the performance criteria established with respect to each vesting tranche); and (iii) full satisfaction of the service vesting condition applicable to his Class I-P units, with the Class I-P units remaining outstanding for one year, during which time the applicable performance vesting conditions may be satisfied. In addition, Mr. Weinberg is entitled to receive his annual bonus for any completed fiscal year preceding the termination date, provided that the Company may issue up to 50% of such amount in shares of fully-vested Class A common stock.</w:t>
      </w:r>
    </w:p>
    <w:p>
      <w:pPr>
        <w:spacing w:after="0" w:line="145" w:lineRule="exact"/>
        <w:rPr>
          <w:sz w:val="20"/>
          <w:szCs w:val="20"/>
          <w:color w:val="auto"/>
        </w:rPr>
      </w:pPr>
    </w:p>
    <w:p>
      <w:pPr>
        <w:ind w:left="220" w:right="120" w:firstLine="1745"/>
        <w:spacing w:after="0" w:line="269" w:lineRule="auto"/>
        <w:rPr>
          <w:sz w:val="20"/>
          <w:szCs w:val="20"/>
          <w:color w:val="auto"/>
        </w:rPr>
      </w:pPr>
      <w:r>
        <w:rPr>
          <w:rFonts w:ascii="Arial" w:cs="Arial" w:eastAsia="Arial" w:hAnsi="Arial"/>
          <w:sz w:val="17"/>
          <w:szCs w:val="17"/>
          <w:color w:val="auto"/>
        </w:rPr>
        <w:t>Notwithstanding the foregoing, if Mr. Weinberg retires and satisfies the six month prior written notice requirement associated with retirement eligibility in this case, Mr. Weinberg will be deemed to have satisfied the service requirements necessary for full vesting of the initial cash award, and Mr. Weinberg is entitled to be paid the relevant cash amounts (to be determined in good faith by the Company based on the performance criteria established with respect to each vesting tranche) in accordance with the original payment schedule. Further, if Mr. Weinberg retires on or following January 15, 2022 and satisfies the one year prior written notice requirement associated with retirement eligibility in this case, Mr. Weinberg will be deemed to have satisfied the age and service requirements necessary for full vesting of all deferred compensation and then-unvested equity awards (including equity awards granted to Mr. Weinberg in respect of his annual bonuses, if any, and his initial RSU award and Class I-P units), with such deferred compensation and equity awards generally to be paid out or settled, as applicable, in accordance with the original payment or vesting schedule. The right to receive the initial cash award, deferred compensation and equity awards following retirement is subject to continued compliance with the restrictive covenants set forth in his restrictive covenant agreement (as described below), regardless of whether the applicable time limits have otherwise expired.</w:t>
      </w:r>
    </w:p>
    <w:p>
      <w:pPr>
        <w:spacing w:after="0" w:line="155" w:lineRule="exact"/>
        <w:rPr>
          <w:sz w:val="20"/>
          <w:szCs w:val="20"/>
          <w:color w:val="auto"/>
        </w:rPr>
      </w:pPr>
    </w:p>
    <w:p>
      <w:pPr>
        <w:ind w:left="220" w:right="140" w:firstLine="1745"/>
        <w:spacing w:after="0" w:line="255" w:lineRule="auto"/>
        <w:rPr>
          <w:sz w:val="20"/>
          <w:szCs w:val="20"/>
          <w:color w:val="auto"/>
        </w:rPr>
      </w:pPr>
      <w:r>
        <w:rPr>
          <w:rFonts w:ascii="Arial" w:cs="Arial" w:eastAsia="Arial" w:hAnsi="Arial"/>
          <w:sz w:val="18"/>
          <w:szCs w:val="18"/>
          <w:color w:val="auto"/>
        </w:rPr>
        <w:t>In connection with the employment agreement, Mr. Weinberg also entered into a confidentiality, non-solicitation and proprietary information agreement with the Company. Pursuant to this agreement, Mr. Weinberg is subject to a covenant not to (i) compete with the Company or its affiliates while employed and for 12 months following his termination of employment for any reason and (ii) solicit our employees, consultants and certain actual and prospective clients while employed and for 12 months following his termination of employment for any reason, in each case, subject to certain specified exclusions. This agreement also contains a covenant not to disclose confidential information and an assignment of property rights provision.</w:t>
      </w:r>
    </w:p>
    <w:p>
      <w:pPr>
        <w:spacing w:after="0" w:line="15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Special One-Time Equity and Partnership Unit Awards to Mr. Weinberg</w:t>
      </w:r>
    </w:p>
    <w:p>
      <w:pPr>
        <w:spacing w:after="0" w:line="185" w:lineRule="exact"/>
        <w:rPr>
          <w:sz w:val="20"/>
          <w:szCs w:val="20"/>
          <w:color w:val="auto"/>
        </w:rPr>
      </w:pPr>
    </w:p>
    <w:p>
      <w:pPr>
        <w:ind w:left="220" w:right="40" w:firstLine="1745"/>
        <w:spacing w:after="0" w:line="257" w:lineRule="auto"/>
        <w:rPr>
          <w:sz w:val="20"/>
          <w:szCs w:val="20"/>
          <w:color w:val="auto"/>
        </w:rPr>
      </w:pPr>
      <w:r>
        <w:rPr>
          <w:rFonts w:ascii="Arial" w:cs="Arial" w:eastAsia="Arial" w:hAnsi="Arial"/>
          <w:sz w:val="18"/>
          <w:szCs w:val="18"/>
          <w:color w:val="auto"/>
        </w:rPr>
        <w:t>The Company granted 900,000 RSUs to Mr. Weinberg in connection with his employment with the Company as its Executive Chairman. This one-time grant of RSUs is subject to the terms of the RSU award agreement entered into on November 15, 2016 with Mr. Weinberg and are generally governed by terms and conditions identical to those of the 2016 Plan (to the extent such terms and conditions do not conflict with the RSU award agreement). Subject to Mr. Weinberg remaining in continuous service with the Company through the applicable vesting date, the RSUs are scheduled to vest 18% on December 31, 2016, 14% on each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 the first four anniversaries of March 1, 2017, and 26% on March 1, 2022. In addition, any otherwise unvested RSUs shall become fully vested upon</w:t>
      </w:r>
    </w:p>
    <w:p>
      <w:pPr>
        <w:spacing w:after="0" w:line="46" w:lineRule="exact"/>
        <w:rPr>
          <w:sz w:val="20"/>
          <w:szCs w:val="20"/>
          <w:color w:val="auto"/>
        </w:rPr>
      </w:pPr>
    </w:p>
    <w:p>
      <w:pPr>
        <w:ind w:left="220" w:firstLine="6"/>
        <w:spacing w:after="0" w:line="287" w:lineRule="auto"/>
        <w:tabs>
          <w:tab w:leader="none" w:pos="4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“change in control” (as defined in the 2016 Plan), (ii) Mr. Weinberg’s death or “disability” (as defined in the 2016 Plan), (iii) a termination of Mr. Weinberg’s employment by the Company without “cause” or Mr. Weinberg’s resignation for “good reason” (each as defined in Mr. Weinberg’s employment agreement) or (iv) Mr. Weinberg’s retirement on or following January 15, 2022 (subject to satisfying the one year prior written notice requirement). The RSUs are entitled to dividend equivalent rights or accrued cash dividends on such awards, which will be subject to the same terms and conditions (including the same vesting and delivery schedule) as the underlying RSUs. If Mr. Weinberg violates the terms of his restrictive covenant agreement with the Company, he will immediately forfeit any remaining RSUs for which shares of Class A common stock have not yet been delivered (including any dividend equivalent rights or accrued cash dividends in respect of such RSUs). The RSUs were awarded outside the 2016 Plan in reliance on the employment inducement exception provided under Section 303A.08 of the New York Stock Exchange Listed Company Manual.</w:t>
      </w:r>
    </w:p>
    <w:p>
      <w:pPr>
        <w:spacing w:after="0" w:line="143" w:lineRule="exact"/>
        <w:rPr>
          <w:sz w:val="20"/>
          <w:szCs w:val="20"/>
          <w:color w:val="auto"/>
        </w:rPr>
      </w:pPr>
    </w:p>
    <w:p>
      <w:pPr>
        <w:ind w:left="220" w:right="40" w:firstLine="1745"/>
        <w:spacing w:after="0" w:line="253" w:lineRule="auto"/>
        <w:rPr>
          <w:sz w:val="20"/>
          <w:szCs w:val="20"/>
          <w:color w:val="auto"/>
        </w:rPr>
      </w:pPr>
      <w:r>
        <w:rPr>
          <w:rFonts w:ascii="Arial" w:cs="Arial" w:eastAsia="Arial" w:hAnsi="Arial"/>
          <w:sz w:val="18"/>
          <w:szCs w:val="18"/>
          <w:color w:val="auto"/>
        </w:rPr>
        <w:t>In addition, on November 15, 2016, the Company, Evercore LP and Mr. Weinberg entered into an incentive subscription agreement pursuant to which Mr. Weinberg subscribed for a one-time grant of 400,000 Class I-P units, which are structured as “profits interests” under applicable tax rules, and one share of Class B common stock of the Company, which share will entitle Mr. Weinberg to one vote for each partnership unit then held by Mr. Weinberg. The Class I-P units convert into a specified number of Class I units upon satisfaction of both service vesting conditions and performance vesting conditions. The service vesting conditions will be satisfied if Mr. Weinberg remains a full-time employee in good standing through March 1, 2022 or, if prior to such date, (i) Mr. Weinberg’s employment with the Company terminates due to death or “disability” (as defined in the 2016 Plan), (ii) Mr. Weinberg’s employment is terminated by the Company without “cause,” (as defined in his employment agreement) (iii) Mr. Weinberg resigns for “good reason” (as defined in his employment agreement) or (iv) Mr. Weinberg retires on or following January 15, 2022 (each such event, a “</w:t>
      </w:r>
      <w:r>
        <w:rPr>
          <w:rFonts w:ascii="Arial" w:cs="Arial" w:eastAsia="Arial" w:hAnsi="Arial"/>
          <w:sz w:val="18"/>
          <w:szCs w:val="18"/>
          <w:i w:val="1"/>
          <w:iCs w:val="1"/>
          <w:color w:val="auto"/>
        </w:rPr>
        <w:t>qualifying termination</w:t>
      </w:r>
      <w:r>
        <w:rPr>
          <w:rFonts w:ascii="Arial" w:cs="Arial" w:eastAsia="Arial" w:hAnsi="Arial"/>
          <w:sz w:val="18"/>
          <w:szCs w:val="18"/>
          <w:color w:val="auto"/>
        </w:rPr>
        <w:t>”). The Class I-P Units were also subject to the following performance vesting conditions, which were satisfied when the average of the high and low price of the Company’s Class A common stock on a trading day met or exceeded the following thresholds:</w:t>
      </w:r>
    </w:p>
    <w:p>
      <w:pPr>
        <w:spacing w:after="0" w:line="192" w:lineRule="exact"/>
        <w:rPr>
          <w:sz w:val="20"/>
          <w:szCs w:val="20"/>
          <w:color w:val="auto"/>
        </w:rPr>
      </w:pPr>
    </w:p>
    <w:p>
      <w:pPr>
        <w:ind w:left="660" w:right="460" w:hanging="436"/>
        <w:spacing w:after="0" w:line="277" w:lineRule="auto"/>
        <w:tabs>
          <w:tab w:leader="none" w:pos="660" w:val="left"/>
        </w:tabs>
        <w:numPr>
          <w:ilvl w:val="0"/>
          <w:numId w:val="65"/>
        </w:numPr>
        <w:rPr>
          <w:rFonts w:ascii="Arial" w:cs="Arial" w:eastAsia="Arial" w:hAnsi="Arial"/>
          <w:sz w:val="18"/>
          <w:szCs w:val="18"/>
          <w:color w:val="0A26FF"/>
        </w:rPr>
      </w:pPr>
      <w:r>
        <w:rPr>
          <w:rFonts w:ascii="Arial" w:cs="Arial" w:eastAsia="Arial" w:hAnsi="Arial"/>
          <w:sz w:val="18"/>
          <w:szCs w:val="18"/>
          <w:color w:val="auto"/>
        </w:rPr>
        <w:t>200,000 Class I-P units will be eligible to vest and convert into 200,000 Class I units if the stock price is equal to or greater than $65 for 20 consecutive trading days (which occurred during 2016); and</w:t>
      </w:r>
    </w:p>
    <w:p>
      <w:pPr>
        <w:spacing w:after="0" w:line="170" w:lineRule="exact"/>
        <w:rPr>
          <w:rFonts w:ascii="Arial" w:cs="Arial" w:eastAsia="Arial" w:hAnsi="Arial"/>
          <w:sz w:val="18"/>
          <w:szCs w:val="18"/>
          <w:color w:val="0A26FF"/>
        </w:rPr>
      </w:pPr>
    </w:p>
    <w:p>
      <w:pPr>
        <w:ind w:left="660" w:right="460" w:hanging="436"/>
        <w:spacing w:after="0" w:line="277" w:lineRule="auto"/>
        <w:tabs>
          <w:tab w:leader="none" w:pos="660" w:val="left"/>
        </w:tabs>
        <w:numPr>
          <w:ilvl w:val="0"/>
          <w:numId w:val="65"/>
        </w:numPr>
        <w:rPr>
          <w:rFonts w:ascii="Arial" w:cs="Arial" w:eastAsia="Arial" w:hAnsi="Arial"/>
          <w:sz w:val="18"/>
          <w:szCs w:val="18"/>
          <w:color w:val="0A26FF"/>
        </w:rPr>
      </w:pPr>
      <w:r>
        <w:rPr>
          <w:rFonts w:ascii="Arial" w:cs="Arial" w:eastAsia="Arial" w:hAnsi="Arial"/>
          <w:sz w:val="18"/>
          <w:szCs w:val="18"/>
          <w:color w:val="auto"/>
        </w:rPr>
        <w:t>200,000 Class I-P units will be eligible to vest and convert into 200,000 Class I units if the stock price is equal to or greater than $75 for 20 consecutive trading days (which occurred during 2017).</w:t>
      </w:r>
    </w:p>
    <w:p>
      <w:pPr>
        <w:spacing w:after="0" w:line="170" w:lineRule="exact"/>
        <w:rPr>
          <w:sz w:val="20"/>
          <w:szCs w:val="20"/>
          <w:color w:val="auto"/>
        </w:rPr>
      </w:pPr>
    </w:p>
    <w:p>
      <w:pPr>
        <w:ind w:left="220" w:right="20" w:firstLine="1745"/>
        <w:spacing w:after="0" w:line="271" w:lineRule="auto"/>
        <w:rPr>
          <w:sz w:val="20"/>
          <w:szCs w:val="20"/>
          <w:color w:val="auto"/>
        </w:rPr>
      </w:pPr>
      <w:r>
        <w:rPr>
          <w:rFonts w:ascii="Arial" w:cs="Arial" w:eastAsia="Arial" w:hAnsi="Arial"/>
          <w:sz w:val="17"/>
          <w:szCs w:val="17"/>
          <w:color w:val="auto"/>
        </w:rPr>
        <w:t>Notwithstanding anything in the foregoing to the contrary, Mr. Weinberg’s employment agreement provides that in the event of a change in control (as defined in the 2016 Plan), the service vesting condition shall be satisfied and the performance vesting condition may be satisfied (in full or in part) based on the value of the per share consideration paid in such change in control or, as applicable, the per share value of Class A common stock implied by such transaction. Subject to compliance with applicable tax guidance with respect to profits interests, immediately prior to a change in control, the Class I-P units will vest and automatically convert into the number of Class I units that would be issuable if the performance vesting condition was satisfied based on a stock price equal to the transaction price plus $10.00. The Class I-P units are subject to forfeiture in the event of a breach of the terms of Mr. Weinberg’s restrictive covenant agreement. The Class I-P units were awarded outside any shareholder approved equity-compensation plan in reliance on the employment inducement exception described above.</w:t>
      </w:r>
    </w:p>
    <w:p>
      <w:pPr>
        <w:spacing w:after="0" w:line="13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Evercore Annual Equity Awards</w:t>
      </w:r>
    </w:p>
    <w:p>
      <w:pPr>
        <w:spacing w:after="0" w:line="185" w:lineRule="exact"/>
        <w:rPr>
          <w:sz w:val="20"/>
          <w:szCs w:val="20"/>
          <w:color w:val="auto"/>
        </w:rPr>
      </w:pPr>
    </w:p>
    <w:p>
      <w:pPr>
        <w:ind w:left="220" w:right="80" w:firstLine="1745"/>
        <w:spacing w:after="0" w:line="279" w:lineRule="auto"/>
        <w:rPr>
          <w:sz w:val="20"/>
          <w:szCs w:val="20"/>
          <w:color w:val="auto"/>
        </w:rPr>
      </w:pPr>
      <w:r>
        <w:rPr>
          <w:rFonts w:ascii="Arial" w:cs="Arial" w:eastAsia="Arial" w:hAnsi="Arial"/>
          <w:sz w:val="17"/>
          <w:szCs w:val="17"/>
          <w:color w:val="auto"/>
        </w:rPr>
        <w:t>Our RSUs granted in connection with bonuses vest in substantially equal annual installments over four years, subject to accelerated vesting upon death, disability, change in control, qualifying retirement and termination without cause. When deferred compensation is awarded in the form of RSUs, the RSUs include dividend equivalent rights payable in the form of cash or additional RSUs, at the Company’s election, which cash or additional RSUs will vest and be settled on the same terms as the original RSUs to which they relate.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firstLine="1745"/>
        <w:spacing w:after="0" w:line="286" w:lineRule="auto"/>
        <w:rPr>
          <w:sz w:val="20"/>
          <w:szCs w:val="20"/>
          <w:color w:val="auto"/>
        </w:rPr>
      </w:pPr>
      <w:r>
        <w:rPr>
          <w:rFonts w:ascii="Arial" w:cs="Arial" w:eastAsia="Arial" w:hAnsi="Arial"/>
          <w:sz w:val="16"/>
          <w:szCs w:val="16"/>
          <w:color w:val="auto"/>
        </w:rPr>
        <w:t>The RSUs will continue to be paid (or released from restriction) on the original vesting schedule following a qualifying retirement as long as the recipient complies with his or her non-competition commitments, gives the minimum advanced notice of his or her decision to retire, which is generally six months to one year, and, at the time of retirement, (i) (a) is at least 55 years old and has completed at least five years of continuous service with the Company and (b) his or her age plus years of service exceeds 65 or (ii) is at least 60 years old and has completed at least</w:t>
      </w:r>
    </w:p>
    <w:p>
      <w:pPr>
        <w:spacing w:after="0" w:line="1" w:lineRule="exact"/>
        <w:rPr>
          <w:sz w:val="20"/>
          <w:szCs w:val="20"/>
          <w:color w:val="auto"/>
        </w:rPr>
      </w:pPr>
    </w:p>
    <w:p>
      <w:pPr>
        <w:jc w:val="both"/>
        <w:ind w:left="220"/>
        <w:spacing w:after="0" w:line="255" w:lineRule="auto"/>
        <w:rPr>
          <w:sz w:val="20"/>
          <w:szCs w:val="20"/>
          <w:color w:val="auto"/>
        </w:rPr>
      </w:pPr>
      <w:r>
        <w:rPr>
          <w:rFonts w:ascii="Arial" w:cs="Arial" w:eastAsia="Arial" w:hAnsi="Arial"/>
          <w:sz w:val="18"/>
          <w:szCs w:val="18"/>
          <w:color w:val="auto"/>
        </w:rPr>
        <w:t>10 years of continuous service with the Company. If a qualified retiree violates his or her non-competition commitments at any time before a scheduled release date, the undelivered shares will be forfeited. Because the general vesting period of these awards is four years, this will provide an incentive for qualified retirees to refrain from competition or client solicitation for up to four years.</w:t>
      </w:r>
    </w:p>
    <w:p>
      <w:pPr>
        <w:spacing w:after="0" w:line="163" w:lineRule="exact"/>
        <w:rPr>
          <w:sz w:val="20"/>
          <w:szCs w:val="20"/>
          <w:color w:val="auto"/>
        </w:rPr>
      </w:pPr>
    </w:p>
    <w:p>
      <w:pPr>
        <w:ind w:left="220" w:firstLine="1745"/>
        <w:spacing w:after="0" w:line="288" w:lineRule="auto"/>
        <w:rPr>
          <w:sz w:val="20"/>
          <w:szCs w:val="20"/>
          <w:color w:val="auto"/>
        </w:rPr>
      </w:pPr>
      <w:r>
        <w:rPr>
          <w:rFonts w:ascii="Arial" w:cs="Arial" w:eastAsia="Arial" w:hAnsi="Arial"/>
          <w:sz w:val="16"/>
          <w:szCs w:val="16"/>
          <w:color w:val="auto"/>
        </w:rPr>
        <w:t>The vesting of deferred compensation awards is also subject to accelerated vesting upon a termination of the recipient’s service by us without “cause,” subject to his or her execution of a general release of claims against us and our affiliates. For this purpose, “cause” for U.S. partners and employees generally means (1) the employee’s material breach of any restrictive covenants or any of our published policies (including our Code of Business Conduct and Ethics); (2) any act or omission by the employee that causes us or the employee to be subject to discipline under any law, rule or regulation related to our business, or any rule of any exchange or association of which we are a member; (3) the employee’s conviction of, or plea of guilty or no contest to, any felony; (4) the employee’s participation in any fraud or embezzlement; (5) gross negligence or willful misconduct by the employee in the course of employment or the employee’s deliberate and continuous disregard of his or her material duties; or (6) the employee’s commission of any act or making of any statement that impairs, impugns, denigrates, disparages or otherwise negatively reflects on us or our reputation or business interests. For non-U.S. partners and employees, the cause definition is substantively similar. The RSUs are subject to the terms of our clawback policy and our anti-hedging and anti-pledging policies.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0016FF"/>
        </w:rPr>
        <w:t>COMPENSATION COMMITTEE REPORT</w:t>
      </w:r>
    </w:p>
    <w:p>
      <w:pPr>
        <w:spacing w:after="0" w:line="192" w:lineRule="exact"/>
        <w:rPr>
          <w:sz w:val="20"/>
          <w:szCs w:val="20"/>
          <w:color w:val="auto"/>
        </w:rPr>
      </w:pPr>
    </w:p>
    <w:p>
      <w:pPr>
        <w:jc w:val="both"/>
        <w:ind w:left="220" w:right="380" w:firstLine="1745"/>
        <w:spacing w:after="0" w:line="263" w:lineRule="auto"/>
        <w:rPr>
          <w:sz w:val="20"/>
          <w:szCs w:val="20"/>
          <w:color w:val="auto"/>
        </w:rPr>
      </w:pPr>
      <w:r>
        <w:rPr>
          <w:rFonts w:ascii="Arial" w:cs="Arial" w:eastAsia="Arial" w:hAnsi="Arial"/>
          <w:sz w:val="18"/>
          <w:szCs w:val="18"/>
          <w:color w:val="auto"/>
        </w:rPr>
        <w:t>We have reviewed and discussed the Compensation Discussion and Analysis with management. Based on our review and discussion with management, we recommended to the Board that the Compensation Discussion and Analysis be included in this Proxy Statement issued in connection with our Annual Meeting and in our Form 10-K.</w:t>
      </w:r>
    </w:p>
    <w:p>
      <w:pPr>
        <w:spacing w:after="0" w:line="400" w:lineRule="exact"/>
        <w:rPr>
          <w:sz w:val="20"/>
          <w:szCs w:val="20"/>
          <w:color w:val="auto"/>
        </w:rPr>
      </w:pPr>
    </w:p>
    <w:p>
      <w:pPr>
        <w:ind w:left="4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8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B. Millard, Chairman</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Sir Simon M. Robertson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William J. Wheeler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Sarah K. Williamson</w:t>
      </w:r>
    </w:p>
    <w:p>
      <w:pPr>
        <w:spacing w:after="0" w:line="211" w:lineRule="exact"/>
        <w:rPr>
          <w:sz w:val="20"/>
          <w:szCs w:val="20"/>
          <w:color w:val="auto"/>
        </w:rPr>
      </w:pPr>
    </w:p>
    <w:p>
      <w:pPr>
        <w:ind w:left="120" w:firstLine="1432"/>
        <w:spacing w:after="0" w:line="263" w:lineRule="auto"/>
        <w:rPr>
          <w:sz w:val="20"/>
          <w:szCs w:val="20"/>
          <w:color w:val="auto"/>
        </w:rPr>
      </w:pPr>
      <w:r>
        <w:rPr>
          <w:rFonts w:ascii="Arial" w:cs="Arial" w:eastAsia="Arial" w:hAnsi="Arial"/>
          <w:sz w:val="18"/>
          <w:szCs w:val="18"/>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194310</wp:posOffset>
            </wp:positionV>
            <wp:extent cx="1680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PROPOSAL 2—NON-BINDING, ADVISORY VOTE</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ON EXECUTIVE COMPENSATION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Summary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hanging="876"/>
        <w:spacing w:after="0"/>
        <w:tabs>
          <w:tab w:leader="none" w:pos="1100" w:val="left"/>
        </w:tabs>
        <w:numPr>
          <w:ilvl w:val="0"/>
          <w:numId w:val="66"/>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What is being voted on. </w:t>
      </w:r>
      <w:r>
        <w:rPr>
          <w:rFonts w:ascii="Arial" w:cs="Arial" w:eastAsia="Arial" w:hAnsi="Arial"/>
          <w:sz w:val="18"/>
          <w:szCs w:val="18"/>
          <w:color w:val="000000"/>
        </w:rPr>
        <w:t>An advisory vote to approve the 2019 compensation of our NEOs (“Say on Pay”).</w:t>
      </w:r>
    </w:p>
    <w:p>
      <w:pPr>
        <w:spacing w:after="0" w:line="225" w:lineRule="exact"/>
        <w:rPr>
          <w:rFonts w:ascii="MS PGothic" w:cs="MS PGothic" w:eastAsia="MS PGothic" w:hAnsi="MS PGothic"/>
          <w:sz w:val="18"/>
          <w:szCs w:val="18"/>
          <w:color w:val="auto"/>
        </w:rPr>
      </w:pPr>
    </w:p>
    <w:p>
      <w:pPr>
        <w:ind w:left="1100" w:right="140" w:hanging="876"/>
        <w:spacing w:after="0" w:line="282" w:lineRule="auto"/>
        <w:tabs>
          <w:tab w:leader="none" w:pos="1100" w:val="left"/>
        </w:tabs>
        <w:numPr>
          <w:ilvl w:val="0"/>
          <w:numId w:val="66"/>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Board recommendation. </w:t>
      </w:r>
      <w:r>
        <w:rPr>
          <w:rFonts w:ascii="Arial" w:cs="Arial" w:eastAsia="Arial" w:hAnsi="Arial"/>
          <w:sz w:val="18"/>
          <w:szCs w:val="18"/>
          <w:color w:val="000000"/>
        </w:rPr>
        <w:t>Our Board unanimously recommends that you vote “FOR” the resolution approving the 2019 compensation of</w:t>
      </w:r>
      <w:r>
        <w:rPr>
          <w:rFonts w:ascii="Arial" w:cs="Arial" w:eastAsia="Arial" w:hAnsi="Arial"/>
          <w:sz w:val="18"/>
          <w:szCs w:val="18"/>
          <w:b w:val="1"/>
          <w:bCs w:val="1"/>
          <w:color w:val="0A26FF"/>
        </w:rPr>
        <w:t xml:space="preserve"> </w:t>
      </w:r>
      <w:r>
        <w:rPr>
          <w:rFonts w:ascii="Arial" w:cs="Arial" w:eastAsia="Arial" w:hAnsi="Arial"/>
          <w:sz w:val="18"/>
          <w:szCs w:val="18"/>
          <w:color w:val="000000"/>
        </w:rPr>
        <w:t>our NEOs.</w:t>
      </w:r>
    </w:p>
    <w:p>
      <w:pPr>
        <w:spacing w:after="0" w:line="139" w:lineRule="exact"/>
        <w:rPr>
          <w:sz w:val="20"/>
          <w:szCs w:val="20"/>
          <w:color w:val="auto"/>
        </w:rPr>
      </w:pPr>
    </w:p>
    <w:p>
      <w:pPr>
        <w:ind w:left="220" w:right="60"/>
        <w:spacing w:after="0" w:line="311" w:lineRule="auto"/>
        <w:rPr>
          <w:sz w:val="20"/>
          <w:szCs w:val="20"/>
          <w:color w:val="auto"/>
        </w:rPr>
      </w:pPr>
      <w:r>
        <w:rPr>
          <w:rFonts w:ascii="Arial" w:cs="Arial" w:eastAsia="Arial" w:hAnsi="Arial"/>
          <w:sz w:val="16"/>
          <w:szCs w:val="16"/>
          <w:color w:val="auto"/>
        </w:rPr>
        <w:t>Our Say on Pay Vote gives our shareholders the opportunity to cast an advisory vote to approve the compensation of all of our NEOs. We currently include this advisory vote on an annual basis. While the results of this vote are non-binding and advisory in nature, the Board values our shareholders’ opinions and will consider the results of the 2020 vote when making future decisions regarding the compensation of our NEOs.</w:t>
      </w:r>
    </w:p>
    <w:p>
      <w:pPr>
        <w:spacing w:after="0" w:line="108"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We encourage you to review the following sections of this Proxy Statement for further information on our key compensation practices and the effect of shareholder feedback on NEO compensation:</w:t>
      </w:r>
    </w:p>
    <w:p>
      <w:pPr>
        <w:spacing w:after="0" w:line="193" w:lineRule="exact"/>
        <w:rPr>
          <w:sz w:val="20"/>
          <w:szCs w:val="20"/>
          <w:color w:val="auto"/>
        </w:rPr>
      </w:pPr>
    </w:p>
    <w:p>
      <w:pPr>
        <w:ind w:left="1100" w:hanging="876"/>
        <w:spacing w:after="0"/>
        <w:tabs>
          <w:tab w:leader="none" w:pos="1100" w:val="left"/>
        </w:tabs>
        <w:numPr>
          <w:ilvl w:val="0"/>
          <w:numId w:val="67"/>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“2019 Compensation Highlights” </w:t>
      </w:r>
      <w:r>
        <w:rPr>
          <w:rFonts w:ascii="Arial" w:cs="Arial" w:eastAsia="Arial" w:hAnsi="Arial"/>
          <w:sz w:val="18"/>
          <w:szCs w:val="18"/>
          <w:color w:val="000000"/>
        </w:rPr>
        <w:t>in our Compensation Discussion &amp; Analysis (see page 44)</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67"/>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“2019 Incentive Compensation Determinations” </w:t>
      </w:r>
      <w:r>
        <w:rPr>
          <w:rFonts w:ascii="Arial" w:cs="Arial" w:eastAsia="Arial" w:hAnsi="Arial"/>
          <w:sz w:val="18"/>
          <w:szCs w:val="18"/>
          <w:color w:val="000000"/>
        </w:rPr>
        <w:t>in our Compensation Discussion &amp; Analysis (see page 46)</w:t>
      </w:r>
    </w:p>
    <w:p>
      <w:pPr>
        <w:spacing w:after="0" w:line="225" w:lineRule="exact"/>
        <w:rPr>
          <w:rFonts w:ascii="MS PGothic" w:cs="MS PGothic" w:eastAsia="MS PGothic" w:hAnsi="MS PGothic"/>
          <w:sz w:val="18"/>
          <w:szCs w:val="18"/>
          <w:color w:val="auto"/>
        </w:rPr>
      </w:pPr>
    </w:p>
    <w:p>
      <w:pPr>
        <w:ind w:left="1100" w:hanging="876"/>
        <w:spacing w:after="0"/>
        <w:tabs>
          <w:tab w:leader="none" w:pos="1100" w:val="left"/>
        </w:tabs>
        <w:numPr>
          <w:ilvl w:val="0"/>
          <w:numId w:val="67"/>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“2019 Say on Pay Vote” </w:t>
      </w:r>
      <w:r>
        <w:rPr>
          <w:rFonts w:ascii="Arial" w:cs="Arial" w:eastAsia="Arial" w:hAnsi="Arial"/>
          <w:sz w:val="18"/>
          <w:szCs w:val="18"/>
          <w:color w:val="000000"/>
        </w:rPr>
        <w:t>in our Compensation Discussion &amp; Analysis (see page 52)</w:t>
      </w:r>
    </w:p>
    <w:p>
      <w:pPr>
        <w:spacing w:after="0" w:line="189"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Please note that these sections should be read in conjunction with our entire Compensation Discussion &amp; Analysis (beginning on page 42), as well as the executive compensation tables and related disclosure that follow (beginning on page 53).</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2020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right="180"/>
        <w:spacing w:after="0" w:line="263" w:lineRule="auto"/>
        <w:rPr>
          <w:sz w:val="20"/>
          <w:szCs w:val="20"/>
          <w:color w:val="auto"/>
        </w:rPr>
      </w:pPr>
      <w:r>
        <w:rPr>
          <w:rFonts w:ascii="Arial" w:cs="Arial" w:eastAsia="Arial" w:hAnsi="Arial"/>
          <w:sz w:val="18"/>
          <w:szCs w:val="18"/>
          <w:color w:val="auto"/>
        </w:rPr>
        <w:t>In accordance with the requirements of Section 14A of the Exchange Act and Exchange Act Rule 14a-21(a), the below resolution gives shareholders the opportunity to cast an advisory vote on the compensation of our NEOs, as disclosed in this Proxy Statement, including the Compensation Discussion &amp; Analysis, the executive compensation tables and related disclosure.</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Accordingly, we are asking our shareholders to vote on the following resolution:</w:t>
      </w:r>
    </w:p>
    <w:p>
      <w:pPr>
        <w:spacing w:after="0" w:line="181" w:lineRule="exact"/>
        <w:rPr>
          <w:sz w:val="20"/>
          <w:szCs w:val="20"/>
          <w:color w:val="auto"/>
        </w:rPr>
      </w:pPr>
    </w:p>
    <w:p>
      <w:pPr>
        <w:ind w:left="220" w:right="40"/>
        <w:spacing w:after="0" w:line="266" w:lineRule="auto"/>
        <w:rPr>
          <w:sz w:val="20"/>
          <w:szCs w:val="20"/>
          <w:color w:val="auto"/>
        </w:rPr>
      </w:pPr>
      <w:r>
        <w:rPr>
          <w:rFonts w:ascii="Arial" w:cs="Arial" w:eastAsia="Arial" w:hAnsi="Arial"/>
          <w:sz w:val="18"/>
          <w:szCs w:val="18"/>
          <w:b w:val="1"/>
          <w:bCs w:val="1"/>
          <w:color w:val="auto"/>
        </w:rPr>
        <w:t>RESOLVED, that the compensation paid to the company’s Named Executive Officers, as disclosed in this Proxy Statement pursuant to the rules of the SEC, including the Compensation Discussion and Analysis, executive compensation tables and any related narrative discussion, is hereby APPROVED.</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Proxies will be voted FOR the approval of the resolution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222885</wp:posOffset>
            </wp:positionV>
            <wp:extent cx="16802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0016FF"/>
        </w:rPr>
        <w:t>PAY RATIO</w:t>
      </w:r>
    </w:p>
    <w:p>
      <w:pPr>
        <w:spacing w:after="0" w:line="192"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Set forth below is the annual total compensation of our median employee, the annual total compensation of Mr. Schlosstein, and the ratio of those two values:</w:t>
      </w:r>
    </w:p>
    <w:p>
      <w:pPr>
        <w:spacing w:after="0" w:line="170" w:lineRule="exact"/>
        <w:rPr>
          <w:sz w:val="20"/>
          <w:szCs w:val="20"/>
          <w:color w:val="auto"/>
        </w:rPr>
      </w:pPr>
    </w:p>
    <w:p>
      <w:pPr>
        <w:ind w:left="980" w:hanging="432"/>
        <w:spacing w:after="0"/>
        <w:tabs>
          <w:tab w:leader="none" w:pos="980" w:val="left"/>
        </w:tabs>
        <w:numPr>
          <w:ilvl w:val="0"/>
          <w:numId w:val="68"/>
        </w:numPr>
        <w:rPr>
          <w:rFonts w:ascii="Arial" w:cs="Arial" w:eastAsia="Arial" w:hAnsi="Arial"/>
          <w:sz w:val="18"/>
          <w:szCs w:val="18"/>
          <w:color w:val="0A26FF"/>
        </w:rPr>
      </w:pPr>
      <w:r>
        <w:rPr>
          <w:rFonts w:ascii="Arial" w:cs="Arial" w:eastAsia="Arial" w:hAnsi="Arial"/>
          <w:sz w:val="18"/>
          <w:szCs w:val="18"/>
          <w:color w:val="auto"/>
        </w:rPr>
        <w:t>The 2019 annual total compensation of our median employee was $187,500;</w:t>
      </w:r>
    </w:p>
    <w:p>
      <w:pPr>
        <w:spacing w:after="0" w:line="225" w:lineRule="exact"/>
        <w:rPr>
          <w:rFonts w:ascii="Arial" w:cs="Arial" w:eastAsia="Arial" w:hAnsi="Arial"/>
          <w:sz w:val="18"/>
          <w:szCs w:val="18"/>
          <w:color w:val="0A26FF"/>
        </w:rPr>
      </w:pPr>
    </w:p>
    <w:p>
      <w:pPr>
        <w:ind w:left="980" w:hanging="432"/>
        <w:spacing w:after="0"/>
        <w:tabs>
          <w:tab w:leader="none" w:pos="980" w:val="left"/>
        </w:tabs>
        <w:numPr>
          <w:ilvl w:val="0"/>
          <w:numId w:val="68"/>
        </w:numPr>
        <w:rPr>
          <w:rFonts w:ascii="Arial" w:cs="Arial" w:eastAsia="Arial" w:hAnsi="Arial"/>
          <w:sz w:val="18"/>
          <w:szCs w:val="18"/>
          <w:color w:val="0A26FF"/>
        </w:rPr>
      </w:pPr>
      <w:r>
        <w:rPr>
          <w:rFonts w:ascii="Arial" w:cs="Arial" w:eastAsia="Arial" w:hAnsi="Arial"/>
          <w:sz w:val="18"/>
          <w:szCs w:val="18"/>
          <w:color w:val="auto"/>
        </w:rPr>
        <w:t>The 2019 annual total compensation of our CEO, Mr. Schlosstein, was $7,312,898; and</w:t>
      </w:r>
    </w:p>
    <w:p>
      <w:pPr>
        <w:spacing w:after="0" w:line="225" w:lineRule="exact"/>
        <w:rPr>
          <w:rFonts w:ascii="Arial" w:cs="Arial" w:eastAsia="Arial" w:hAnsi="Arial"/>
          <w:sz w:val="18"/>
          <w:szCs w:val="18"/>
          <w:color w:val="0A26FF"/>
        </w:rPr>
      </w:pPr>
    </w:p>
    <w:p>
      <w:pPr>
        <w:ind w:left="980" w:right="140" w:hanging="432"/>
        <w:spacing w:after="0" w:line="277" w:lineRule="auto"/>
        <w:tabs>
          <w:tab w:leader="none" w:pos="980" w:val="left"/>
        </w:tabs>
        <w:numPr>
          <w:ilvl w:val="0"/>
          <w:numId w:val="68"/>
        </w:numPr>
        <w:rPr>
          <w:rFonts w:ascii="Arial" w:cs="Arial" w:eastAsia="Arial" w:hAnsi="Arial"/>
          <w:sz w:val="18"/>
          <w:szCs w:val="18"/>
          <w:color w:val="0A26FF"/>
        </w:rPr>
      </w:pPr>
      <w:r>
        <w:rPr>
          <w:rFonts w:ascii="Arial" w:cs="Arial" w:eastAsia="Arial" w:hAnsi="Arial"/>
          <w:sz w:val="18"/>
          <w:szCs w:val="18"/>
          <w:color w:val="auto"/>
        </w:rPr>
        <w:t>For 2019, the ratio of the annual total compensation of Mr. Schlosstein to the annual total compensation of our median employee was 39 to 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Background</w:t>
      </w:r>
    </w:p>
    <w:p>
      <w:pPr>
        <w:spacing w:after="0" w:line="189" w:lineRule="exact"/>
        <w:rPr>
          <w:sz w:val="20"/>
          <w:szCs w:val="20"/>
          <w:color w:val="auto"/>
        </w:rPr>
      </w:pPr>
    </w:p>
    <w:p>
      <w:pPr>
        <w:ind w:left="220" w:firstLine="1745"/>
        <w:spacing w:after="0" w:line="255" w:lineRule="auto"/>
        <w:rPr>
          <w:sz w:val="20"/>
          <w:szCs w:val="20"/>
          <w:color w:val="auto"/>
        </w:rPr>
      </w:pPr>
      <w:r>
        <w:rPr>
          <w:rFonts w:ascii="Arial" w:cs="Arial" w:eastAsia="Arial" w:hAnsi="Arial"/>
          <w:sz w:val="18"/>
          <w:szCs w:val="18"/>
          <w:color w:val="auto"/>
        </w:rPr>
        <w:t>To identify our median employee, we used our entire employee population, excluding independent contractors and consultants, as of November 1, 2017 and measured compensation based on total pay (including the value of equity awards received in 2017, cash bonus, overtime pay, commissions and pensions) actually received over the period from January 1, 2017 through December 31, 2017. There has been no change in our employee population, our employee compensation arrangements or our median employee’s circumstances that we believe would significantly impact our pay ratio disclosure. Thus, as permitted by SEC rules, we calculated the 2019 pay ratio set forth above using the same median employee that we used to calculate our 2017 pay ratio.</w:t>
      </w:r>
    </w:p>
    <w:p>
      <w:pPr>
        <w:spacing w:after="0" w:line="165" w:lineRule="exact"/>
        <w:rPr>
          <w:sz w:val="20"/>
          <w:szCs w:val="20"/>
          <w:color w:val="auto"/>
        </w:rPr>
      </w:pPr>
    </w:p>
    <w:p>
      <w:pPr>
        <w:ind w:left="220" w:right="280" w:firstLine="1745"/>
        <w:spacing w:after="0" w:line="311" w:lineRule="auto"/>
        <w:rPr>
          <w:sz w:val="20"/>
          <w:szCs w:val="20"/>
          <w:color w:val="auto"/>
        </w:rPr>
      </w:pPr>
      <w:r>
        <w:rPr>
          <w:rFonts w:ascii="Arial" w:cs="Arial" w:eastAsia="Arial" w:hAnsi="Arial"/>
          <w:sz w:val="16"/>
          <w:szCs w:val="16"/>
          <w:color w:val="auto"/>
        </w:rPr>
        <w:t>As required by SEC rules, after determining that our median employee (who is located in the U.S.) will be the median employee for purposes of this pay ratio, we calculated 2019 annual total compensation for both our median employee and Mr. Schlosstein using the same methodology that we use to determine our named executive officers’ annual total compensation for the Summary Compensation Table.</w:t>
      </w:r>
    </w:p>
    <w:p>
      <w:pPr>
        <w:spacing w:after="0" w:line="108" w:lineRule="exact"/>
        <w:rPr>
          <w:sz w:val="20"/>
          <w:szCs w:val="20"/>
          <w:color w:val="auto"/>
        </w:rPr>
      </w:pPr>
    </w:p>
    <w:p>
      <w:pPr>
        <w:ind w:left="220" w:right="40" w:firstLine="1745"/>
        <w:spacing w:after="0" w:line="273" w:lineRule="auto"/>
        <w:rPr>
          <w:sz w:val="20"/>
          <w:szCs w:val="20"/>
          <w:color w:val="auto"/>
        </w:rPr>
      </w:pPr>
      <w:r>
        <w:rPr>
          <w:rFonts w:ascii="Arial" w:cs="Arial" w:eastAsia="Arial" w:hAnsi="Arial"/>
          <w:sz w:val="17"/>
          <w:szCs w:val="17"/>
          <w:color w:val="auto"/>
        </w:rPr>
        <w:t>The pay ratio is a reasonable estimate calculated in a manner consistent with SEC rules based on our payroll, employment records and the methodology described above. The SEC rules for identifying the median compensated employee and calculating the pay ratio based on that employee’s annual total compensation allow companies to adopt various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16FF"/>
        </w:rPr>
        <w:t>SECURITY OWNERSHIP OF CERTAIN BENEFICIAL OWNERS</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16FF"/>
        </w:rPr>
        <w:t>AND MANAGEMENT</w:t>
      </w:r>
    </w:p>
    <w:p>
      <w:pPr>
        <w:spacing w:after="0" w:line="168" w:lineRule="exact"/>
        <w:rPr>
          <w:sz w:val="20"/>
          <w:szCs w:val="20"/>
          <w:color w:val="auto"/>
        </w:rPr>
      </w:pPr>
    </w:p>
    <w:p>
      <w:pPr>
        <w:ind w:left="220" w:firstLine="1745"/>
        <w:spacing w:after="0" w:line="287" w:lineRule="auto"/>
        <w:rPr>
          <w:sz w:val="20"/>
          <w:szCs w:val="20"/>
          <w:color w:val="auto"/>
        </w:rPr>
      </w:pPr>
      <w:r>
        <w:rPr>
          <w:rFonts w:ascii="Arial" w:cs="Arial" w:eastAsia="Arial" w:hAnsi="Arial"/>
          <w:sz w:val="16"/>
          <w:szCs w:val="16"/>
          <w:color w:val="auto"/>
        </w:rPr>
        <w:t>The following table sets forth, as of April 22, 2020, information regarding the beneficial ownership of Voting Units and our Class A common stock and Class B common stock held by (1) each person, or group of affiliated persons, known by us to beneficially own more than 5% of our outstanding shares of Class A common stock or Class B common stock, (2) each of our directors, (3) each of our NEOs and (4) all of our current directors and executive officers as a group. Beneficial ownership is determined in accordance with the rules of the SEC, and thus the 10,389 shares of our Class A common stock that will be delivered in respect of RSUs that vest within 60 days of April 22, 2020 to certain individuals are deemed outstanding for calculating the percentage of outstanding shares of the person holding such RSUs, but are not deemed outstanding for calculating the percentage of any other person. Percentage of beneficial ownership is based upon (1) 40,535,637 shares of our Class A common stock issued and outstanding and (2) 5,768,996 votes associated with Class B common stock and Voting Units outstanding, excluding general partnership units held by the Company, in each case, as of April 22, 2020. Generally, all holders of Voting Units hold one or more shares of our Class B common stock. 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as follows: c/o Evercore,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10055.</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shd w:val="clear" w:color="auto" w:fill="E0FCF9"/>
          </w:tcPr>
          <w:p>
            <w:pPr>
              <w:spacing w:after="0"/>
              <w:rPr>
                <w:sz w:val="14"/>
                <w:szCs w:val="14"/>
                <w:color w:val="auto"/>
              </w:rPr>
            </w:pPr>
          </w:p>
        </w:tc>
        <w:tc>
          <w:tcPr>
            <w:tcW w:w="360" w:type="dxa"/>
            <w:vAlign w:val="bottom"/>
            <w:shd w:val="clear" w:color="auto" w:fill="E0FCF9"/>
          </w:tcPr>
          <w:p>
            <w:pPr>
              <w:spacing w:after="0"/>
              <w:rPr>
                <w:sz w:val="14"/>
                <w:szCs w:val="14"/>
                <w:color w:val="auto"/>
              </w:rPr>
            </w:pPr>
          </w:p>
        </w:tc>
        <w:tc>
          <w:tcPr>
            <w:tcW w:w="3600" w:type="dxa"/>
            <w:vAlign w:val="bottom"/>
            <w:shd w:val="clear" w:color="auto" w:fill="E0FCF9"/>
          </w:tcPr>
          <w:p>
            <w:pPr>
              <w:spacing w:after="0"/>
              <w:rPr>
                <w:sz w:val="14"/>
                <w:szCs w:val="14"/>
                <w:color w:val="auto"/>
              </w:rPr>
            </w:pPr>
          </w:p>
        </w:tc>
        <w:tc>
          <w:tcPr>
            <w:tcW w:w="400" w:type="dxa"/>
            <w:vAlign w:val="bottom"/>
            <w:shd w:val="clear" w:color="auto" w:fill="E0FCF9"/>
          </w:tcPr>
          <w:p>
            <w:pPr>
              <w:spacing w:after="0"/>
              <w:rPr>
                <w:sz w:val="14"/>
                <w:szCs w:val="14"/>
                <w:color w:val="auto"/>
              </w:rPr>
            </w:pPr>
          </w:p>
        </w:tc>
        <w:tc>
          <w:tcPr>
            <w:tcW w:w="2800" w:type="dxa"/>
            <w:vAlign w:val="bottom"/>
            <w:gridSpan w:val="4"/>
            <w:shd w:val="clear" w:color="auto" w:fill="E0FCF9"/>
          </w:tcPr>
          <w:p>
            <w:pPr>
              <w:jc w:val="center"/>
              <w:ind w:right="540"/>
              <w:spacing w:after="0"/>
              <w:rPr>
                <w:sz w:val="20"/>
                <w:szCs w:val="20"/>
                <w:color w:val="auto"/>
              </w:rPr>
            </w:pPr>
            <w:r>
              <w:rPr>
                <w:rFonts w:ascii="Arial" w:cs="Arial" w:eastAsia="Arial" w:hAnsi="Arial"/>
                <w:sz w:val="14"/>
                <w:szCs w:val="14"/>
                <w:b w:val="1"/>
                <w:bCs w:val="1"/>
                <w:color w:val="0016FF"/>
                <w:w w:val="89"/>
              </w:rPr>
              <w:t>Shares of Class A</w:t>
            </w:r>
          </w:p>
        </w:tc>
        <w:tc>
          <w:tcPr>
            <w:tcW w:w="2360" w:type="dxa"/>
            <w:vAlign w:val="bottom"/>
            <w:gridSpan w:val="4"/>
            <w:vMerge w:val="restart"/>
            <w:shd w:val="clear" w:color="auto" w:fill="E0FCF9"/>
          </w:tcPr>
          <w:p>
            <w:pPr>
              <w:jc w:val="right"/>
              <w:ind w:right="880"/>
              <w:spacing w:after="0"/>
              <w:rPr>
                <w:sz w:val="20"/>
                <w:szCs w:val="20"/>
                <w:color w:val="auto"/>
              </w:rPr>
            </w:pPr>
            <w:r>
              <w:rPr>
                <w:rFonts w:ascii="Arial" w:cs="Arial" w:eastAsia="Arial" w:hAnsi="Arial"/>
                <w:sz w:val="14"/>
                <w:szCs w:val="14"/>
                <w:b w:val="1"/>
                <w:bCs w:val="1"/>
                <w:color w:val="0016FF"/>
              </w:rPr>
              <w:t>Voting Units</w:t>
            </w:r>
          </w:p>
        </w:tc>
        <w:tc>
          <w:tcPr>
            <w:tcW w:w="400" w:type="dxa"/>
            <w:vAlign w:val="bottom"/>
            <w:shd w:val="clear" w:color="auto" w:fill="E0FCF9"/>
          </w:tcPr>
          <w:p>
            <w:pPr>
              <w:spacing w:after="0"/>
              <w:rPr>
                <w:sz w:val="14"/>
                <w:szCs w:val="14"/>
                <w:color w:val="auto"/>
              </w:rPr>
            </w:pPr>
          </w:p>
        </w:tc>
        <w:tc>
          <w:tcPr>
            <w:tcW w:w="820" w:type="dxa"/>
            <w:vAlign w:val="bottom"/>
            <w:shd w:val="clear" w:color="auto" w:fill="E0FCF9"/>
          </w:tcPr>
          <w:p>
            <w:pPr>
              <w:spacing w:after="0"/>
              <w:rPr>
                <w:sz w:val="14"/>
                <w:szCs w:val="14"/>
                <w:color w:val="auto"/>
              </w:rPr>
            </w:pPr>
          </w:p>
        </w:tc>
        <w:tc>
          <w:tcPr>
            <w:tcW w:w="180" w:type="dxa"/>
            <w:vAlign w:val="bottom"/>
            <w:shd w:val="clear" w:color="auto" w:fill="E0FCF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E0FCF9"/>
          </w:tcPr>
          <w:p>
            <w:pPr>
              <w:spacing w:after="0"/>
              <w:rPr>
                <w:sz w:val="12"/>
                <w:szCs w:val="12"/>
                <w:color w:val="auto"/>
              </w:rPr>
            </w:pPr>
          </w:p>
        </w:tc>
        <w:tc>
          <w:tcPr>
            <w:tcW w:w="360" w:type="dxa"/>
            <w:vAlign w:val="bottom"/>
            <w:shd w:val="clear" w:color="auto" w:fill="E0FCF9"/>
          </w:tcPr>
          <w:p>
            <w:pPr>
              <w:spacing w:after="0"/>
              <w:rPr>
                <w:sz w:val="12"/>
                <w:szCs w:val="12"/>
                <w:color w:val="auto"/>
              </w:rPr>
            </w:pPr>
          </w:p>
        </w:tc>
        <w:tc>
          <w:tcPr>
            <w:tcW w:w="3600" w:type="dxa"/>
            <w:vAlign w:val="bottom"/>
            <w:shd w:val="clear" w:color="auto" w:fill="E0FCF9"/>
          </w:tcPr>
          <w:p>
            <w:pPr>
              <w:spacing w:after="0"/>
              <w:rPr>
                <w:sz w:val="12"/>
                <w:szCs w:val="12"/>
                <w:color w:val="auto"/>
              </w:rPr>
            </w:pPr>
          </w:p>
        </w:tc>
        <w:tc>
          <w:tcPr>
            <w:tcW w:w="400" w:type="dxa"/>
            <w:vAlign w:val="bottom"/>
            <w:shd w:val="clear" w:color="auto" w:fill="E0FCF9"/>
          </w:tcPr>
          <w:p>
            <w:pPr>
              <w:spacing w:after="0"/>
              <w:rPr>
                <w:sz w:val="12"/>
                <w:szCs w:val="12"/>
                <w:color w:val="auto"/>
              </w:rPr>
            </w:pPr>
          </w:p>
        </w:tc>
        <w:tc>
          <w:tcPr>
            <w:tcW w:w="2800" w:type="dxa"/>
            <w:vAlign w:val="bottom"/>
            <w:gridSpan w:val="4"/>
            <w:shd w:val="clear" w:color="auto" w:fill="E0FCF9"/>
          </w:tcPr>
          <w:p>
            <w:pPr>
              <w:jc w:val="center"/>
              <w:ind w:right="540"/>
              <w:spacing w:after="0" w:line="149" w:lineRule="exact"/>
              <w:rPr>
                <w:sz w:val="20"/>
                <w:szCs w:val="20"/>
                <w:color w:val="auto"/>
              </w:rPr>
            </w:pPr>
            <w:r>
              <w:rPr>
                <w:rFonts w:ascii="Arial" w:cs="Arial" w:eastAsia="Arial" w:hAnsi="Arial"/>
                <w:sz w:val="14"/>
                <w:szCs w:val="14"/>
                <w:b w:val="1"/>
                <w:bCs w:val="1"/>
                <w:color w:val="0016FF"/>
                <w:w w:val="91"/>
              </w:rPr>
              <w:t>Common Stock</w:t>
            </w:r>
          </w:p>
        </w:tc>
        <w:tc>
          <w:tcPr>
            <w:tcW w:w="2360" w:type="dxa"/>
            <w:vAlign w:val="bottom"/>
            <w:gridSpan w:val="4"/>
            <w:vMerge w:val="continue"/>
            <w:shd w:val="clear" w:color="auto" w:fill="E0FCF9"/>
          </w:tcPr>
          <w:p>
            <w:pPr>
              <w:spacing w:after="0"/>
              <w:rPr>
                <w:sz w:val="12"/>
                <w:szCs w:val="12"/>
                <w:color w:val="auto"/>
              </w:rPr>
            </w:pPr>
          </w:p>
        </w:tc>
        <w:tc>
          <w:tcPr>
            <w:tcW w:w="400" w:type="dxa"/>
            <w:vAlign w:val="bottom"/>
            <w:shd w:val="clear" w:color="auto" w:fill="E0FCF9"/>
          </w:tcPr>
          <w:p>
            <w:pPr>
              <w:spacing w:after="0"/>
              <w:rPr>
                <w:sz w:val="12"/>
                <w:szCs w:val="12"/>
                <w:color w:val="auto"/>
              </w:rPr>
            </w:pPr>
          </w:p>
        </w:tc>
        <w:tc>
          <w:tcPr>
            <w:tcW w:w="820" w:type="dxa"/>
            <w:vAlign w:val="bottom"/>
            <w:shd w:val="clear" w:color="auto" w:fill="E0FCF9"/>
          </w:tcPr>
          <w:p>
            <w:pPr>
              <w:spacing w:after="0"/>
              <w:rPr>
                <w:sz w:val="12"/>
                <w:szCs w:val="12"/>
                <w:color w:val="auto"/>
              </w:rPr>
            </w:pPr>
          </w:p>
        </w:tc>
        <w:tc>
          <w:tcPr>
            <w:tcW w:w="180" w:type="dxa"/>
            <w:vAlign w:val="bottom"/>
            <w:shd w:val="clear" w:color="auto" w:fill="E0FCF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E0FCF9"/>
          </w:tcPr>
          <w:p>
            <w:pPr>
              <w:spacing w:after="0"/>
              <w:rPr>
                <w:sz w:val="14"/>
                <w:szCs w:val="14"/>
                <w:color w:val="auto"/>
              </w:rPr>
            </w:pPr>
          </w:p>
        </w:tc>
        <w:tc>
          <w:tcPr>
            <w:tcW w:w="360" w:type="dxa"/>
            <w:vAlign w:val="bottom"/>
            <w:shd w:val="clear" w:color="auto" w:fill="E0FCF9"/>
          </w:tcPr>
          <w:p>
            <w:pPr>
              <w:spacing w:after="0"/>
              <w:rPr>
                <w:sz w:val="14"/>
                <w:szCs w:val="14"/>
                <w:color w:val="auto"/>
              </w:rPr>
            </w:pPr>
          </w:p>
        </w:tc>
        <w:tc>
          <w:tcPr>
            <w:tcW w:w="3600" w:type="dxa"/>
            <w:vAlign w:val="bottom"/>
            <w:shd w:val="clear" w:color="auto" w:fill="E0FCF9"/>
          </w:tcPr>
          <w:p>
            <w:pPr>
              <w:spacing w:after="0"/>
              <w:rPr>
                <w:sz w:val="14"/>
                <w:szCs w:val="14"/>
                <w:color w:val="auto"/>
              </w:rPr>
            </w:pPr>
          </w:p>
        </w:tc>
        <w:tc>
          <w:tcPr>
            <w:tcW w:w="400" w:type="dxa"/>
            <w:vAlign w:val="bottom"/>
            <w:shd w:val="clear" w:color="auto" w:fill="E0FCF9"/>
          </w:tcPr>
          <w:p>
            <w:pPr>
              <w:spacing w:after="0"/>
              <w:rPr>
                <w:sz w:val="14"/>
                <w:szCs w:val="14"/>
                <w:color w:val="auto"/>
              </w:rPr>
            </w:pPr>
          </w:p>
        </w:tc>
        <w:tc>
          <w:tcPr>
            <w:tcW w:w="2800" w:type="dxa"/>
            <w:vAlign w:val="bottom"/>
            <w:gridSpan w:val="4"/>
            <w:shd w:val="clear" w:color="auto" w:fill="E0FCF9"/>
          </w:tcPr>
          <w:p>
            <w:pPr>
              <w:jc w:val="center"/>
              <w:ind w:right="560"/>
              <w:spacing w:after="0"/>
              <w:rPr>
                <w:sz w:val="20"/>
                <w:szCs w:val="20"/>
                <w:color w:val="auto"/>
              </w:rPr>
            </w:pPr>
            <w:r>
              <w:rPr>
                <w:rFonts w:ascii="Arial" w:cs="Arial" w:eastAsia="Arial" w:hAnsi="Arial"/>
                <w:sz w:val="14"/>
                <w:szCs w:val="14"/>
                <w:b w:val="1"/>
                <w:bCs w:val="1"/>
                <w:color w:val="0016FF"/>
                <w:w w:val="93"/>
              </w:rPr>
              <w:t>Beneficially Owned</w:t>
            </w:r>
          </w:p>
        </w:tc>
        <w:tc>
          <w:tcPr>
            <w:tcW w:w="2360" w:type="dxa"/>
            <w:vAlign w:val="bottom"/>
            <w:gridSpan w:val="4"/>
            <w:shd w:val="clear" w:color="auto" w:fill="E0FCF9"/>
          </w:tcPr>
          <w:p>
            <w:pPr>
              <w:jc w:val="right"/>
              <w:ind w:right="620"/>
              <w:spacing w:after="0"/>
              <w:rPr>
                <w:sz w:val="20"/>
                <w:szCs w:val="20"/>
                <w:color w:val="auto"/>
              </w:rPr>
            </w:pPr>
            <w:r>
              <w:rPr>
                <w:rFonts w:ascii="Arial" w:cs="Arial" w:eastAsia="Arial" w:hAnsi="Arial"/>
                <w:sz w:val="14"/>
                <w:szCs w:val="14"/>
                <w:b w:val="1"/>
                <w:bCs w:val="1"/>
                <w:color w:val="0016FF"/>
              </w:rPr>
              <w:t>Beneficially Owned†</w:t>
            </w:r>
          </w:p>
        </w:tc>
        <w:tc>
          <w:tcPr>
            <w:tcW w:w="400" w:type="dxa"/>
            <w:vAlign w:val="bottom"/>
            <w:shd w:val="clear" w:color="auto" w:fill="E0FCF9"/>
          </w:tcPr>
          <w:p>
            <w:pPr>
              <w:spacing w:after="0"/>
              <w:rPr>
                <w:sz w:val="14"/>
                <w:szCs w:val="14"/>
                <w:color w:val="auto"/>
              </w:rPr>
            </w:pPr>
          </w:p>
        </w:tc>
        <w:tc>
          <w:tcPr>
            <w:tcW w:w="1000" w:type="dxa"/>
            <w:vAlign w:val="bottom"/>
            <w:gridSpan w:val="2"/>
            <w:vMerge w:val="restart"/>
            <w:shd w:val="clear" w:color="auto" w:fill="E0FCF9"/>
          </w:tcPr>
          <w:p>
            <w:pPr>
              <w:jc w:val="center"/>
              <w:ind w:right="180"/>
              <w:spacing w:after="0"/>
              <w:rPr>
                <w:sz w:val="20"/>
                <w:szCs w:val="20"/>
                <w:color w:val="auto"/>
              </w:rPr>
            </w:pPr>
            <w:r>
              <w:rPr>
                <w:rFonts w:ascii="Arial" w:cs="Arial" w:eastAsia="Arial" w:hAnsi="Arial"/>
                <w:sz w:val="14"/>
                <w:szCs w:val="14"/>
                <w:b w:val="1"/>
                <w:bCs w:val="1"/>
                <w:color w:val="0016FF"/>
                <w:w w:val="89"/>
              </w:rPr>
              <w:t>Total</w:t>
            </w:r>
          </w:p>
        </w:tc>
        <w:tc>
          <w:tcPr>
            <w:tcW w:w="0" w:type="dxa"/>
            <w:vAlign w:val="bottom"/>
          </w:tcPr>
          <w:p>
            <w:pPr>
              <w:spacing w:after="0"/>
              <w:rPr>
                <w:sz w:val="1"/>
                <w:szCs w:val="1"/>
                <w:color w:val="auto"/>
              </w:rPr>
            </w:pPr>
          </w:p>
        </w:tc>
      </w:tr>
      <w:tr>
        <w:trPr>
          <w:trHeight w:val="119"/>
        </w:trPr>
        <w:tc>
          <w:tcPr>
            <w:tcW w:w="100" w:type="dxa"/>
            <w:vAlign w:val="bottom"/>
            <w:tcBorders>
              <w:top w:val="single" w:sz="8" w:color="E0FCF9"/>
            </w:tcBorders>
            <w:shd w:val="clear" w:color="auto" w:fill="E0FCF9"/>
          </w:tcPr>
          <w:p>
            <w:pPr>
              <w:spacing w:after="0"/>
              <w:rPr>
                <w:sz w:val="10"/>
                <w:szCs w:val="10"/>
                <w:color w:val="auto"/>
              </w:rPr>
            </w:pPr>
          </w:p>
        </w:tc>
        <w:tc>
          <w:tcPr>
            <w:tcW w:w="360" w:type="dxa"/>
            <w:vAlign w:val="bottom"/>
            <w:tcBorders>
              <w:top w:val="single" w:sz="8" w:color="E0FCF9"/>
            </w:tcBorders>
            <w:shd w:val="clear" w:color="auto" w:fill="E0FCF9"/>
          </w:tcPr>
          <w:p>
            <w:pPr>
              <w:spacing w:after="0"/>
              <w:rPr>
                <w:sz w:val="10"/>
                <w:szCs w:val="10"/>
                <w:color w:val="auto"/>
              </w:rPr>
            </w:pPr>
          </w:p>
        </w:tc>
        <w:tc>
          <w:tcPr>
            <w:tcW w:w="3600" w:type="dxa"/>
            <w:vAlign w:val="bottom"/>
            <w:tcBorders>
              <w:top w:val="single" w:sz="8" w:color="E0FCF9"/>
            </w:tcBorders>
            <w:shd w:val="clear" w:color="auto" w:fill="E0FCF9"/>
          </w:tcPr>
          <w:p>
            <w:pPr>
              <w:spacing w:after="0"/>
              <w:rPr>
                <w:sz w:val="10"/>
                <w:szCs w:val="10"/>
                <w:color w:val="auto"/>
              </w:rPr>
            </w:pPr>
          </w:p>
        </w:tc>
        <w:tc>
          <w:tcPr>
            <w:tcW w:w="400" w:type="dxa"/>
            <w:vAlign w:val="bottom"/>
            <w:tcBorders>
              <w:top w:val="single" w:sz="8" w:color="E0FCF9"/>
            </w:tcBorders>
            <w:shd w:val="clear" w:color="auto" w:fill="E0FCF9"/>
          </w:tcPr>
          <w:p>
            <w:pPr>
              <w:spacing w:after="0"/>
              <w:rPr>
                <w:sz w:val="10"/>
                <w:szCs w:val="10"/>
                <w:color w:val="auto"/>
              </w:rPr>
            </w:pPr>
          </w:p>
        </w:tc>
        <w:tc>
          <w:tcPr>
            <w:tcW w:w="1400" w:type="dxa"/>
            <w:vAlign w:val="bottom"/>
            <w:tcBorders>
              <w:top w:val="single" w:sz="8" w:color="auto"/>
            </w:tcBorders>
            <w:gridSpan w:val="2"/>
            <w:shd w:val="clear" w:color="auto" w:fill="E0FCF9"/>
          </w:tcPr>
          <w:p>
            <w:pPr>
              <w:jc w:val="center"/>
              <w:ind w:right="420"/>
              <w:spacing w:after="0" w:line="119" w:lineRule="exact"/>
              <w:rPr>
                <w:sz w:val="20"/>
                <w:szCs w:val="20"/>
                <w:color w:val="auto"/>
              </w:rPr>
            </w:pPr>
            <w:r>
              <w:rPr>
                <w:rFonts w:ascii="Arial" w:cs="Arial" w:eastAsia="Arial" w:hAnsi="Arial"/>
                <w:sz w:val="13"/>
                <w:szCs w:val="13"/>
                <w:b w:val="1"/>
                <w:bCs w:val="1"/>
                <w:color w:val="0016FF"/>
              </w:rPr>
              <w:t>Number of</w:t>
            </w:r>
          </w:p>
        </w:tc>
        <w:tc>
          <w:tcPr>
            <w:tcW w:w="840" w:type="dxa"/>
            <w:vAlign w:val="bottom"/>
            <w:tcBorders>
              <w:top w:val="single" w:sz="8" w:color="auto"/>
            </w:tcBorders>
            <w:shd w:val="clear" w:color="auto" w:fill="E0FCF9"/>
          </w:tcPr>
          <w:p>
            <w:pPr>
              <w:jc w:val="center"/>
              <w:spacing w:after="0" w:line="119" w:lineRule="exact"/>
              <w:rPr>
                <w:sz w:val="20"/>
                <w:szCs w:val="20"/>
                <w:color w:val="auto"/>
              </w:rPr>
            </w:pPr>
            <w:r>
              <w:rPr>
                <w:rFonts w:ascii="Arial" w:cs="Arial" w:eastAsia="Arial" w:hAnsi="Arial"/>
                <w:sz w:val="13"/>
                <w:szCs w:val="13"/>
                <w:b w:val="1"/>
                <w:bCs w:val="1"/>
                <w:color w:val="0016FF"/>
                <w:w w:val="95"/>
              </w:rPr>
              <w:t>Percentage of</w:t>
            </w:r>
          </w:p>
        </w:tc>
        <w:tc>
          <w:tcPr>
            <w:tcW w:w="560" w:type="dxa"/>
            <w:vAlign w:val="bottom"/>
            <w:tcBorders>
              <w:top w:val="single" w:sz="8" w:color="E0FCF9"/>
            </w:tcBorders>
            <w:shd w:val="clear" w:color="auto" w:fill="E0FCF9"/>
          </w:tcPr>
          <w:p>
            <w:pPr>
              <w:spacing w:after="0"/>
              <w:rPr>
                <w:sz w:val="10"/>
                <w:szCs w:val="10"/>
                <w:color w:val="auto"/>
              </w:rPr>
            </w:pPr>
          </w:p>
        </w:tc>
        <w:tc>
          <w:tcPr>
            <w:tcW w:w="920" w:type="dxa"/>
            <w:vAlign w:val="bottom"/>
            <w:tcBorders>
              <w:top w:val="single" w:sz="8" w:color="auto"/>
            </w:tcBorders>
            <w:shd w:val="clear" w:color="auto" w:fill="E0FCF9"/>
          </w:tcPr>
          <w:p>
            <w:pPr>
              <w:spacing w:after="0"/>
              <w:rPr>
                <w:sz w:val="10"/>
                <w:szCs w:val="10"/>
                <w:color w:val="auto"/>
              </w:rPr>
            </w:pPr>
          </w:p>
        </w:tc>
        <w:tc>
          <w:tcPr>
            <w:tcW w:w="440" w:type="dxa"/>
            <w:vAlign w:val="bottom"/>
            <w:tcBorders>
              <w:top w:val="single" w:sz="8" w:color="auto"/>
            </w:tcBorders>
            <w:shd w:val="clear" w:color="auto" w:fill="E0FCF9"/>
          </w:tcPr>
          <w:p>
            <w:pPr>
              <w:spacing w:after="0"/>
              <w:rPr>
                <w:sz w:val="10"/>
                <w:szCs w:val="10"/>
                <w:color w:val="auto"/>
              </w:rPr>
            </w:pPr>
          </w:p>
        </w:tc>
        <w:tc>
          <w:tcPr>
            <w:tcW w:w="840" w:type="dxa"/>
            <w:vAlign w:val="bottom"/>
            <w:tcBorders>
              <w:top w:val="single" w:sz="8" w:color="auto"/>
            </w:tcBorders>
            <w:shd w:val="clear" w:color="auto" w:fill="E0FCF9"/>
          </w:tcPr>
          <w:p>
            <w:pPr>
              <w:spacing w:after="0"/>
              <w:rPr>
                <w:sz w:val="10"/>
                <w:szCs w:val="10"/>
                <w:color w:val="auto"/>
              </w:rPr>
            </w:pPr>
          </w:p>
        </w:tc>
        <w:tc>
          <w:tcPr>
            <w:tcW w:w="160" w:type="dxa"/>
            <w:vAlign w:val="bottom"/>
            <w:tcBorders>
              <w:top w:val="single" w:sz="8" w:color="E0FCF9"/>
            </w:tcBorders>
            <w:shd w:val="clear" w:color="auto" w:fill="E0FCF9"/>
          </w:tcPr>
          <w:p>
            <w:pPr>
              <w:spacing w:after="0"/>
              <w:rPr>
                <w:sz w:val="10"/>
                <w:szCs w:val="10"/>
                <w:color w:val="auto"/>
              </w:rPr>
            </w:pPr>
          </w:p>
        </w:tc>
        <w:tc>
          <w:tcPr>
            <w:tcW w:w="400" w:type="dxa"/>
            <w:vAlign w:val="bottom"/>
            <w:tcBorders>
              <w:top w:val="single" w:sz="8" w:color="E0FCF9"/>
            </w:tcBorders>
            <w:shd w:val="clear" w:color="auto" w:fill="E0FCF9"/>
          </w:tcPr>
          <w:p>
            <w:pPr>
              <w:spacing w:after="0"/>
              <w:rPr>
                <w:sz w:val="10"/>
                <w:szCs w:val="10"/>
                <w:color w:val="auto"/>
              </w:rPr>
            </w:pPr>
          </w:p>
        </w:tc>
        <w:tc>
          <w:tcPr>
            <w:tcW w:w="1000" w:type="dxa"/>
            <w:vAlign w:val="bottom"/>
            <w:tcBorders>
              <w:top w:val="single" w:sz="8" w:color="E0FCF9"/>
            </w:tcBorders>
            <w:gridSpan w:val="2"/>
            <w:vMerge w:val="continue"/>
            <w:shd w:val="clear" w:color="auto" w:fill="E0FCF9"/>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E0FCF9"/>
          </w:tcPr>
          <w:p>
            <w:pPr>
              <w:spacing w:after="0"/>
              <w:rPr>
                <w:sz w:val="12"/>
                <w:szCs w:val="12"/>
                <w:color w:val="auto"/>
              </w:rPr>
            </w:pPr>
          </w:p>
        </w:tc>
        <w:tc>
          <w:tcPr>
            <w:tcW w:w="360" w:type="dxa"/>
            <w:vAlign w:val="bottom"/>
            <w:shd w:val="clear" w:color="auto" w:fill="E0FCF9"/>
          </w:tcPr>
          <w:p>
            <w:pPr>
              <w:spacing w:after="0"/>
              <w:rPr>
                <w:sz w:val="12"/>
                <w:szCs w:val="12"/>
                <w:color w:val="auto"/>
              </w:rPr>
            </w:pPr>
          </w:p>
        </w:tc>
        <w:tc>
          <w:tcPr>
            <w:tcW w:w="3600" w:type="dxa"/>
            <w:vAlign w:val="bottom"/>
            <w:shd w:val="clear" w:color="auto" w:fill="E0FCF9"/>
          </w:tcPr>
          <w:p>
            <w:pPr>
              <w:spacing w:after="0"/>
              <w:rPr>
                <w:sz w:val="12"/>
                <w:szCs w:val="12"/>
                <w:color w:val="auto"/>
              </w:rPr>
            </w:pPr>
          </w:p>
        </w:tc>
        <w:tc>
          <w:tcPr>
            <w:tcW w:w="400" w:type="dxa"/>
            <w:vAlign w:val="bottom"/>
            <w:shd w:val="clear" w:color="auto" w:fill="E0FCF9"/>
          </w:tcPr>
          <w:p>
            <w:pPr>
              <w:spacing w:after="0"/>
              <w:rPr>
                <w:sz w:val="12"/>
                <w:szCs w:val="12"/>
                <w:color w:val="auto"/>
              </w:rPr>
            </w:pPr>
          </w:p>
        </w:tc>
        <w:tc>
          <w:tcPr>
            <w:tcW w:w="1400" w:type="dxa"/>
            <w:vAlign w:val="bottom"/>
            <w:gridSpan w:val="2"/>
            <w:shd w:val="clear" w:color="auto" w:fill="E0FCF9"/>
          </w:tcPr>
          <w:p>
            <w:pPr>
              <w:jc w:val="center"/>
              <w:ind w:right="420"/>
              <w:spacing w:after="0" w:line="149" w:lineRule="exact"/>
              <w:rPr>
                <w:sz w:val="20"/>
                <w:szCs w:val="20"/>
                <w:color w:val="auto"/>
              </w:rPr>
            </w:pPr>
            <w:r>
              <w:rPr>
                <w:rFonts w:ascii="Arial" w:cs="Arial" w:eastAsia="Arial" w:hAnsi="Arial"/>
                <w:sz w:val="14"/>
                <w:szCs w:val="14"/>
                <w:b w:val="1"/>
                <w:bCs w:val="1"/>
                <w:color w:val="0016FF"/>
                <w:w w:val="89"/>
              </w:rPr>
              <w:t>Shares</w:t>
            </w:r>
          </w:p>
        </w:tc>
        <w:tc>
          <w:tcPr>
            <w:tcW w:w="1400" w:type="dxa"/>
            <w:vAlign w:val="bottom"/>
            <w:gridSpan w:val="2"/>
            <w:shd w:val="clear" w:color="auto" w:fill="E0FCF9"/>
          </w:tcPr>
          <w:p>
            <w:pPr>
              <w:jc w:val="center"/>
              <w:ind w:right="540"/>
              <w:spacing w:after="0" w:line="149" w:lineRule="exact"/>
              <w:rPr>
                <w:sz w:val="20"/>
                <w:szCs w:val="20"/>
                <w:color w:val="auto"/>
              </w:rPr>
            </w:pPr>
            <w:r>
              <w:rPr>
                <w:rFonts w:ascii="Arial" w:cs="Arial" w:eastAsia="Arial" w:hAnsi="Arial"/>
                <w:sz w:val="14"/>
                <w:szCs w:val="14"/>
                <w:b w:val="1"/>
                <w:bCs w:val="1"/>
                <w:color w:val="0016FF"/>
                <w:w w:val="89"/>
              </w:rPr>
              <w:t>Class A</w:t>
            </w:r>
          </w:p>
        </w:tc>
        <w:tc>
          <w:tcPr>
            <w:tcW w:w="1360" w:type="dxa"/>
            <w:vAlign w:val="bottom"/>
            <w:gridSpan w:val="2"/>
            <w:vMerge w:val="restart"/>
            <w:shd w:val="clear" w:color="auto" w:fill="E0FCF9"/>
          </w:tcPr>
          <w:p>
            <w:pPr>
              <w:jc w:val="center"/>
              <w:ind w:right="440"/>
              <w:spacing w:after="0"/>
              <w:rPr>
                <w:sz w:val="20"/>
                <w:szCs w:val="20"/>
                <w:color w:val="auto"/>
              </w:rPr>
            </w:pPr>
            <w:r>
              <w:rPr>
                <w:rFonts w:ascii="Arial" w:cs="Arial" w:eastAsia="Arial" w:hAnsi="Arial"/>
                <w:sz w:val="14"/>
                <w:szCs w:val="14"/>
                <w:b w:val="1"/>
                <w:bCs w:val="1"/>
                <w:color w:val="0016FF"/>
                <w:w w:val="97"/>
              </w:rPr>
              <w:t>Number of</w:t>
            </w:r>
          </w:p>
        </w:tc>
        <w:tc>
          <w:tcPr>
            <w:tcW w:w="1000" w:type="dxa"/>
            <w:vAlign w:val="bottom"/>
            <w:gridSpan w:val="2"/>
            <w:vMerge w:val="restart"/>
            <w:shd w:val="clear" w:color="auto" w:fill="E0FCF9"/>
          </w:tcPr>
          <w:p>
            <w:pPr>
              <w:jc w:val="right"/>
              <w:ind w:right="160"/>
              <w:spacing w:after="0"/>
              <w:rPr>
                <w:sz w:val="20"/>
                <w:szCs w:val="20"/>
                <w:color w:val="auto"/>
              </w:rPr>
            </w:pPr>
            <w:r>
              <w:rPr>
                <w:rFonts w:ascii="Arial" w:cs="Arial" w:eastAsia="Arial" w:hAnsi="Arial"/>
                <w:sz w:val="14"/>
                <w:szCs w:val="14"/>
                <w:b w:val="1"/>
                <w:bCs w:val="1"/>
                <w:color w:val="0016FF"/>
                <w:w w:val="88"/>
              </w:rPr>
              <w:t>Percentage of</w:t>
            </w:r>
          </w:p>
        </w:tc>
        <w:tc>
          <w:tcPr>
            <w:tcW w:w="400" w:type="dxa"/>
            <w:vAlign w:val="bottom"/>
            <w:shd w:val="clear" w:color="auto" w:fill="E0FCF9"/>
          </w:tcPr>
          <w:p>
            <w:pPr>
              <w:spacing w:after="0"/>
              <w:rPr>
                <w:sz w:val="12"/>
                <w:szCs w:val="12"/>
                <w:color w:val="auto"/>
              </w:rPr>
            </w:pPr>
          </w:p>
        </w:tc>
        <w:tc>
          <w:tcPr>
            <w:tcW w:w="1000" w:type="dxa"/>
            <w:vAlign w:val="bottom"/>
            <w:gridSpan w:val="2"/>
            <w:shd w:val="clear" w:color="auto" w:fill="E0FCF9"/>
          </w:tcPr>
          <w:p>
            <w:pPr>
              <w:jc w:val="center"/>
              <w:ind w:right="160"/>
              <w:spacing w:after="0" w:line="149" w:lineRule="exact"/>
              <w:rPr>
                <w:sz w:val="20"/>
                <w:szCs w:val="20"/>
                <w:color w:val="auto"/>
              </w:rPr>
            </w:pPr>
            <w:r>
              <w:rPr>
                <w:rFonts w:ascii="Arial" w:cs="Arial" w:eastAsia="Arial" w:hAnsi="Arial"/>
                <w:sz w:val="14"/>
                <w:szCs w:val="14"/>
                <w:b w:val="1"/>
                <w:bCs w:val="1"/>
                <w:color w:val="0016FF"/>
                <w:w w:val="93"/>
              </w:rPr>
              <w:t>Combined</w:t>
            </w:r>
          </w:p>
        </w:tc>
        <w:tc>
          <w:tcPr>
            <w:tcW w:w="0" w:type="dxa"/>
            <w:vAlign w:val="bottom"/>
          </w:tcPr>
          <w:p>
            <w:pPr>
              <w:spacing w:after="0"/>
              <w:rPr>
                <w:sz w:val="1"/>
                <w:szCs w:val="1"/>
                <w:color w:val="auto"/>
              </w:rPr>
            </w:pPr>
          </w:p>
        </w:tc>
      </w:tr>
      <w:tr>
        <w:trPr>
          <w:trHeight w:val="148"/>
        </w:trPr>
        <w:tc>
          <w:tcPr>
            <w:tcW w:w="100" w:type="dxa"/>
            <w:vAlign w:val="bottom"/>
            <w:shd w:val="clear" w:color="auto" w:fill="E0FCF9"/>
          </w:tcPr>
          <w:p>
            <w:pPr>
              <w:spacing w:after="0"/>
              <w:rPr>
                <w:sz w:val="12"/>
                <w:szCs w:val="12"/>
                <w:color w:val="auto"/>
              </w:rPr>
            </w:pPr>
          </w:p>
        </w:tc>
        <w:tc>
          <w:tcPr>
            <w:tcW w:w="360" w:type="dxa"/>
            <w:vAlign w:val="bottom"/>
            <w:shd w:val="clear" w:color="auto" w:fill="E0FCF9"/>
          </w:tcPr>
          <w:p>
            <w:pPr>
              <w:spacing w:after="0"/>
              <w:rPr>
                <w:sz w:val="12"/>
                <w:szCs w:val="12"/>
                <w:color w:val="auto"/>
              </w:rPr>
            </w:pPr>
          </w:p>
        </w:tc>
        <w:tc>
          <w:tcPr>
            <w:tcW w:w="4000" w:type="dxa"/>
            <w:vAlign w:val="bottom"/>
            <w:gridSpan w:val="2"/>
            <w:vMerge w:val="restart"/>
            <w:shd w:val="clear" w:color="auto" w:fill="E0FCF9"/>
          </w:tcPr>
          <w:p>
            <w:pPr>
              <w:ind w:left="40"/>
              <w:spacing w:after="0"/>
              <w:rPr>
                <w:sz w:val="20"/>
                <w:szCs w:val="20"/>
                <w:color w:val="auto"/>
              </w:rPr>
            </w:pPr>
            <w:r>
              <w:rPr>
                <w:rFonts w:ascii="Arial" w:cs="Arial" w:eastAsia="Arial" w:hAnsi="Arial"/>
                <w:sz w:val="14"/>
                <w:szCs w:val="14"/>
                <w:b w:val="1"/>
                <w:bCs w:val="1"/>
                <w:color w:val="0016FF"/>
              </w:rPr>
              <w:t>Name of Beneficial Owner</w:t>
            </w:r>
          </w:p>
        </w:tc>
        <w:tc>
          <w:tcPr>
            <w:tcW w:w="1400" w:type="dxa"/>
            <w:vAlign w:val="bottom"/>
            <w:gridSpan w:val="2"/>
            <w:shd w:val="clear" w:color="auto" w:fill="E0FCF9"/>
          </w:tcPr>
          <w:p>
            <w:pPr>
              <w:jc w:val="center"/>
              <w:ind w:right="420"/>
              <w:spacing w:after="0" w:line="149" w:lineRule="exact"/>
              <w:rPr>
                <w:sz w:val="20"/>
                <w:szCs w:val="20"/>
                <w:color w:val="auto"/>
              </w:rPr>
            </w:pPr>
            <w:r>
              <w:rPr>
                <w:rFonts w:ascii="Arial" w:cs="Arial" w:eastAsia="Arial" w:hAnsi="Arial"/>
                <w:sz w:val="14"/>
                <w:szCs w:val="14"/>
                <w:b w:val="1"/>
                <w:bCs w:val="1"/>
                <w:color w:val="0016FF"/>
                <w:w w:val="90"/>
              </w:rPr>
              <w:t>of Class A</w:t>
            </w:r>
          </w:p>
        </w:tc>
        <w:tc>
          <w:tcPr>
            <w:tcW w:w="1400" w:type="dxa"/>
            <w:vAlign w:val="bottom"/>
            <w:gridSpan w:val="2"/>
            <w:shd w:val="clear" w:color="auto" w:fill="E0FCF9"/>
          </w:tcPr>
          <w:p>
            <w:pPr>
              <w:jc w:val="center"/>
              <w:ind w:right="540"/>
              <w:spacing w:after="0" w:line="149" w:lineRule="exact"/>
              <w:rPr>
                <w:sz w:val="20"/>
                <w:szCs w:val="20"/>
                <w:color w:val="auto"/>
              </w:rPr>
            </w:pPr>
            <w:r>
              <w:rPr>
                <w:rFonts w:ascii="Arial" w:cs="Arial" w:eastAsia="Arial" w:hAnsi="Arial"/>
                <w:sz w:val="14"/>
                <w:szCs w:val="14"/>
                <w:b w:val="1"/>
                <w:bCs w:val="1"/>
                <w:color w:val="0016FF"/>
                <w:w w:val="95"/>
              </w:rPr>
              <w:t>Common</w:t>
            </w:r>
          </w:p>
        </w:tc>
        <w:tc>
          <w:tcPr>
            <w:tcW w:w="1360" w:type="dxa"/>
            <w:vAlign w:val="bottom"/>
            <w:gridSpan w:val="2"/>
            <w:vMerge w:val="continue"/>
            <w:shd w:val="clear" w:color="auto" w:fill="E0FCF9"/>
          </w:tcPr>
          <w:p>
            <w:pPr>
              <w:spacing w:after="0"/>
              <w:rPr>
                <w:sz w:val="12"/>
                <w:szCs w:val="12"/>
                <w:color w:val="auto"/>
              </w:rPr>
            </w:pPr>
          </w:p>
        </w:tc>
        <w:tc>
          <w:tcPr>
            <w:tcW w:w="1000" w:type="dxa"/>
            <w:vAlign w:val="bottom"/>
            <w:gridSpan w:val="2"/>
            <w:vMerge w:val="continue"/>
            <w:shd w:val="clear" w:color="auto" w:fill="E0FCF9"/>
          </w:tcPr>
          <w:p>
            <w:pPr>
              <w:spacing w:after="0"/>
              <w:rPr>
                <w:sz w:val="12"/>
                <w:szCs w:val="12"/>
                <w:color w:val="auto"/>
              </w:rPr>
            </w:pPr>
          </w:p>
        </w:tc>
        <w:tc>
          <w:tcPr>
            <w:tcW w:w="400" w:type="dxa"/>
            <w:vAlign w:val="bottom"/>
            <w:shd w:val="clear" w:color="auto" w:fill="E0FCF9"/>
          </w:tcPr>
          <w:p>
            <w:pPr>
              <w:spacing w:after="0"/>
              <w:rPr>
                <w:sz w:val="12"/>
                <w:szCs w:val="12"/>
                <w:color w:val="auto"/>
              </w:rPr>
            </w:pPr>
          </w:p>
        </w:tc>
        <w:tc>
          <w:tcPr>
            <w:tcW w:w="1000" w:type="dxa"/>
            <w:vAlign w:val="bottom"/>
            <w:gridSpan w:val="2"/>
            <w:shd w:val="clear" w:color="auto" w:fill="E0FCF9"/>
          </w:tcPr>
          <w:p>
            <w:pPr>
              <w:jc w:val="center"/>
              <w:ind w:right="180"/>
              <w:spacing w:after="0" w:line="149" w:lineRule="exact"/>
              <w:rPr>
                <w:sz w:val="20"/>
                <w:szCs w:val="20"/>
                <w:color w:val="auto"/>
              </w:rPr>
            </w:pPr>
            <w:r>
              <w:rPr>
                <w:rFonts w:ascii="Arial" w:cs="Arial" w:eastAsia="Arial" w:hAnsi="Arial"/>
                <w:sz w:val="14"/>
                <w:szCs w:val="14"/>
                <w:b w:val="1"/>
                <w:bCs w:val="1"/>
                <w:color w:val="0016FF"/>
                <w:w w:val="91"/>
              </w:rPr>
              <w:t>Voting Power</w:t>
            </w:r>
          </w:p>
        </w:tc>
        <w:tc>
          <w:tcPr>
            <w:tcW w:w="0" w:type="dxa"/>
            <w:vAlign w:val="bottom"/>
          </w:tcPr>
          <w:p>
            <w:pPr>
              <w:spacing w:after="0"/>
              <w:rPr>
                <w:sz w:val="1"/>
                <w:szCs w:val="1"/>
                <w:color w:val="auto"/>
              </w:rPr>
            </w:pPr>
          </w:p>
        </w:tc>
      </w:tr>
      <w:tr>
        <w:trPr>
          <w:trHeight w:val="171"/>
        </w:trPr>
        <w:tc>
          <w:tcPr>
            <w:tcW w:w="100" w:type="dxa"/>
            <w:vAlign w:val="bottom"/>
            <w:shd w:val="clear" w:color="auto" w:fill="E0FCF9"/>
          </w:tcPr>
          <w:p>
            <w:pPr>
              <w:spacing w:after="0"/>
              <w:rPr>
                <w:sz w:val="14"/>
                <w:szCs w:val="14"/>
                <w:color w:val="auto"/>
              </w:rPr>
            </w:pPr>
          </w:p>
        </w:tc>
        <w:tc>
          <w:tcPr>
            <w:tcW w:w="360" w:type="dxa"/>
            <w:vAlign w:val="bottom"/>
            <w:shd w:val="clear" w:color="auto" w:fill="E0FCF9"/>
          </w:tcPr>
          <w:p>
            <w:pPr>
              <w:spacing w:after="0"/>
              <w:rPr>
                <w:sz w:val="14"/>
                <w:szCs w:val="14"/>
                <w:color w:val="auto"/>
              </w:rPr>
            </w:pPr>
          </w:p>
        </w:tc>
        <w:tc>
          <w:tcPr>
            <w:tcW w:w="4000" w:type="dxa"/>
            <w:vAlign w:val="bottom"/>
            <w:gridSpan w:val="2"/>
            <w:vMerge w:val="continue"/>
            <w:shd w:val="clear" w:color="auto" w:fill="E0FCF9"/>
          </w:tcPr>
          <w:p>
            <w:pPr>
              <w:spacing w:after="0"/>
              <w:rPr>
                <w:sz w:val="14"/>
                <w:szCs w:val="14"/>
                <w:color w:val="auto"/>
              </w:rPr>
            </w:pPr>
          </w:p>
        </w:tc>
        <w:tc>
          <w:tcPr>
            <w:tcW w:w="1400" w:type="dxa"/>
            <w:vAlign w:val="bottom"/>
            <w:gridSpan w:val="2"/>
            <w:shd w:val="clear" w:color="auto" w:fill="E0FCF9"/>
          </w:tcPr>
          <w:p>
            <w:pPr>
              <w:jc w:val="center"/>
              <w:ind w:right="420"/>
              <w:spacing w:after="0"/>
              <w:rPr>
                <w:sz w:val="20"/>
                <w:szCs w:val="20"/>
                <w:color w:val="auto"/>
              </w:rPr>
            </w:pPr>
            <w:r>
              <w:rPr>
                <w:rFonts w:ascii="Arial" w:cs="Arial" w:eastAsia="Arial" w:hAnsi="Arial"/>
                <w:sz w:val="14"/>
                <w:szCs w:val="14"/>
                <w:b w:val="1"/>
                <w:bCs w:val="1"/>
                <w:color w:val="0016FF"/>
                <w:w w:val="91"/>
              </w:rPr>
              <w:t>Common Stock</w:t>
            </w:r>
          </w:p>
        </w:tc>
        <w:tc>
          <w:tcPr>
            <w:tcW w:w="1400" w:type="dxa"/>
            <w:vAlign w:val="bottom"/>
            <w:gridSpan w:val="2"/>
            <w:shd w:val="clear" w:color="auto" w:fill="E0FCF9"/>
          </w:tcPr>
          <w:p>
            <w:pPr>
              <w:jc w:val="center"/>
              <w:ind w:right="540"/>
              <w:spacing w:after="0"/>
              <w:rPr>
                <w:sz w:val="20"/>
                <w:szCs w:val="20"/>
                <w:color w:val="auto"/>
              </w:rPr>
            </w:pPr>
            <w:r>
              <w:rPr>
                <w:rFonts w:ascii="Arial" w:cs="Arial" w:eastAsia="Arial" w:hAnsi="Arial"/>
                <w:sz w:val="14"/>
                <w:szCs w:val="14"/>
                <w:b w:val="1"/>
                <w:bCs w:val="1"/>
                <w:color w:val="0016FF"/>
                <w:w w:val="89"/>
              </w:rPr>
              <w:t>Stock</w:t>
            </w:r>
          </w:p>
        </w:tc>
        <w:tc>
          <w:tcPr>
            <w:tcW w:w="1360" w:type="dxa"/>
            <w:vAlign w:val="bottom"/>
            <w:gridSpan w:val="2"/>
            <w:shd w:val="clear" w:color="auto" w:fill="E0FCF9"/>
          </w:tcPr>
          <w:p>
            <w:pPr>
              <w:jc w:val="center"/>
              <w:ind w:right="440"/>
              <w:spacing w:after="0"/>
              <w:rPr>
                <w:sz w:val="20"/>
                <w:szCs w:val="20"/>
                <w:color w:val="auto"/>
              </w:rPr>
            </w:pPr>
            <w:r>
              <w:rPr>
                <w:rFonts w:ascii="Arial" w:cs="Arial" w:eastAsia="Arial" w:hAnsi="Arial"/>
                <w:sz w:val="14"/>
                <w:szCs w:val="14"/>
                <w:b w:val="1"/>
                <w:bCs w:val="1"/>
                <w:color w:val="0016FF"/>
                <w:w w:val="93"/>
              </w:rPr>
              <w:t>Voting Units††</w:t>
            </w:r>
          </w:p>
        </w:tc>
        <w:tc>
          <w:tcPr>
            <w:tcW w:w="1000" w:type="dxa"/>
            <w:vAlign w:val="bottom"/>
            <w:gridSpan w:val="2"/>
            <w:shd w:val="clear" w:color="auto" w:fill="E0FCF9"/>
          </w:tcPr>
          <w:p>
            <w:pPr>
              <w:jc w:val="right"/>
              <w:ind w:right="200"/>
              <w:spacing w:after="0"/>
              <w:rPr>
                <w:sz w:val="20"/>
                <w:szCs w:val="20"/>
                <w:color w:val="auto"/>
              </w:rPr>
            </w:pPr>
            <w:r>
              <w:rPr>
                <w:rFonts w:ascii="Arial" w:cs="Arial" w:eastAsia="Arial" w:hAnsi="Arial"/>
                <w:sz w:val="14"/>
                <w:szCs w:val="14"/>
                <w:b w:val="1"/>
                <w:bCs w:val="1"/>
                <w:color w:val="0016FF"/>
                <w:w w:val="94"/>
              </w:rPr>
              <w:t>Voting Units</w:t>
            </w:r>
          </w:p>
        </w:tc>
        <w:tc>
          <w:tcPr>
            <w:tcW w:w="400" w:type="dxa"/>
            <w:vAlign w:val="bottom"/>
            <w:shd w:val="clear" w:color="auto" w:fill="E0FCF9"/>
          </w:tcPr>
          <w:p>
            <w:pPr>
              <w:spacing w:after="0"/>
              <w:rPr>
                <w:sz w:val="14"/>
                <w:szCs w:val="14"/>
                <w:color w:val="auto"/>
              </w:rPr>
            </w:pPr>
          </w:p>
        </w:tc>
        <w:tc>
          <w:tcPr>
            <w:tcW w:w="1000" w:type="dxa"/>
            <w:vAlign w:val="bottom"/>
            <w:gridSpan w:val="2"/>
            <w:shd w:val="clear" w:color="auto" w:fill="E0FCF9"/>
          </w:tcPr>
          <w:p>
            <w:pPr>
              <w:jc w:val="center"/>
              <w:ind w:right="180"/>
              <w:spacing w:after="0"/>
              <w:rPr>
                <w:sz w:val="20"/>
                <w:szCs w:val="20"/>
                <w:color w:val="auto"/>
              </w:rPr>
            </w:pPr>
            <w:r>
              <w:rPr>
                <w:rFonts w:ascii="Arial" w:cs="Arial" w:eastAsia="Arial" w:hAnsi="Arial"/>
                <w:sz w:val="14"/>
                <w:szCs w:val="14"/>
                <w:b w:val="1"/>
                <w:bCs w:val="1"/>
                <w:color w:val="0016FF"/>
                <w:w w:val="90"/>
              </w:rPr>
              <w:t>of Evercore</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b w:val="1"/>
                <w:bCs w:val="1"/>
                <w:color w:val="auto"/>
              </w:rPr>
              <w:t>5% Shareholders</w:t>
            </w:r>
          </w:p>
        </w:tc>
        <w:tc>
          <w:tcPr>
            <w:tcW w:w="4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BlackRock, Inc.(1)</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4,022,947</w:t>
            </w:r>
          </w:p>
        </w:tc>
        <w:tc>
          <w:tcPr>
            <w:tcW w:w="14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9.9%</w:t>
            </w: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ind w:left="106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The Vanguard Group(2)</w:t>
            </w:r>
          </w:p>
        </w:tc>
        <w:tc>
          <w:tcPr>
            <w:tcW w:w="140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3,511,975</w:t>
            </w:r>
          </w:p>
        </w:tc>
        <w:tc>
          <w:tcPr>
            <w:tcW w:w="1400" w:type="dxa"/>
            <w:vAlign w:val="bottom"/>
            <w:gridSpan w:val="2"/>
          </w:tcPr>
          <w:p>
            <w:pPr>
              <w:ind w:left="660"/>
              <w:spacing w:after="0" w:line="145" w:lineRule="exact"/>
              <w:rPr>
                <w:sz w:val="20"/>
                <w:szCs w:val="20"/>
                <w:color w:val="auto"/>
              </w:rPr>
            </w:pPr>
            <w:r>
              <w:rPr>
                <w:rFonts w:ascii="Arial" w:cs="Arial" w:eastAsia="Arial" w:hAnsi="Arial"/>
                <w:sz w:val="14"/>
                <w:szCs w:val="14"/>
                <w:color w:val="auto"/>
              </w:rPr>
              <w:t>8.7%</w:t>
            </w:r>
          </w:p>
        </w:tc>
        <w:tc>
          <w:tcPr>
            <w:tcW w:w="136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400" w:type="dxa"/>
            <w:vAlign w:val="bottom"/>
            <w:gridSpan w:val="3"/>
          </w:tcPr>
          <w:p>
            <w:pPr>
              <w:ind w:left="1060"/>
              <w:spacing w:after="0" w:line="145"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Directors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Roger Altman(3)</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56,989</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654,320</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w:t>
            </w:r>
          </w:p>
        </w:tc>
        <w:tc>
          <w:tcPr>
            <w:tcW w:w="1400" w:type="dxa"/>
            <w:vAlign w:val="bottom"/>
            <w:gridSpan w:val="3"/>
          </w:tcPr>
          <w:p>
            <w:pPr>
              <w:ind w:left="10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Richard I. Beattie(4)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25,967</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Pamela G. Carlton (4)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Ellen V. Futter (4)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2,402</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Gail B. Harris(4)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38,737</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Robert Millard(4)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46,501</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Willard J. Overlock, Jr.(4).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6,792</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Sir Simon M. Robertson(4)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3,824</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Ralph L. Schlosstein(5)</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594,542</w:t>
            </w:r>
          </w:p>
        </w:tc>
        <w:tc>
          <w:tcPr>
            <w:tcW w:w="14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1.5%</w:t>
            </w: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1,000</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0" w:type="dxa"/>
            <w:vAlign w:val="bottom"/>
            <w:gridSpan w:val="3"/>
          </w:tcPr>
          <w:p>
            <w:pPr>
              <w:ind w:left="10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John S. Weinberg(6)</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293,002</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400,000</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1400" w:type="dxa"/>
            <w:vAlign w:val="bottom"/>
            <w:gridSpan w:val="3"/>
          </w:tcPr>
          <w:p>
            <w:pPr>
              <w:ind w:left="10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William J. Wheeler(4)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6,751</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Sarah K. Williamson(4)</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2,402</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Kendrick R. Wilson III(4)</w:t>
            </w:r>
          </w:p>
        </w:tc>
        <w:tc>
          <w:tcPr>
            <w:tcW w:w="140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1,037</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Named Executive Officers who are not Directors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Andrew Sibbald(7)</w:t>
            </w:r>
          </w:p>
        </w:tc>
        <w:tc>
          <w:tcPr>
            <w:tcW w:w="14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44,334</w:t>
            </w:r>
          </w:p>
        </w:tc>
        <w:tc>
          <w:tcPr>
            <w:tcW w:w="84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10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Robert Walsh(8)</w:t>
            </w:r>
          </w:p>
        </w:tc>
        <w:tc>
          <w:tcPr>
            <w:tcW w:w="140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59,616</w:t>
            </w:r>
          </w:p>
        </w:tc>
        <w:tc>
          <w:tcPr>
            <w:tcW w:w="840" w:type="dxa"/>
            <w:vAlign w:val="bottom"/>
          </w:tcPr>
          <w:p>
            <w:pPr>
              <w:ind w:left="660"/>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36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1,200</w:t>
            </w:r>
          </w:p>
        </w:tc>
        <w:tc>
          <w:tcPr>
            <w:tcW w:w="8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ind w:left="10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Directors and Executive Officers as a Group (18 Persons)</w:t>
            </w: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60" w:type="dxa"/>
            <w:vAlign w:val="bottom"/>
            <w:gridSpan w:val="3"/>
          </w:tcPr>
          <w:p>
            <w:pPr>
              <w:jc w:val="right"/>
              <w:ind w:right="3208"/>
              <w:spacing w:after="0"/>
              <w:rPr>
                <w:sz w:val="20"/>
                <w:szCs w:val="20"/>
                <w:color w:val="auto"/>
              </w:rPr>
            </w:pPr>
            <w:r>
              <w:rPr>
                <w:rFonts w:ascii="Arial" w:cs="Arial" w:eastAsia="Arial" w:hAnsi="Arial"/>
                <w:sz w:val="14"/>
                <w:szCs w:val="14"/>
                <w:b w:val="1"/>
                <w:bCs w:val="1"/>
                <w:color w:val="auto"/>
              </w:rPr>
              <w:t>(9)</w:t>
            </w:r>
          </w:p>
        </w:tc>
        <w:tc>
          <w:tcPr>
            <w:tcW w:w="400" w:type="dxa"/>
            <w:vAlign w:val="bottom"/>
          </w:tcPr>
          <w:p>
            <w:pPr>
              <w:spacing w:after="0"/>
              <w:rPr>
                <w:sz w:val="16"/>
                <w:szCs w:val="16"/>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color w:val="auto"/>
              </w:rPr>
              <w:t>1,190,748</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2.9%</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3,602,925</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62.5%</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76200</wp:posOffset>
            </wp:positionV>
            <wp:extent cx="13970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22" w:lineRule="exact"/>
        <w:rPr>
          <w:sz w:val="20"/>
          <w:szCs w:val="20"/>
          <w:color w:val="auto"/>
        </w:rPr>
      </w:pPr>
    </w:p>
    <w:p>
      <w:pPr>
        <w:ind w:left="880" w:hanging="656"/>
        <w:spacing w:after="0"/>
        <w:tabs>
          <w:tab w:leader="none" w:pos="8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ind w:left="880" w:right="140" w:hanging="656"/>
        <w:spacing w:after="0" w:line="264" w:lineRule="auto"/>
        <w:tabs>
          <w:tab w:leader="none" w:pos="8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Voting Units (subject, in the case of the I-P, I, K-P and K limited partnership units, to certain vesting and conversion conditions) are ultimately exchangeable for shares of our Class A common stock on a one-for-one basis, subject to customary conversion rate adjustments for stock splits, stock dividends and reclassifications. Beneficial ownership of Voting Units reflected in this table has not also been reflected as beneficial ownership of the shares of our Class A common stock for which such units may be exchanged.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hanging="656"/>
        <w:spacing w:after="0"/>
        <w:tabs>
          <w:tab w:leader="none" w:pos="8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Generally, holders of Voting Units hold one or more shares of Class B common stock, which entitles such holder to one vote for each Voting Unit.</w:t>
      </w:r>
    </w:p>
    <w:p>
      <w:pPr>
        <w:spacing w:after="0" w:line="55" w:lineRule="exact"/>
        <w:rPr>
          <w:sz w:val="20"/>
          <w:szCs w:val="20"/>
          <w:color w:val="auto"/>
        </w:rPr>
      </w:pPr>
    </w:p>
    <w:p>
      <w:pPr>
        <w:ind w:left="880" w:right="60" w:hanging="656"/>
        <w:spacing w:after="0" w:line="238" w:lineRule="auto"/>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13G/A, filed February 4, 2020 (the “</w:t>
      </w:r>
      <w:r>
        <w:rPr>
          <w:rFonts w:ascii="Arial" w:cs="Arial" w:eastAsia="Arial" w:hAnsi="Arial"/>
          <w:sz w:val="14"/>
          <w:szCs w:val="14"/>
          <w:i w:val="1"/>
          <w:iCs w:val="1"/>
          <w:color w:val="auto"/>
        </w:rPr>
        <w:t>BlackRock 13G/A</w:t>
      </w:r>
      <w:r>
        <w:rPr>
          <w:rFonts w:ascii="Arial" w:cs="Arial" w:eastAsia="Arial" w:hAnsi="Arial"/>
          <w:sz w:val="14"/>
          <w:szCs w:val="14"/>
          <w:color w:val="auto"/>
        </w:rPr>
        <w:t>”), filed with the SEC by BlackRock. The address of BlackRock is 55 East 52</w:t>
      </w:r>
      <w:r>
        <w:rPr>
          <w:rFonts w:ascii="Arial" w:cs="Arial" w:eastAsia="Arial" w:hAnsi="Arial"/>
          <w:sz w:val="12"/>
          <w:szCs w:val="12"/>
          <w:color w:val="auto"/>
        </w:rPr>
        <w:t>nd</w:t>
      </w:r>
      <w:r>
        <w:rPr>
          <w:rFonts w:ascii="Arial" w:cs="Arial" w:eastAsia="Arial" w:hAnsi="Arial"/>
          <w:sz w:val="14"/>
          <w:szCs w:val="14"/>
          <w:color w:val="auto"/>
        </w:rPr>
        <w:t xml:space="preserve"> Street, New York, New York 10055. According to the BlackRock 13G/A, BlackRock has sole voting power over 3,714,410 shares and sole dispositive power over 4,022,947 shares.</w:t>
      </w:r>
    </w:p>
    <w:p>
      <w:pPr>
        <w:spacing w:after="0" w:line="88" w:lineRule="exact"/>
        <w:rPr>
          <w:rFonts w:ascii="Arial" w:cs="Arial" w:eastAsia="Arial" w:hAnsi="Arial"/>
          <w:sz w:val="14"/>
          <w:szCs w:val="14"/>
          <w:color w:val="auto"/>
        </w:rPr>
      </w:pPr>
    </w:p>
    <w:p>
      <w:pPr>
        <w:ind w:left="880" w:right="240" w:hanging="656"/>
        <w:spacing w:after="0" w:line="238" w:lineRule="auto"/>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13G/A, filed February 12, 2020 (the “</w:t>
      </w:r>
      <w:r>
        <w:rPr>
          <w:rFonts w:ascii="Arial" w:cs="Arial" w:eastAsia="Arial" w:hAnsi="Arial"/>
          <w:sz w:val="14"/>
          <w:szCs w:val="14"/>
          <w:i w:val="1"/>
          <w:iCs w:val="1"/>
          <w:color w:val="auto"/>
        </w:rPr>
        <w:t>Vanguard 13G/A</w:t>
      </w:r>
      <w:r>
        <w:rPr>
          <w:rFonts w:ascii="Arial" w:cs="Arial" w:eastAsia="Arial" w:hAnsi="Arial"/>
          <w:sz w:val="14"/>
          <w:szCs w:val="14"/>
          <w:color w:val="auto"/>
        </w:rPr>
        <w:t>”), filed with the SEC by Vanguard. The address of Vanguard is 100 Vanguard Boulevard, Malvern, Pennsylvania 19355. According to the Vanguard 13G/A, Vanguard has sole voting power over 21,949 shares, shared voting power over 5,731 shares, sole dispositive power over 3,490,012 shares and shared dispositive power over 21,963 shares.</w:t>
      </w:r>
    </w:p>
    <w:p>
      <w:pPr>
        <w:spacing w:after="0" w:line="88" w:lineRule="exact"/>
        <w:rPr>
          <w:rFonts w:ascii="Arial" w:cs="Arial" w:eastAsia="Arial" w:hAnsi="Arial"/>
          <w:sz w:val="14"/>
          <w:szCs w:val="14"/>
          <w:color w:val="auto"/>
        </w:rPr>
      </w:pPr>
    </w:p>
    <w:p>
      <w:pPr>
        <w:ind w:left="880" w:hanging="656"/>
        <w:spacing w:after="0" w:line="233" w:lineRule="auto"/>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Some of the Evercore LP Class A limited partnership units, shares of Class A common stock and shares of Class B common stock listed as beneficially owned by Mr. Altman are held by trusts benefiting his family and as to which Mr. Altman has voting and/or investment power. Mr. Altman disclaims beneficial ownership of the Evercore LP limited partnership units, shares of Class A common stock and shares of Class B common stock held by these trusts. Does not include 113,701 unvested RSUs granted to Mr. Altman under the 2006 Plan and the 2016 Plan.</w:t>
      </w:r>
    </w:p>
    <w:p>
      <w:pPr>
        <w:spacing w:after="0" w:line="90" w:lineRule="exact"/>
        <w:rPr>
          <w:rFonts w:ascii="Arial" w:cs="Arial" w:eastAsia="Arial" w:hAnsi="Arial"/>
          <w:sz w:val="14"/>
          <w:szCs w:val="14"/>
          <w:color w:val="auto"/>
        </w:rPr>
      </w:pPr>
    </w:p>
    <w:p>
      <w:pPr>
        <w:ind w:left="880" w:right="300" w:hanging="656"/>
        <w:spacing w:after="0" w:line="264" w:lineRule="auto"/>
        <w:tabs>
          <w:tab w:leader="none" w:pos="8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Includes 1,037 unvested RSUs granted to each non-management director (other than Ms. Carlton, who was appointed to the Board after our 2019 annual meeting) and, with respect to Mses. Futter and Williamson, an additional 528 unvested RSUs, as director compensation that will vest within 60 days of April 22, 2020. Does not include, with respect to Mr. Wilson, 569 RSUs granted under the 2016 Plan and, with respect to Ms. Carlton, 653 RSUs granted under the 2016 Plan.</w:t>
      </w:r>
    </w:p>
    <w:p>
      <w:pPr>
        <w:spacing w:after="0" w:line="73" w:lineRule="exact"/>
        <w:rPr>
          <w:rFonts w:ascii="Arial" w:cs="Arial" w:eastAsia="Arial" w:hAnsi="Arial"/>
          <w:sz w:val="13"/>
          <w:szCs w:val="13"/>
          <w:color w:val="auto"/>
        </w:rPr>
      </w:pPr>
    </w:p>
    <w:p>
      <w:pPr>
        <w:ind w:left="880" w:right="120" w:hanging="656"/>
        <w:spacing w:after="0" w:line="238" w:lineRule="auto"/>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100,000 shares of Class A Common Stock reflected in the table above are held in trust for the benefit of Mr. Schlosstein’s family and as to which Mr. Schlosstein has voting and/or investment power. Mr. Schlosstein disclaims beneficial ownership of these limited partnership units. Does not include 93,372 unvested RSUs granted to Mr. Schlosstein under the 2006 Plan and the 2016 Plan.</w:t>
      </w:r>
    </w:p>
    <w:p>
      <w:pPr>
        <w:spacing w:after="0" w:line="88" w:lineRule="exact"/>
        <w:rPr>
          <w:rFonts w:ascii="Arial" w:cs="Arial" w:eastAsia="Arial" w:hAnsi="Arial"/>
          <w:sz w:val="14"/>
          <w:szCs w:val="14"/>
          <w:color w:val="auto"/>
        </w:rPr>
      </w:pPr>
    </w:p>
    <w:p>
      <w:pPr>
        <w:ind w:left="880" w:hanging="656"/>
        <w:spacing w:after="0"/>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Does not include 443,805 unvested RSUs granted to Mr. Weinberg under his RSU agreement dated November 15, 2016 and the 2016 Plan.</w:t>
      </w:r>
    </w:p>
    <w:p>
      <w:pPr>
        <w:spacing w:after="0" w:line="109" w:lineRule="exact"/>
        <w:rPr>
          <w:rFonts w:ascii="Arial" w:cs="Arial" w:eastAsia="Arial" w:hAnsi="Arial"/>
          <w:sz w:val="14"/>
          <w:szCs w:val="14"/>
          <w:color w:val="auto"/>
        </w:rPr>
      </w:pPr>
    </w:p>
    <w:p>
      <w:pPr>
        <w:ind w:left="880" w:hanging="656"/>
        <w:spacing w:after="0"/>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Does not include 55,049 unvested RSUs granted to Mr. Sibbald under the 2006 Plan and the 2016 Plan.</w:t>
      </w:r>
    </w:p>
    <w:p>
      <w:pPr>
        <w:spacing w:after="0" w:line="109" w:lineRule="exact"/>
        <w:rPr>
          <w:rFonts w:ascii="Arial" w:cs="Arial" w:eastAsia="Arial" w:hAnsi="Arial"/>
          <w:sz w:val="14"/>
          <w:szCs w:val="14"/>
          <w:color w:val="auto"/>
        </w:rPr>
      </w:pPr>
    </w:p>
    <w:p>
      <w:pPr>
        <w:ind w:left="880" w:hanging="656"/>
        <w:spacing w:after="0"/>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Does not include 43,926 unvested RSUs granted to Mr. Walsh under the 2006 Plan and the 2016 Plan.</w:t>
      </w:r>
    </w:p>
    <w:p>
      <w:pPr>
        <w:spacing w:after="0" w:line="109" w:lineRule="exact"/>
        <w:rPr>
          <w:rFonts w:ascii="Arial" w:cs="Arial" w:eastAsia="Arial" w:hAnsi="Arial"/>
          <w:sz w:val="14"/>
          <w:szCs w:val="14"/>
          <w:color w:val="auto"/>
        </w:rPr>
      </w:pPr>
    </w:p>
    <w:p>
      <w:pPr>
        <w:ind w:left="880" w:right="60" w:hanging="656"/>
        <w:spacing w:after="0" w:line="238" w:lineRule="auto"/>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2,545,205 Class E limited partnership units held by Mr. Hyman through two corporations that he controls, ISI Holding, Inc. and ISI Holding II, Inc. ISI Holding, Inc. holds a total of 2,537,059 Class E Units. ISI Holding II, Inc. holds a total of 8,146 Class E Units. Does not include 27,379 unvested RSUs granted to Mr. Hyman under the 2006 Plan and the 2016 Plan.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PROPOSAL 3—APPROVAL OF THE AMENDED AND RESTATED</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2016 EVERCORE INC. STOCK INCENTIVE PLAN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Summary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right="500" w:hanging="876"/>
        <w:spacing w:after="0" w:line="282" w:lineRule="auto"/>
        <w:tabs>
          <w:tab w:leader="none" w:pos="1100" w:val="left"/>
        </w:tabs>
        <w:numPr>
          <w:ilvl w:val="0"/>
          <w:numId w:val="73"/>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What is being voted on. </w:t>
      </w:r>
      <w:r>
        <w:rPr>
          <w:rFonts w:ascii="Arial" w:cs="Arial" w:eastAsia="Arial" w:hAnsi="Arial"/>
          <w:sz w:val="18"/>
          <w:szCs w:val="18"/>
          <w:color w:val="000000"/>
        </w:rPr>
        <w:t>The approval of the Amended and Restated 2016 Evercore Inc. Stock Incentive Plan (the “Amended 2016</w:t>
      </w:r>
      <w:r>
        <w:rPr>
          <w:rFonts w:ascii="Arial" w:cs="Arial" w:eastAsia="Arial" w:hAnsi="Arial"/>
          <w:sz w:val="18"/>
          <w:szCs w:val="18"/>
          <w:b w:val="1"/>
          <w:bCs w:val="1"/>
          <w:color w:val="0A26FF"/>
        </w:rPr>
        <w:t xml:space="preserve"> </w:t>
      </w:r>
      <w:r>
        <w:rPr>
          <w:rFonts w:ascii="Arial" w:cs="Arial" w:eastAsia="Arial" w:hAnsi="Arial"/>
          <w:sz w:val="18"/>
          <w:szCs w:val="18"/>
          <w:color w:val="000000"/>
        </w:rPr>
        <w:t>Plan”).</w:t>
      </w:r>
    </w:p>
    <w:p>
      <w:pPr>
        <w:spacing w:after="0" w:line="161" w:lineRule="exact"/>
        <w:rPr>
          <w:rFonts w:ascii="MS PGothic" w:cs="MS PGothic" w:eastAsia="MS PGothic" w:hAnsi="MS PGothic"/>
          <w:sz w:val="18"/>
          <w:szCs w:val="18"/>
          <w:color w:val="auto"/>
        </w:rPr>
      </w:pPr>
    </w:p>
    <w:p>
      <w:pPr>
        <w:ind w:left="1100" w:hanging="876"/>
        <w:spacing w:after="0"/>
        <w:tabs>
          <w:tab w:leader="none" w:pos="1100" w:val="left"/>
        </w:tabs>
        <w:numPr>
          <w:ilvl w:val="0"/>
          <w:numId w:val="73"/>
        </w:numPr>
        <w:rPr>
          <w:rFonts w:ascii="MS PGothic" w:cs="MS PGothic" w:eastAsia="MS PGothic" w:hAnsi="MS PGothic"/>
          <w:sz w:val="17"/>
          <w:szCs w:val="17"/>
          <w:color w:val="auto"/>
        </w:rPr>
      </w:pPr>
      <w:r>
        <w:rPr>
          <w:rFonts w:ascii="Arial" w:cs="Arial" w:eastAsia="Arial" w:hAnsi="Arial"/>
          <w:sz w:val="17"/>
          <w:szCs w:val="17"/>
          <w:b w:val="1"/>
          <w:bCs w:val="1"/>
          <w:color w:val="0A26FF"/>
        </w:rPr>
        <w:t xml:space="preserve">Board recommendation. </w:t>
      </w:r>
      <w:r>
        <w:rPr>
          <w:rFonts w:ascii="Arial" w:cs="Arial" w:eastAsia="Arial" w:hAnsi="Arial"/>
          <w:sz w:val="17"/>
          <w:szCs w:val="17"/>
          <w:color w:val="000000"/>
        </w:rPr>
        <w:t>Our Board unanimously recommends that you vote “FOR” the approval of the Amended 2016 Plan.</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FFFFFF"/>
        </w:rPr>
        <w:t>Our Board Unanimously Recommends a Vote FOR Approval of the Amended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03415" cy="163195"/>
                    </a:xfrm>
                    <a:prstGeom prst="rect">
                      <a:avLst/>
                    </a:prstGeom>
                    <a:noFill/>
                  </pic:spPr>
                </pic:pic>
              </a:graphicData>
            </a:graphic>
          </wp:anchor>
        </w:drawing>
      </w:r>
    </w:p>
    <w:p>
      <w:pPr>
        <w:spacing w:after="0" w:line="218" w:lineRule="exact"/>
        <w:rPr>
          <w:sz w:val="20"/>
          <w:szCs w:val="20"/>
          <w:color w:val="auto"/>
        </w:rPr>
      </w:pPr>
    </w:p>
    <w:p>
      <w:pPr>
        <w:ind w:left="120" w:firstLine="1983"/>
        <w:spacing w:after="0" w:line="257" w:lineRule="auto"/>
        <w:rPr>
          <w:sz w:val="20"/>
          <w:szCs w:val="20"/>
          <w:color w:val="auto"/>
        </w:rPr>
      </w:pPr>
      <w:r>
        <w:rPr>
          <w:rFonts w:ascii="Arial" w:cs="Arial" w:eastAsia="Arial" w:hAnsi="Arial"/>
          <w:sz w:val="18"/>
          <w:szCs w:val="18"/>
          <w:color w:val="auto"/>
        </w:rPr>
        <w:t xml:space="preserve">On April 21, 2020, upon the recommendation of the Compensation Committee, our Board of Directors unanimously adopted the Amended 2016 Plan, in the form attached hereto as Annex B, subject to the approval of our shareholders at this Annual Meeting. The Amended 2016 Plan would replace the 2016 Plan and would apply to awards granted on or after the date of our Annual Meeting. The terms of the Amended 2016 Plan are </w:t>
      </w:r>
      <w:r>
        <w:rPr>
          <w:rFonts w:ascii="Arial" w:cs="Arial" w:eastAsia="Arial" w:hAnsi="Arial"/>
          <w:sz w:val="18"/>
          <w:szCs w:val="18"/>
          <w:b w:val="1"/>
          <w:bCs w:val="1"/>
          <w:color w:val="auto"/>
        </w:rPr>
        <w:t>identical</w:t>
      </w:r>
      <w:r>
        <w:rPr>
          <w:rFonts w:ascii="Arial" w:cs="Arial" w:eastAsia="Arial" w:hAnsi="Arial"/>
          <w:sz w:val="18"/>
          <w:szCs w:val="18"/>
          <w:color w:val="auto"/>
        </w:rPr>
        <w:t xml:space="preserve"> to those of the shareholder-approved 2016 Plan, other than an increase of six million in the number of shares authorized for issuance under the plan.</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Highlights of the Amended 2016 Plan and Equity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1100" w:right="80" w:hanging="876"/>
        <w:spacing w:after="0" w:line="282" w:lineRule="auto"/>
        <w:tabs>
          <w:tab w:leader="none" w:pos="1100" w:val="left"/>
        </w:tabs>
        <w:numPr>
          <w:ilvl w:val="0"/>
          <w:numId w:val="74"/>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Amended 2016 Plan Includes Features Designed to Protect Shareholder Interests. </w:t>
      </w:r>
      <w:r>
        <w:rPr>
          <w:rFonts w:ascii="Arial" w:cs="Arial" w:eastAsia="Arial" w:hAnsi="Arial"/>
          <w:sz w:val="18"/>
          <w:szCs w:val="18"/>
          <w:color w:val="000000"/>
        </w:rPr>
        <w:t>The Amended 2016 Plan, together with our equity</w:t>
      </w:r>
      <w:r>
        <w:rPr>
          <w:rFonts w:ascii="Arial" w:cs="Arial" w:eastAsia="Arial" w:hAnsi="Arial"/>
          <w:sz w:val="18"/>
          <w:szCs w:val="18"/>
          <w:b w:val="1"/>
          <w:bCs w:val="1"/>
          <w:color w:val="0A26FF"/>
        </w:rPr>
        <w:t xml:space="preserve"> </w:t>
      </w:r>
      <w:r>
        <w:rPr>
          <w:rFonts w:ascii="Arial" w:cs="Arial" w:eastAsia="Arial" w:hAnsi="Arial"/>
          <w:sz w:val="18"/>
          <w:szCs w:val="18"/>
          <w:color w:val="000000"/>
        </w:rPr>
        <w:t>compensation practices, demonstrates many best practices:</w:t>
      </w:r>
    </w:p>
    <w:p>
      <w:pPr>
        <w:sectPr>
          <w:pgSz w:w="11900" w:h="16838" w:orient="portrait"/>
          <w:cols w:equalWidth="0" w:num="1">
            <w:col w:w="11080"/>
          </w:cols>
          <w:pgMar w:left="320" w:top="459" w:right="499" w:bottom="1440" w:gutter="0" w:footer="0" w:header="0"/>
        </w:sectPr>
      </w:pPr>
    </w:p>
    <w:p>
      <w:pPr>
        <w:spacing w:after="0" w:line="166" w:lineRule="exact"/>
        <w:rPr>
          <w:sz w:val="20"/>
          <w:szCs w:val="20"/>
          <w:color w:val="auto"/>
        </w:rPr>
      </w:pPr>
    </w:p>
    <w:p>
      <w:pPr>
        <w:ind w:left="1160" w:hanging="288"/>
        <w:spacing w:after="0"/>
        <w:tabs>
          <w:tab w:leader="none" w:pos="1160" w:val="left"/>
        </w:tabs>
        <w:numPr>
          <w:ilvl w:val="0"/>
          <w:numId w:val="75"/>
        </w:numPr>
        <w:rPr>
          <w:rFonts w:ascii="Arial" w:cs="Arial" w:eastAsia="Arial" w:hAnsi="Arial"/>
          <w:sz w:val="18"/>
          <w:szCs w:val="18"/>
          <w:b w:val="1"/>
          <w:bCs w:val="1"/>
          <w:i w:val="1"/>
          <w:iCs w:val="1"/>
          <w:color w:val="BC0000"/>
        </w:rPr>
      </w:pPr>
      <w:r>
        <w:rPr>
          <w:rFonts w:ascii="Arial" w:cs="Arial" w:eastAsia="Arial" w:hAnsi="Arial"/>
          <w:sz w:val="18"/>
          <w:szCs w:val="18"/>
          <w:color w:val="auto"/>
        </w:rPr>
        <w:t>No “evergreen” provision</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75"/>
        </w:numPr>
        <w:rPr>
          <w:rFonts w:ascii="Arial" w:cs="Arial" w:eastAsia="Arial" w:hAnsi="Arial"/>
          <w:sz w:val="18"/>
          <w:szCs w:val="18"/>
          <w:b w:val="1"/>
          <w:bCs w:val="1"/>
          <w:i w:val="1"/>
          <w:iCs w:val="1"/>
          <w:color w:val="BC0000"/>
        </w:rPr>
      </w:pPr>
      <w:r>
        <w:rPr>
          <w:rFonts w:ascii="Arial" w:cs="Arial" w:eastAsia="Arial" w:hAnsi="Arial"/>
          <w:sz w:val="18"/>
          <w:szCs w:val="18"/>
          <w:color w:val="auto"/>
        </w:rPr>
        <w:t>No liberal share recycling</w:t>
      </w:r>
    </w:p>
    <w:p>
      <w:pPr>
        <w:spacing w:after="0" w:line="49" w:lineRule="exact"/>
        <w:rPr>
          <w:rFonts w:ascii="Arial" w:cs="Arial" w:eastAsia="Arial" w:hAnsi="Arial"/>
          <w:sz w:val="18"/>
          <w:szCs w:val="18"/>
          <w:b w:val="1"/>
          <w:bCs w:val="1"/>
          <w:i w:val="1"/>
          <w:iCs w:val="1"/>
          <w:color w:val="BC0000"/>
        </w:rPr>
      </w:pPr>
    </w:p>
    <w:p>
      <w:pPr>
        <w:ind w:left="1200" w:hanging="328"/>
        <w:spacing w:after="0" w:line="273" w:lineRule="auto"/>
        <w:tabs>
          <w:tab w:leader="none" w:pos="1170" w:val="left"/>
        </w:tabs>
        <w:numPr>
          <w:ilvl w:val="0"/>
          <w:numId w:val="75"/>
        </w:numPr>
        <w:rPr>
          <w:rFonts w:ascii="Arial" w:cs="Arial" w:eastAsia="Arial" w:hAnsi="Arial"/>
          <w:sz w:val="18"/>
          <w:szCs w:val="18"/>
          <w:b w:val="1"/>
          <w:bCs w:val="1"/>
          <w:i w:val="1"/>
          <w:iCs w:val="1"/>
          <w:color w:val="BC0000"/>
        </w:rPr>
      </w:pPr>
      <w:r>
        <w:rPr>
          <w:rFonts w:ascii="Arial" w:cs="Arial" w:eastAsia="Arial" w:hAnsi="Arial"/>
          <w:sz w:val="18"/>
          <w:szCs w:val="18"/>
          <w:color w:val="auto"/>
        </w:rPr>
        <w:t>No repricing (or cash buybacks) of underwater stock options or stock appreciation rights</w:t>
      </w:r>
    </w:p>
    <w:p>
      <w:pPr>
        <w:spacing w:after="0" w:line="1"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75"/>
        </w:numPr>
        <w:rPr>
          <w:rFonts w:ascii="Arial" w:cs="Arial" w:eastAsia="Arial" w:hAnsi="Arial"/>
          <w:sz w:val="18"/>
          <w:szCs w:val="18"/>
          <w:b w:val="1"/>
          <w:bCs w:val="1"/>
          <w:i w:val="1"/>
          <w:iCs w:val="1"/>
          <w:color w:val="BC0000"/>
        </w:rPr>
      </w:pPr>
      <w:r>
        <w:rPr>
          <w:rFonts w:ascii="Arial" w:cs="Arial" w:eastAsia="Arial" w:hAnsi="Arial"/>
          <w:sz w:val="18"/>
          <w:szCs w:val="18"/>
          <w:color w:val="auto"/>
        </w:rPr>
        <w:t>No “reload” equity awards</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75"/>
        </w:numPr>
        <w:rPr>
          <w:rFonts w:ascii="Arial" w:cs="Arial" w:eastAsia="Arial" w:hAnsi="Arial"/>
          <w:sz w:val="18"/>
          <w:szCs w:val="18"/>
          <w:b w:val="1"/>
          <w:bCs w:val="1"/>
          <w:i w:val="1"/>
          <w:iCs w:val="1"/>
          <w:color w:val="BC0000"/>
        </w:rPr>
      </w:pPr>
      <w:r>
        <w:rPr>
          <w:rFonts w:ascii="Arial" w:cs="Arial" w:eastAsia="Arial" w:hAnsi="Arial"/>
          <w:sz w:val="18"/>
          <w:szCs w:val="18"/>
          <w:color w:val="auto"/>
        </w:rPr>
        <w:t>No equity grants below fair market value</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75"/>
        </w:numPr>
        <w:rPr>
          <w:rFonts w:ascii="Arial" w:cs="Arial" w:eastAsia="Arial" w:hAnsi="Arial"/>
          <w:sz w:val="18"/>
          <w:szCs w:val="18"/>
          <w:b w:val="1"/>
          <w:bCs w:val="1"/>
          <w:i w:val="1"/>
          <w:iCs w:val="1"/>
          <w:color w:val="BC0000"/>
        </w:rPr>
      </w:pPr>
      <w:r>
        <w:rPr>
          <w:rFonts w:ascii="Arial" w:cs="Arial" w:eastAsia="Arial" w:hAnsi="Arial"/>
          <w:sz w:val="18"/>
          <w:szCs w:val="18"/>
          <w:color w:val="auto"/>
        </w:rPr>
        <w:t>No single-trigger change in control vesting</w:t>
      </w:r>
    </w:p>
    <w:p>
      <w:pPr>
        <w:spacing w:after="0" w:line="49" w:lineRule="exact"/>
        <w:rPr>
          <w:rFonts w:ascii="Arial" w:cs="Arial" w:eastAsia="Arial" w:hAnsi="Arial"/>
          <w:sz w:val="18"/>
          <w:szCs w:val="18"/>
          <w:b w:val="1"/>
          <w:bCs w:val="1"/>
          <w:i w:val="1"/>
          <w:iCs w:val="1"/>
          <w:color w:val="BC0000"/>
        </w:rPr>
      </w:pPr>
    </w:p>
    <w:p>
      <w:pPr>
        <w:ind w:left="1160" w:hanging="288"/>
        <w:spacing w:after="0"/>
        <w:tabs>
          <w:tab w:leader="none" w:pos="1160" w:val="left"/>
        </w:tabs>
        <w:numPr>
          <w:ilvl w:val="0"/>
          <w:numId w:val="75"/>
        </w:numPr>
        <w:rPr>
          <w:rFonts w:ascii="Arial" w:cs="Arial" w:eastAsia="Arial" w:hAnsi="Arial"/>
          <w:sz w:val="18"/>
          <w:szCs w:val="18"/>
          <w:b w:val="1"/>
          <w:bCs w:val="1"/>
          <w:i w:val="1"/>
          <w:iCs w:val="1"/>
          <w:color w:val="BC0000"/>
        </w:rPr>
      </w:pPr>
      <w:r>
        <w:rPr>
          <w:rFonts w:ascii="Arial" w:cs="Arial" w:eastAsia="Arial" w:hAnsi="Arial"/>
          <w:sz w:val="18"/>
          <w:szCs w:val="18"/>
          <w:color w:val="auto"/>
        </w:rPr>
        <w:t>Prohibition on hedging Evercore equity holdings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25" w:hanging="325"/>
        <w:spacing w:after="0"/>
        <w:tabs>
          <w:tab w:leader="none" w:pos="325" w:val="left"/>
        </w:tabs>
        <w:numPr>
          <w:ilvl w:val="0"/>
          <w:numId w:val="76"/>
        </w:numPr>
        <w:rPr>
          <w:rFonts w:ascii="MS PGothic" w:cs="MS PGothic" w:eastAsia="MS PGothic" w:hAnsi="MS PGothic"/>
          <w:sz w:val="18"/>
          <w:szCs w:val="18"/>
          <w:color w:val="33F90A"/>
        </w:rPr>
      </w:pPr>
      <w:r>
        <w:rPr>
          <w:rFonts w:ascii="Arial" w:cs="Arial" w:eastAsia="Arial" w:hAnsi="Arial"/>
          <w:sz w:val="18"/>
          <w:szCs w:val="18"/>
          <w:color w:val="auto"/>
        </w:rPr>
        <w:t>Fixed maximum share limit</w:t>
      </w:r>
    </w:p>
    <w:p>
      <w:pPr>
        <w:spacing w:after="0" w:line="49" w:lineRule="exact"/>
        <w:rPr>
          <w:rFonts w:ascii="MS PGothic" w:cs="MS PGothic" w:eastAsia="MS PGothic" w:hAnsi="MS PGothic"/>
          <w:sz w:val="18"/>
          <w:szCs w:val="18"/>
          <w:color w:val="33F90A"/>
        </w:rPr>
      </w:pPr>
    </w:p>
    <w:p>
      <w:pPr>
        <w:ind w:left="325" w:hanging="325"/>
        <w:spacing w:after="0"/>
        <w:tabs>
          <w:tab w:leader="none" w:pos="325" w:val="left"/>
        </w:tabs>
        <w:numPr>
          <w:ilvl w:val="0"/>
          <w:numId w:val="76"/>
        </w:numPr>
        <w:rPr>
          <w:rFonts w:ascii="MS PGothic" w:cs="MS PGothic" w:eastAsia="MS PGothic" w:hAnsi="MS PGothic"/>
          <w:sz w:val="18"/>
          <w:szCs w:val="18"/>
          <w:color w:val="33F90A"/>
        </w:rPr>
      </w:pPr>
      <w:r>
        <w:rPr>
          <w:rFonts w:ascii="Arial" w:cs="Arial" w:eastAsia="Arial" w:hAnsi="Arial"/>
          <w:sz w:val="18"/>
          <w:szCs w:val="18"/>
          <w:color w:val="auto"/>
        </w:rPr>
        <w:t>Four-year deferred vesting of RSUs</w:t>
      </w:r>
    </w:p>
    <w:p>
      <w:pPr>
        <w:spacing w:after="0" w:line="49" w:lineRule="exact"/>
        <w:rPr>
          <w:rFonts w:ascii="MS PGothic" w:cs="MS PGothic" w:eastAsia="MS PGothic" w:hAnsi="MS PGothic"/>
          <w:sz w:val="18"/>
          <w:szCs w:val="18"/>
          <w:color w:val="33F90A"/>
        </w:rPr>
      </w:pPr>
    </w:p>
    <w:p>
      <w:pPr>
        <w:ind w:left="325" w:right="20" w:hanging="325"/>
        <w:spacing w:after="0" w:line="253" w:lineRule="auto"/>
        <w:tabs>
          <w:tab w:leader="none" w:pos="329" w:val="left"/>
        </w:tabs>
        <w:numPr>
          <w:ilvl w:val="0"/>
          <w:numId w:val="76"/>
        </w:numPr>
        <w:rPr>
          <w:rFonts w:ascii="MS PGothic" w:cs="MS PGothic" w:eastAsia="MS PGothic" w:hAnsi="MS PGothic"/>
          <w:sz w:val="18"/>
          <w:szCs w:val="18"/>
          <w:color w:val="33F90A"/>
        </w:rPr>
      </w:pPr>
      <w:r>
        <w:rPr>
          <w:rFonts w:ascii="Arial" w:cs="Arial" w:eastAsia="Arial" w:hAnsi="Arial"/>
          <w:sz w:val="18"/>
          <w:szCs w:val="18"/>
          <w:color w:val="auto"/>
        </w:rPr>
        <w:t>Equity granted under the 2016 Plan has been broad-based, with more than 90% of all equity awards granted in the past three years issued to employees other than our executive officers and more than 90% were issued to employees with direct revenue-generating and client-facing responsibilities</w:t>
      </w:r>
    </w:p>
    <w:p>
      <w:pPr>
        <w:spacing w:after="0" w:line="29" w:lineRule="exact"/>
        <w:rPr>
          <w:rFonts w:ascii="MS PGothic" w:cs="MS PGothic" w:eastAsia="MS PGothic" w:hAnsi="MS PGothic"/>
          <w:sz w:val="18"/>
          <w:szCs w:val="18"/>
          <w:color w:val="33F90A"/>
        </w:rPr>
      </w:pPr>
    </w:p>
    <w:p>
      <w:pPr>
        <w:ind w:left="325" w:hanging="325"/>
        <w:spacing w:after="0"/>
        <w:tabs>
          <w:tab w:leader="none" w:pos="325" w:val="left"/>
        </w:tabs>
        <w:numPr>
          <w:ilvl w:val="0"/>
          <w:numId w:val="76"/>
        </w:numPr>
        <w:rPr>
          <w:rFonts w:ascii="MS PGothic" w:cs="MS PGothic" w:eastAsia="MS PGothic" w:hAnsi="MS PGothic"/>
          <w:sz w:val="18"/>
          <w:szCs w:val="18"/>
          <w:color w:val="33F90A"/>
        </w:rPr>
      </w:pPr>
      <w:r>
        <w:rPr>
          <w:rFonts w:ascii="Arial" w:cs="Arial" w:eastAsia="Arial" w:hAnsi="Arial"/>
          <w:sz w:val="18"/>
          <w:szCs w:val="18"/>
          <w:color w:val="auto"/>
        </w:rPr>
        <w:t>Equity ownership guidelines for executive officers and SMDs</w:t>
      </w:r>
    </w:p>
    <w:p>
      <w:pPr>
        <w:spacing w:after="0" w:line="49" w:lineRule="exact"/>
        <w:rPr>
          <w:rFonts w:ascii="MS PGothic" w:cs="MS PGothic" w:eastAsia="MS PGothic" w:hAnsi="MS PGothic"/>
          <w:sz w:val="18"/>
          <w:szCs w:val="18"/>
          <w:color w:val="33F90A"/>
        </w:rPr>
      </w:pPr>
    </w:p>
    <w:p>
      <w:pPr>
        <w:ind w:left="325" w:right="100" w:hanging="325"/>
        <w:spacing w:after="0" w:line="258" w:lineRule="auto"/>
        <w:tabs>
          <w:tab w:leader="none" w:pos="329" w:val="left"/>
        </w:tabs>
        <w:numPr>
          <w:ilvl w:val="0"/>
          <w:numId w:val="76"/>
        </w:numPr>
        <w:rPr>
          <w:rFonts w:ascii="MS PGothic" w:cs="MS PGothic" w:eastAsia="MS PGothic" w:hAnsi="MS PGothic"/>
          <w:sz w:val="18"/>
          <w:szCs w:val="18"/>
          <w:color w:val="33F90A"/>
        </w:rPr>
      </w:pPr>
      <w:r>
        <w:rPr>
          <w:rFonts w:ascii="Arial" w:cs="Arial" w:eastAsia="Arial" w:hAnsi="Arial"/>
          <w:sz w:val="18"/>
          <w:szCs w:val="18"/>
          <w:color w:val="auto"/>
        </w:rPr>
        <w:t>Separate annual compensation limit of $500,000 for non-employee directors</w:t>
      </w:r>
    </w:p>
    <w:p>
      <w:pPr>
        <w:spacing w:after="0" w:line="1" w:lineRule="exact"/>
        <w:rPr>
          <w:sz w:val="20"/>
          <w:szCs w:val="20"/>
          <w:color w:val="auto"/>
        </w:rPr>
      </w:pPr>
    </w:p>
    <w:p>
      <w:pPr>
        <w:sectPr>
          <w:pgSz w:w="11900" w:h="16838" w:orient="portrait"/>
          <w:cols w:equalWidth="0" w:num="2">
            <w:col w:w="5540" w:space="295"/>
            <w:col w:w="5245"/>
          </w:cols>
          <w:pgMar w:left="320" w:top="459" w:right="499" w:bottom="1440" w:gutter="0" w:footer="0" w:header="0"/>
          <w:type w:val="continuous"/>
        </w:sectPr>
      </w:pPr>
    </w:p>
    <w:p>
      <w:pPr>
        <w:ind w:left="5840"/>
        <w:spacing w:after="0" w:line="207" w:lineRule="exact"/>
        <w:tabs>
          <w:tab w:leader="none" w:pos="6140" w:val="left"/>
        </w:tabs>
        <w:rPr>
          <w:sz w:val="20"/>
          <w:szCs w:val="20"/>
          <w:color w:val="auto"/>
        </w:rPr>
      </w:pPr>
      <w:r>
        <w:rPr>
          <w:rFonts w:ascii="MS PGothic" w:cs="MS PGothic" w:eastAsia="MS PGothic" w:hAnsi="MS PGothic"/>
          <w:sz w:val="18"/>
          <w:szCs w:val="18"/>
          <w:color w:val="33F90A"/>
        </w:rPr>
        <w:t>✓</w:t>
      </w:r>
      <w:r>
        <w:rPr>
          <w:sz w:val="20"/>
          <w:szCs w:val="20"/>
          <w:color w:val="auto"/>
        </w:rPr>
        <w:tab/>
      </w:r>
      <w:r>
        <w:rPr>
          <w:rFonts w:ascii="Arial" w:cs="Arial" w:eastAsia="Arial" w:hAnsi="Arial"/>
          <w:sz w:val="16"/>
          <w:szCs w:val="16"/>
          <w:color w:val="auto"/>
        </w:rPr>
        <w:t>NEO awards are subject to a clawback</w:t>
      </w:r>
    </w:p>
    <w:p>
      <w:pPr>
        <w:spacing w:after="0" w:line="261" w:lineRule="exact"/>
        <w:rPr>
          <w:sz w:val="20"/>
          <w:szCs w:val="20"/>
          <w:color w:val="auto"/>
        </w:rPr>
      </w:pPr>
    </w:p>
    <w:p>
      <w:pPr>
        <w:ind w:left="1100" w:right="40" w:hanging="876"/>
        <w:spacing w:after="0" w:line="298" w:lineRule="auto"/>
        <w:tabs>
          <w:tab w:leader="none" w:pos="1100" w:val="left"/>
        </w:tabs>
        <w:numPr>
          <w:ilvl w:val="0"/>
          <w:numId w:val="77"/>
        </w:numPr>
        <w:rPr>
          <w:rFonts w:ascii="MS PGothic" w:cs="MS PGothic" w:eastAsia="MS PGothic" w:hAnsi="MS PGothic"/>
          <w:sz w:val="16"/>
          <w:szCs w:val="16"/>
          <w:color w:val="auto"/>
        </w:rPr>
      </w:pPr>
      <w:r>
        <w:rPr>
          <w:rFonts w:ascii="Arial" w:cs="Arial" w:eastAsia="Arial" w:hAnsi="Arial"/>
          <w:sz w:val="16"/>
          <w:szCs w:val="16"/>
          <w:b w:val="1"/>
          <w:bCs w:val="1"/>
          <w:color w:val="0A26FF"/>
        </w:rPr>
        <w:t xml:space="preserve">Importance of the Amended 2016 Plan and Request for Limited Share Authorization. </w:t>
      </w:r>
      <w:r>
        <w:rPr>
          <w:rFonts w:ascii="Arial" w:cs="Arial" w:eastAsia="Arial" w:hAnsi="Arial"/>
          <w:sz w:val="16"/>
          <w:szCs w:val="16"/>
          <w:color w:val="000000"/>
        </w:rPr>
        <w:t>We believe that our prudent use of equity</w:t>
      </w:r>
      <w:r>
        <w:rPr>
          <w:rFonts w:ascii="Arial" w:cs="Arial" w:eastAsia="Arial" w:hAnsi="Arial"/>
          <w:sz w:val="16"/>
          <w:szCs w:val="16"/>
          <w:b w:val="1"/>
          <w:bCs w:val="1"/>
          <w:color w:val="0A26FF"/>
        </w:rPr>
        <w:t xml:space="preserve"> </w:t>
      </w:r>
      <w:r>
        <w:rPr>
          <w:rFonts w:ascii="Arial" w:cs="Arial" w:eastAsia="Arial" w:hAnsi="Arial"/>
          <w:sz w:val="16"/>
          <w:szCs w:val="16"/>
          <w:color w:val="000000"/>
        </w:rPr>
        <w:t>compensation has been an important driver of our success, and is necessary for our continued success. We are requesting only a limited number of shares which we believe will be necessary for continuing to manage and grow our business in the current environment over the next approximately two years. We have utilized substantially all of the shares approved in 2016 in growing and building our business. Accordingly, we are seeking shareholder approval for increasing the number of shares under our plan by six million shares.</w:t>
      </w:r>
    </w:p>
    <w:p>
      <w:pPr>
        <w:spacing w:after="0" w:line="158" w:lineRule="exact"/>
        <w:rPr>
          <w:sz w:val="20"/>
          <w:szCs w:val="20"/>
          <w:color w:val="auto"/>
        </w:rPr>
      </w:pPr>
    </w:p>
    <w:p>
      <w:pPr>
        <w:jc w:val="both"/>
        <w:ind w:left="1540" w:right="60" w:hanging="331"/>
        <w:spacing w:after="0" w:line="259" w:lineRule="auto"/>
        <w:tabs>
          <w:tab w:leader="none" w:pos="1540" w:val="left"/>
        </w:tabs>
        <w:numPr>
          <w:ilvl w:val="0"/>
          <w:numId w:val="78"/>
        </w:numPr>
        <w:rPr>
          <w:rFonts w:ascii="Arial" w:cs="Arial" w:eastAsia="Arial" w:hAnsi="Arial"/>
          <w:sz w:val="18"/>
          <w:szCs w:val="18"/>
          <w:color w:val="0A26FF"/>
        </w:rPr>
      </w:pPr>
      <w:r>
        <w:rPr>
          <w:rFonts w:ascii="Arial" w:cs="Arial" w:eastAsia="Arial" w:hAnsi="Arial"/>
          <w:sz w:val="18"/>
          <w:szCs w:val="18"/>
          <w:color w:val="auto"/>
        </w:rPr>
        <w:t>We have carefully considered the share request to allow the business to run with stability and certainty for approximately two years. We believe it is important to revisit equity compensation practices and norms with shareholders on a regular basis, and this interval —which is below the typical 3-4 year interval for companies of our size—strikes the right balance for shareholders and Evercore in the current environment.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0" w:hanging="331"/>
        <w:spacing w:after="0" w:line="263" w:lineRule="auto"/>
        <w:tabs>
          <w:tab w:leader="none" w:pos="1540" w:val="left"/>
        </w:tabs>
        <w:numPr>
          <w:ilvl w:val="1"/>
          <w:numId w:val="79"/>
        </w:numPr>
        <w:rPr>
          <w:rFonts w:ascii="Arial" w:cs="Arial" w:eastAsia="Arial" w:hAnsi="Arial"/>
          <w:sz w:val="18"/>
          <w:szCs w:val="18"/>
          <w:color w:val="0A26FF"/>
        </w:rPr>
      </w:pPr>
      <w:r>
        <w:rPr>
          <w:rFonts w:ascii="Arial" w:cs="Arial" w:eastAsia="Arial" w:hAnsi="Arial"/>
          <w:sz w:val="18"/>
          <w:szCs w:val="18"/>
          <w:color w:val="auto"/>
        </w:rPr>
        <w:t>In light of the COVID-19 pandemic and subsequent market volatility, we are focused on managing our expenses and preserving financial flexibility. In order to do this effectively, now more than ever it is critical that we have shares available for compensation purposes.</w:t>
      </w:r>
    </w:p>
    <w:p>
      <w:pPr>
        <w:spacing w:after="0" w:line="183" w:lineRule="exact"/>
        <w:rPr>
          <w:rFonts w:ascii="Arial" w:cs="Arial" w:eastAsia="Arial" w:hAnsi="Arial"/>
          <w:sz w:val="18"/>
          <w:szCs w:val="18"/>
          <w:color w:val="0A26FF"/>
        </w:rPr>
      </w:pPr>
    </w:p>
    <w:p>
      <w:pPr>
        <w:ind w:left="1540" w:right="140" w:hanging="331"/>
        <w:spacing w:after="0" w:line="277" w:lineRule="auto"/>
        <w:tabs>
          <w:tab w:leader="none" w:pos="1540" w:val="left"/>
        </w:tabs>
        <w:numPr>
          <w:ilvl w:val="1"/>
          <w:numId w:val="79"/>
        </w:numPr>
        <w:rPr>
          <w:rFonts w:ascii="Arial" w:cs="Arial" w:eastAsia="Arial" w:hAnsi="Arial"/>
          <w:sz w:val="18"/>
          <w:szCs w:val="18"/>
          <w:color w:val="0A26FF"/>
        </w:rPr>
      </w:pPr>
      <w:r>
        <w:rPr>
          <w:rFonts w:ascii="Arial" w:cs="Arial" w:eastAsia="Arial" w:hAnsi="Arial"/>
          <w:sz w:val="18"/>
          <w:szCs w:val="18"/>
          <w:color w:val="auto"/>
        </w:rPr>
        <w:t>Your approval of the Amended 2016 Plan is necessary in order for us to continue our practice of granting equity compensation as a significant portion of our annual bonus payments.</w:t>
      </w:r>
    </w:p>
    <w:p>
      <w:pPr>
        <w:spacing w:after="0" w:line="71" w:lineRule="exact"/>
        <w:rPr>
          <w:rFonts w:ascii="Arial" w:cs="Arial" w:eastAsia="Arial" w:hAnsi="Arial"/>
          <w:sz w:val="18"/>
          <w:szCs w:val="18"/>
          <w:color w:val="0A26FF"/>
        </w:rPr>
      </w:pPr>
    </w:p>
    <w:p>
      <w:pPr>
        <w:ind w:left="1100" w:right="240" w:hanging="876"/>
        <w:spacing w:after="0" w:line="303" w:lineRule="auto"/>
        <w:tabs>
          <w:tab w:leader="none" w:pos="1100" w:val="left"/>
        </w:tabs>
        <w:numPr>
          <w:ilvl w:val="0"/>
          <w:numId w:val="79"/>
        </w:numPr>
        <w:rPr>
          <w:rFonts w:ascii="MS PGothic" w:cs="MS PGothic" w:eastAsia="MS PGothic" w:hAnsi="MS PGothic"/>
          <w:sz w:val="16"/>
          <w:szCs w:val="16"/>
          <w:color w:val="auto"/>
        </w:rPr>
      </w:pPr>
      <w:r>
        <w:rPr>
          <w:rFonts w:ascii="Arial" w:cs="Arial" w:eastAsia="Arial" w:hAnsi="Arial"/>
          <w:sz w:val="16"/>
          <w:szCs w:val="16"/>
          <w:b w:val="1"/>
          <w:bCs w:val="1"/>
          <w:color w:val="0A26FF"/>
        </w:rPr>
        <w:t>Prudent Use of Equity Compensation</w:t>
      </w:r>
      <w:r>
        <w:rPr>
          <w:rFonts w:ascii="Arial" w:cs="Arial" w:eastAsia="Arial" w:hAnsi="Arial"/>
          <w:sz w:val="16"/>
          <w:szCs w:val="16"/>
          <w:b w:val="1"/>
          <w:bCs w:val="1"/>
          <w:color w:val="000000"/>
        </w:rPr>
        <w:t>.</w:t>
      </w:r>
      <w:r>
        <w:rPr>
          <w:rFonts w:ascii="Arial" w:cs="Arial" w:eastAsia="Arial" w:hAnsi="Arial"/>
          <w:sz w:val="16"/>
          <w:szCs w:val="16"/>
          <w:b w:val="1"/>
          <w:bCs w:val="1"/>
          <w:color w:val="0A26FF"/>
        </w:rPr>
        <w:t xml:space="preserve"> </w:t>
      </w:r>
      <w:r>
        <w:rPr>
          <w:rFonts w:ascii="Arial" w:cs="Arial" w:eastAsia="Arial" w:hAnsi="Arial"/>
          <w:sz w:val="16"/>
          <w:szCs w:val="16"/>
          <w:color w:val="000000"/>
        </w:rPr>
        <w:t>We have a track record of prudent equity compensation management. We anticipated our 2016</w:t>
      </w:r>
      <w:r>
        <w:rPr>
          <w:rFonts w:ascii="Arial" w:cs="Arial" w:eastAsia="Arial" w:hAnsi="Arial"/>
          <w:sz w:val="16"/>
          <w:szCs w:val="16"/>
          <w:b w:val="1"/>
          <w:bCs w:val="1"/>
          <w:color w:val="0A26FF"/>
        </w:rPr>
        <w:t xml:space="preserve"> </w:t>
      </w:r>
      <w:r>
        <w:rPr>
          <w:rFonts w:ascii="Arial" w:cs="Arial" w:eastAsia="Arial" w:hAnsi="Arial"/>
          <w:sz w:val="16"/>
          <w:szCs w:val="16"/>
          <w:color w:val="000000"/>
        </w:rPr>
        <w:t>proposal would provide sufficient shares to last two to three years. Due to our prudent management of equity awards, our strong performance and our use of deferred cash compensation, the shares authorized in 2016 have lasted nearly four years. Given the current environment, the additional shares we are requesting are critical to our current need for financial flexibility and liquidity.</w:t>
      </w:r>
    </w:p>
    <w:p>
      <w:pPr>
        <w:spacing w:after="0" w:line="154" w:lineRule="exact"/>
        <w:rPr>
          <w:rFonts w:ascii="MS PGothic" w:cs="MS PGothic" w:eastAsia="MS PGothic" w:hAnsi="MS PGothic"/>
          <w:sz w:val="16"/>
          <w:szCs w:val="16"/>
          <w:color w:val="auto"/>
        </w:rPr>
      </w:pPr>
    </w:p>
    <w:p>
      <w:pPr>
        <w:ind w:left="1100" w:right="120"/>
        <w:spacing w:after="0" w:line="286" w:lineRule="auto"/>
        <w:rPr>
          <w:rFonts w:ascii="MS PGothic" w:cs="MS PGothic" w:eastAsia="MS PGothic" w:hAnsi="MS PGothic"/>
          <w:sz w:val="16"/>
          <w:szCs w:val="16"/>
          <w:color w:val="auto"/>
        </w:rPr>
      </w:pPr>
      <w:r>
        <w:rPr>
          <w:rFonts w:ascii="Arial" w:cs="Arial" w:eastAsia="Arial" w:hAnsi="Arial"/>
          <w:sz w:val="17"/>
          <w:szCs w:val="17"/>
          <w:color w:val="auto"/>
        </w:rPr>
        <w:t>Shareholder Approval of the Amended 2016 Plan will enable us to continue to broadly grant equity compensation as a significant portion of our annual incentive compensation payments. Doing so allows us to incentivize all employees who receive equity, not just senior employees and NEOs, which will align the interests of our employees with those of our shareholders.</w:t>
      </w:r>
    </w:p>
    <w:p>
      <w:pPr>
        <w:spacing w:after="0" w:line="165" w:lineRule="exact"/>
        <w:rPr>
          <w:rFonts w:ascii="MS PGothic" w:cs="MS PGothic" w:eastAsia="MS PGothic" w:hAnsi="MS PGothic"/>
          <w:sz w:val="16"/>
          <w:szCs w:val="16"/>
          <w:color w:val="auto"/>
        </w:rPr>
      </w:pPr>
    </w:p>
    <w:p>
      <w:pPr>
        <w:ind w:left="1540" w:right="40" w:hanging="331"/>
        <w:spacing w:after="0" w:line="263" w:lineRule="auto"/>
        <w:tabs>
          <w:tab w:leader="none" w:pos="1540" w:val="left"/>
        </w:tabs>
        <w:numPr>
          <w:ilvl w:val="1"/>
          <w:numId w:val="79"/>
        </w:numPr>
        <w:rPr>
          <w:rFonts w:ascii="Arial" w:cs="Arial" w:eastAsia="Arial" w:hAnsi="Arial"/>
          <w:sz w:val="18"/>
          <w:szCs w:val="18"/>
          <w:color w:val="0A26FF"/>
        </w:rPr>
      </w:pPr>
      <w:r>
        <w:rPr>
          <w:rFonts w:ascii="Arial" w:cs="Arial" w:eastAsia="Arial" w:hAnsi="Arial"/>
          <w:sz w:val="18"/>
          <w:szCs w:val="18"/>
          <w:color w:val="auto"/>
        </w:rPr>
        <w:t>We are a human capital business and our revenue and profits are tied to the number, quality and performance of our people. Our ability to pay appropriate levels of compensation in the form of equity incentives has enabled us to recruit, retain and motivate high-caliber talent dedicated to our long term growth and success.</w:t>
      </w:r>
    </w:p>
    <w:p>
      <w:pPr>
        <w:spacing w:after="0" w:line="183" w:lineRule="exact"/>
        <w:rPr>
          <w:rFonts w:ascii="Arial" w:cs="Arial" w:eastAsia="Arial" w:hAnsi="Arial"/>
          <w:sz w:val="18"/>
          <w:szCs w:val="18"/>
          <w:color w:val="0A26FF"/>
        </w:rPr>
      </w:pPr>
    </w:p>
    <w:p>
      <w:pPr>
        <w:ind w:left="1540" w:hanging="331"/>
        <w:spacing w:after="0" w:line="311" w:lineRule="auto"/>
        <w:tabs>
          <w:tab w:leader="none" w:pos="1540" w:val="left"/>
        </w:tabs>
        <w:numPr>
          <w:ilvl w:val="1"/>
          <w:numId w:val="79"/>
        </w:numPr>
        <w:rPr>
          <w:rFonts w:ascii="Arial" w:cs="Arial" w:eastAsia="Arial" w:hAnsi="Arial"/>
          <w:sz w:val="16"/>
          <w:szCs w:val="16"/>
          <w:color w:val="0A26FF"/>
        </w:rPr>
      </w:pPr>
      <w:r>
        <w:rPr>
          <w:rFonts w:ascii="Arial" w:cs="Arial" w:eastAsia="Arial" w:hAnsi="Arial"/>
          <w:sz w:val="16"/>
          <w:szCs w:val="16"/>
          <w:color w:val="auto"/>
        </w:rPr>
        <w:t>Broad-based equity compensation is a critical tool for aligning the interests of our employees with those of our shareholders at all levels – not just at senior levels. Over the last three years, more than 90% of equity awards were granted to employees other than our executive officers and more than 90% were granted to employees with direct revenue-generating and client-facing responsibilities.</w:t>
      </w:r>
    </w:p>
    <w:p>
      <w:pPr>
        <w:spacing w:after="0" w:line="148" w:lineRule="exact"/>
        <w:rPr>
          <w:rFonts w:ascii="Arial" w:cs="Arial" w:eastAsia="Arial" w:hAnsi="Arial"/>
          <w:sz w:val="16"/>
          <w:szCs w:val="16"/>
          <w:color w:val="0A26FF"/>
        </w:rPr>
      </w:pPr>
    </w:p>
    <w:p>
      <w:pPr>
        <w:ind w:left="1540" w:right="240" w:hanging="331"/>
        <w:spacing w:after="0" w:line="311" w:lineRule="auto"/>
        <w:tabs>
          <w:tab w:leader="none" w:pos="1540" w:val="left"/>
        </w:tabs>
        <w:numPr>
          <w:ilvl w:val="1"/>
          <w:numId w:val="79"/>
        </w:numPr>
        <w:rPr>
          <w:rFonts w:ascii="Arial" w:cs="Arial" w:eastAsia="Arial" w:hAnsi="Arial"/>
          <w:sz w:val="16"/>
          <w:szCs w:val="16"/>
          <w:color w:val="0A26FF"/>
        </w:rPr>
      </w:pPr>
      <w:r>
        <w:rPr>
          <w:rFonts w:ascii="Arial" w:cs="Arial" w:eastAsia="Arial" w:hAnsi="Arial"/>
          <w:sz w:val="16"/>
          <w:szCs w:val="16"/>
          <w:color w:val="auto"/>
        </w:rPr>
        <w:t>We are prudent in our use of equity compensation. Equity-based incentive awards are generally delivered as a component of an employee’s annual incentive compensation. Such equity awards are generally based on services already performed and, for award recipients who have client facing responsibilities, revenue already generated, rather than for future potential performance.</w:t>
      </w:r>
    </w:p>
    <w:p>
      <w:pPr>
        <w:spacing w:after="0" w:line="148" w:lineRule="exact"/>
        <w:rPr>
          <w:rFonts w:ascii="Arial" w:cs="Arial" w:eastAsia="Arial" w:hAnsi="Arial"/>
          <w:sz w:val="16"/>
          <w:szCs w:val="16"/>
          <w:color w:val="0A26FF"/>
        </w:rPr>
      </w:pPr>
    </w:p>
    <w:p>
      <w:pPr>
        <w:ind w:left="1540" w:right="100" w:hanging="331"/>
        <w:spacing w:after="0" w:line="257" w:lineRule="auto"/>
        <w:tabs>
          <w:tab w:leader="none" w:pos="1540" w:val="left"/>
        </w:tabs>
        <w:numPr>
          <w:ilvl w:val="1"/>
          <w:numId w:val="79"/>
        </w:numPr>
        <w:rPr>
          <w:rFonts w:ascii="Arial" w:cs="Arial" w:eastAsia="Arial" w:hAnsi="Arial"/>
          <w:sz w:val="18"/>
          <w:szCs w:val="18"/>
          <w:color w:val="0A26FF"/>
        </w:rPr>
      </w:pPr>
      <w:r>
        <w:rPr>
          <w:rFonts w:ascii="Arial" w:cs="Arial" w:eastAsia="Arial" w:hAnsi="Arial"/>
          <w:sz w:val="18"/>
          <w:szCs w:val="18"/>
          <w:color w:val="auto"/>
        </w:rPr>
        <w:t>By making equity a significant portion of our employees’ incentive compensation, we are linking our employees’ incentive compensation to the performance of the Company (as well as individual performance). Equity compensation also encourages our employees to behave like shareholders, and therefore motivates them to conduct business in a manner that produces superior return over the long term. We grant equity awards in the form of RSUs that expose the award recipient to both the downside and upside of our stock performance.</w:t>
      </w:r>
    </w:p>
    <w:p>
      <w:pPr>
        <w:spacing w:after="0" w:line="183" w:lineRule="exact"/>
        <w:rPr>
          <w:rFonts w:ascii="Arial" w:cs="Arial" w:eastAsia="Arial" w:hAnsi="Arial"/>
          <w:sz w:val="18"/>
          <w:szCs w:val="18"/>
          <w:color w:val="0A26FF"/>
        </w:rPr>
      </w:pPr>
    </w:p>
    <w:p>
      <w:pPr>
        <w:ind w:left="1100" w:hanging="876"/>
        <w:spacing w:after="0"/>
        <w:tabs>
          <w:tab w:leader="none" w:pos="1100" w:val="left"/>
        </w:tabs>
        <w:numPr>
          <w:ilvl w:val="0"/>
          <w:numId w:val="79"/>
        </w:numPr>
        <w:rPr>
          <w:rFonts w:ascii="MS PGothic" w:cs="MS PGothic" w:eastAsia="MS PGothic" w:hAnsi="MS PGothic"/>
          <w:sz w:val="16"/>
          <w:szCs w:val="16"/>
          <w:color w:val="auto"/>
        </w:rPr>
      </w:pPr>
      <w:r>
        <w:rPr>
          <w:rFonts w:ascii="Arial" w:cs="Arial" w:eastAsia="Arial" w:hAnsi="Arial"/>
          <w:sz w:val="16"/>
          <w:szCs w:val="16"/>
          <w:b w:val="1"/>
          <w:bCs w:val="1"/>
          <w:color w:val="0A26FF"/>
        </w:rPr>
        <w:t xml:space="preserve">Strong Track Record of Mitigating Dilution. </w:t>
      </w:r>
      <w:r>
        <w:rPr>
          <w:rFonts w:ascii="Arial" w:cs="Arial" w:eastAsia="Arial" w:hAnsi="Arial"/>
          <w:sz w:val="16"/>
          <w:szCs w:val="16"/>
          <w:color w:val="000000"/>
        </w:rPr>
        <w:t>We have consistently offset the potential dilutive effect of equity incentive compensation.</w:t>
      </w:r>
    </w:p>
    <w:p>
      <w:pPr>
        <w:spacing w:after="0" w:line="157" w:lineRule="exact"/>
        <w:rPr>
          <w:rFonts w:ascii="MS PGothic" w:cs="MS PGothic" w:eastAsia="MS PGothic" w:hAnsi="MS PGothic"/>
          <w:sz w:val="16"/>
          <w:szCs w:val="16"/>
          <w:color w:val="auto"/>
        </w:rPr>
      </w:pPr>
    </w:p>
    <w:p>
      <w:pPr>
        <w:ind w:left="1540" w:right="120" w:hanging="331"/>
        <w:spacing w:after="0" w:line="263" w:lineRule="auto"/>
        <w:tabs>
          <w:tab w:leader="none" w:pos="1540" w:val="left"/>
        </w:tabs>
        <w:numPr>
          <w:ilvl w:val="1"/>
          <w:numId w:val="79"/>
        </w:numPr>
        <w:rPr>
          <w:rFonts w:ascii="Arial" w:cs="Arial" w:eastAsia="Arial" w:hAnsi="Arial"/>
          <w:sz w:val="18"/>
          <w:szCs w:val="18"/>
          <w:color w:val="0A26FF"/>
        </w:rPr>
      </w:pPr>
      <w:r>
        <w:rPr>
          <w:rFonts w:ascii="Arial" w:cs="Arial" w:eastAsia="Arial" w:hAnsi="Arial"/>
          <w:sz w:val="18"/>
          <w:szCs w:val="18"/>
          <w:color w:val="auto"/>
        </w:rPr>
        <w:t>Our practice of repurchasing in a fiscal year at least as many shares as we expect to ultimately issue as a result of deferred year-end equity incentive compensation granted in respect of the prior year has protected our shareholders by essentially neutralizing any dilutive effect of such awards.</w:t>
      </w:r>
    </w:p>
    <w:p>
      <w:pPr>
        <w:spacing w:after="0" w:line="183" w:lineRule="exact"/>
        <w:rPr>
          <w:rFonts w:ascii="Arial" w:cs="Arial" w:eastAsia="Arial" w:hAnsi="Arial"/>
          <w:sz w:val="18"/>
          <w:szCs w:val="18"/>
          <w:color w:val="0A26FF"/>
        </w:rPr>
      </w:pPr>
    </w:p>
    <w:p>
      <w:pPr>
        <w:jc w:val="both"/>
        <w:ind w:left="1540" w:right="420" w:hanging="331"/>
        <w:spacing w:after="0" w:line="263" w:lineRule="auto"/>
        <w:tabs>
          <w:tab w:leader="none" w:pos="1540" w:val="left"/>
        </w:tabs>
        <w:numPr>
          <w:ilvl w:val="1"/>
          <w:numId w:val="79"/>
        </w:numPr>
        <w:rPr>
          <w:rFonts w:ascii="Arial" w:cs="Arial" w:eastAsia="Arial" w:hAnsi="Arial"/>
          <w:sz w:val="18"/>
          <w:szCs w:val="18"/>
          <w:color w:val="0A26FF"/>
        </w:rPr>
      </w:pPr>
      <w:r>
        <w:rPr>
          <w:rFonts w:ascii="Arial" w:cs="Arial" w:eastAsia="Arial" w:hAnsi="Arial"/>
          <w:sz w:val="18"/>
          <w:szCs w:val="18"/>
          <w:color w:val="auto"/>
        </w:rPr>
        <w:t>In 2016, we committed to work to (1) offset the dilutive effect of our annual bonus equity awards through our stock repurchase program and (2) maintain our average three-year Net Burn Rate, at or below 1.5%, subject in each case to our ability to reserve necessary flexibility to address unusual circumstances.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hanging="331"/>
        <w:spacing w:after="0" w:line="308" w:lineRule="auto"/>
        <w:tabs>
          <w:tab w:leader="none" w:pos="1540" w:val="left"/>
        </w:tabs>
        <w:numPr>
          <w:ilvl w:val="0"/>
          <w:numId w:val="80"/>
        </w:numPr>
        <w:rPr>
          <w:rFonts w:ascii="Arial" w:cs="Arial" w:eastAsia="Arial" w:hAnsi="Arial"/>
          <w:sz w:val="17"/>
          <w:szCs w:val="17"/>
          <w:color w:val="0A26FF"/>
        </w:rPr>
      </w:pPr>
      <w:r>
        <w:rPr>
          <w:rFonts w:ascii="Arial" w:cs="Arial" w:eastAsia="Arial" w:hAnsi="Arial"/>
          <w:sz w:val="17"/>
          <w:szCs w:val="17"/>
          <w:color w:val="auto"/>
        </w:rPr>
        <w:t>As indicated in the chart below, we exceeded our 2016 commitment, achieving an average negative Net Burn Rate, with repurchases offsetting not just bonus equity awards over the 2017-2019 period, but also new hire and replacement awards.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0016FF"/>
              </w:rPr>
              <w:t>3-Year</w:t>
            </w:r>
          </w:p>
        </w:tc>
      </w:tr>
      <w:tr>
        <w:trPr>
          <w:trHeight w:val="234"/>
        </w:trPr>
        <w:tc>
          <w:tcPr>
            <w:tcW w:w="5980" w:type="dxa"/>
            <w:vAlign w:val="bottom"/>
          </w:tcPr>
          <w:p>
            <w:pPr>
              <w:ind w:left="40"/>
              <w:spacing w:after="0"/>
              <w:rPr>
                <w:sz w:val="20"/>
                <w:szCs w:val="20"/>
                <w:color w:val="auto"/>
              </w:rPr>
            </w:pPr>
            <w:r>
              <w:rPr>
                <w:rFonts w:ascii="Arial" w:cs="Arial" w:eastAsia="Arial" w:hAnsi="Arial"/>
                <w:sz w:val="18"/>
                <w:szCs w:val="18"/>
                <w:b w:val="1"/>
                <w:bCs w:val="1"/>
                <w:i w:val="1"/>
                <w:iCs w:val="1"/>
                <w:color w:val="0016FF"/>
              </w:rPr>
              <w:t>(Shares in 000’s)</w:t>
            </w: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0016FF"/>
              </w:rPr>
              <w:t>2017</w:t>
            </w:r>
          </w:p>
        </w:tc>
        <w:tc>
          <w:tcPr>
            <w:tcW w:w="5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0016FF"/>
              </w:rPr>
              <w:t>2018</w:t>
            </w:r>
          </w:p>
        </w:tc>
        <w:tc>
          <w:tcPr>
            <w:tcW w:w="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0016FF"/>
              </w:rPr>
              <w:t>2019</w:t>
            </w:r>
          </w:p>
        </w:tc>
        <w:tc>
          <w:tcPr>
            <w:tcW w:w="5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0016FF"/>
              </w:rPr>
              <w:t>Average</w:t>
            </w:r>
          </w:p>
        </w:tc>
      </w:tr>
      <w:tr>
        <w:trPr>
          <w:trHeight w:val="196"/>
        </w:trPr>
        <w:tc>
          <w:tcPr>
            <w:tcW w:w="59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RSU Grants:</w:t>
            </w: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Bonus Grants (1)</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2,480</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1,776</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2,422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2,226</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Hire Grants</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333</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Forfeitures</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(154)</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216"/>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RSU Grants</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2,659</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1,898</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2,477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2,345</w:t>
            </w:r>
          </w:p>
        </w:tc>
      </w:tr>
      <w:tr>
        <w:trPr>
          <w:trHeight w:val="216"/>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Shares Repurchased</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3,916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3,106</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3,399</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3,474</w:t>
            </w:r>
          </w:p>
        </w:tc>
      </w:tr>
      <w:tr>
        <w:trPr>
          <w:trHeight w:val="216"/>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Grants – Net RSU Grants less Shares Repurchased</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(1,257)</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(1,208)</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w:t>
            </w:r>
          </w:p>
        </w:tc>
      </w:tr>
      <w:tr>
        <w:trPr>
          <w:trHeight w:val="216"/>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Percentage of Net RSU Grants repurchased</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147%</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164%</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137%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198"/>
        </w:trPr>
        <w:tc>
          <w:tcPr>
            <w:tcW w:w="598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Weighted Common Shares Outstanding and Vested Evercore LP</w:t>
            </w: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Partnership Units</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45,058</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45,455</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45,222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45,245</w:t>
            </w:r>
          </w:p>
        </w:tc>
      </w:tr>
      <w:tr>
        <w:trPr>
          <w:trHeight w:val="198"/>
        </w:trPr>
        <w:tc>
          <w:tcPr>
            <w:tcW w:w="5980" w:type="dxa"/>
            <w:vAlign w:val="bottom"/>
          </w:tcPr>
          <w:p>
            <w:pPr>
              <w:ind w:left="40"/>
              <w:spacing w:after="0" w:line="198" w:lineRule="exact"/>
              <w:rPr>
                <w:sz w:val="20"/>
                <w:szCs w:val="20"/>
                <w:color w:val="auto"/>
              </w:rPr>
            </w:pPr>
            <w:r>
              <w:rPr>
                <w:rFonts w:ascii="Arial" w:cs="Arial" w:eastAsia="Arial" w:hAnsi="Arial"/>
                <w:sz w:val="18"/>
                <w:szCs w:val="18"/>
                <w:b w:val="1"/>
                <w:bCs w:val="1"/>
                <w:color w:val="auto"/>
                <w:w w:val="95"/>
              </w:rPr>
              <w:t>Burn Rate (Taking into account Weighted Common Shares Outstanding,</w:t>
            </w: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Vested Evercore LP Partnership Units and Forfeitures)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Burn Rate (Also taking into account share repurchases)</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13284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50" w:lineRule="exact"/>
        <w:rPr>
          <w:sz w:val="20"/>
          <w:szCs w:val="20"/>
          <w:color w:val="auto"/>
        </w:rPr>
      </w:pPr>
    </w:p>
    <w:p>
      <w:pPr>
        <w:ind w:left="660" w:hanging="436"/>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amount reflects RSU grants only, and does not include the deferred cash compensation awards granted to certain senior employees.</w:t>
      </w:r>
    </w:p>
    <w:p>
      <w:pPr>
        <w:spacing w:after="0" w:line="113" w:lineRule="exact"/>
        <w:rPr>
          <w:rFonts w:ascii="Arial" w:cs="Arial" w:eastAsia="Arial" w:hAnsi="Arial"/>
          <w:sz w:val="14"/>
          <w:szCs w:val="14"/>
          <w:color w:val="auto"/>
        </w:rPr>
      </w:pPr>
    </w:p>
    <w:p>
      <w:pPr>
        <w:ind w:left="1540" w:right="260" w:hanging="331"/>
        <w:spacing w:after="0" w:line="255" w:lineRule="auto"/>
        <w:tabs>
          <w:tab w:leader="none" w:pos="1540" w:val="left"/>
        </w:tabs>
        <w:numPr>
          <w:ilvl w:val="1"/>
          <w:numId w:val="81"/>
        </w:numPr>
        <w:rPr>
          <w:rFonts w:ascii="Arial" w:cs="Arial" w:eastAsia="Arial" w:hAnsi="Arial"/>
          <w:sz w:val="18"/>
          <w:szCs w:val="18"/>
          <w:color w:val="0A26FF"/>
        </w:rPr>
      </w:pPr>
      <w:r>
        <w:rPr>
          <w:rFonts w:ascii="Arial" w:cs="Arial" w:eastAsia="Arial" w:hAnsi="Arial"/>
          <w:sz w:val="18"/>
          <w:szCs w:val="18"/>
          <w:color w:val="auto"/>
        </w:rPr>
        <w:t>This year we have already substantially offset the dilutive effect of our annual bonus equity awards granted in 2020 through our share repurchase program. We remain committed to carefully managing our shares by offsetting the dilutive effect of such awards through share repurchases, including through net settlement of outstanding awards, subject to our future earnings and our need to maintain a strong liquidity position and reserve the necessary flexibility to address unusual circumstances that may arise. For this reason, we are requesting only six million additional shares, which we believe will be necessary to manage and grow our business moving forward.</w:t>
      </w:r>
    </w:p>
    <w:p>
      <w:pPr>
        <w:spacing w:after="0" w:line="188" w:lineRule="exact"/>
        <w:rPr>
          <w:sz w:val="20"/>
          <w:szCs w:val="20"/>
          <w:color w:val="auto"/>
        </w:rPr>
      </w:pPr>
    </w:p>
    <w:p>
      <w:pPr>
        <w:ind w:left="660" w:hanging="436"/>
        <w:spacing w:after="0" w:line="314" w:lineRule="auto"/>
        <w:tabs>
          <w:tab w:leader="none" w:pos="660" w:val="left"/>
        </w:tabs>
        <w:numPr>
          <w:ilvl w:val="0"/>
          <w:numId w:val="82"/>
        </w:numPr>
        <w:rPr>
          <w:rFonts w:ascii="MS PGothic" w:cs="MS PGothic" w:eastAsia="MS PGothic" w:hAnsi="MS PGothic"/>
          <w:sz w:val="16"/>
          <w:szCs w:val="16"/>
          <w:color w:val="auto"/>
        </w:rPr>
      </w:pPr>
      <w:r>
        <w:rPr>
          <w:rFonts w:ascii="Arial" w:cs="Arial" w:eastAsia="Arial" w:hAnsi="Arial"/>
          <w:sz w:val="16"/>
          <w:szCs w:val="16"/>
          <w:b w:val="1"/>
          <w:bCs w:val="1"/>
          <w:color w:val="0A26FF"/>
        </w:rPr>
        <w:t xml:space="preserve">No “One Size Fits All” Approach. </w:t>
      </w:r>
      <w:r>
        <w:rPr>
          <w:rFonts w:ascii="Arial" w:cs="Arial" w:eastAsia="Arial" w:hAnsi="Arial"/>
          <w:sz w:val="16"/>
          <w:szCs w:val="16"/>
          <w:color w:val="000000"/>
        </w:rPr>
        <w:t>In our conversations with shareholders, they have expressed support for our prudent use of share repurchases</w:t>
      </w:r>
      <w:r>
        <w:rPr>
          <w:rFonts w:ascii="Arial" w:cs="Arial" w:eastAsia="Arial" w:hAnsi="Arial"/>
          <w:sz w:val="16"/>
          <w:szCs w:val="16"/>
          <w:b w:val="1"/>
          <w:bCs w:val="1"/>
          <w:color w:val="0A26FF"/>
        </w:rPr>
        <w:t xml:space="preserve"> </w:t>
      </w:r>
      <w:r>
        <w:rPr>
          <w:rFonts w:ascii="Arial" w:cs="Arial" w:eastAsia="Arial" w:hAnsi="Arial"/>
          <w:sz w:val="16"/>
          <w:szCs w:val="16"/>
          <w:color w:val="000000"/>
        </w:rPr>
        <w:t>to offset the dilutive effect of equity awards as well as the need to use equity compensation in our business. Many of our shareholders recognize the need to make exceptions to “one size fits all” metrics often used by proxy advisory firms when circumstances warrant.</w:t>
      </w:r>
    </w:p>
    <w:p>
      <w:pPr>
        <w:spacing w:after="0" w:line="145" w:lineRule="exact"/>
        <w:rPr>
          <w:rFonts w:ascii="MS PGothic" w:cs="MS PGothic" w:eastAsia="MS PGothic" w:hAnsi="MS PGothic"/>
          <w:sz w:val="16"/>
          <w:szCs w:val="16"/>
          <w:color w:val="auto"/>
        </w:rPr>
      </w:pPr>
    </w:p>
    <w:p>
      <w:pPr>
        <w:ind w:left="1540" w:right="80" w:hanging="331"/>
        <w:spacing w:after="0" w:line="308" w:lineRule="auto"/>
        <w:tabs>
          <w:tab w:leader="none" w:pos="1540" w:val="left"/>
        </w:tabs>
        <w:numPr>
          <w:ilvl w:val="1"/>
          <w:numId w:val="82"/>
        </w:numPr>
        <w:rPr>
          <w:rFonts w:ascii="Arial" w:cs="Arial" w:eastAsia="Arial" w:hAnsi="Arial"/>
          <w:sz w:val="17"/>
          <w:szCs w:val="17"/>
          <w:color w:val="0A26FF"/>
        </w:rPr>
      </w:pPr>
      <w:r>
        <w:rPr>
          <w:rFonts w:ascii="Arial" w:cs="Arial" w:eastAsia="Arial" w:hAnsi="Arial"/>
          <w:sz w:val="17"/>
          <w:szCs w:val="17"/>
          <w:color w:val="auto"/>
        </w:rPr>
        <w:t>In our case, the primary drivers of this recognition stem from an understanding that we are a human-capital business that uses equity much differently than more financial or other capital intensive firms, including several of our financial services peers.</w:t>
      </w:r>
    </w:p>
    <w:p>
      <w:pPr>
        <w:spacing w:after="0" w:line="146" w:lineRule="exact"/>
        <w:rPr>
          <w:rFonts w:ascii="Arial" w:cs="Arial" w:eastAsia="Arial" w:hAnsi="Arial"/>
          <w:sz w:val="17"/>
          <w:szCs w:val="17"/>
          <w:color w:val="0A26FF"/>
        </w:rPr>
      </w:pPr>
    </w:p>
    <w:p>
      <w:pPr>
        <w:ind w:left="1540" w:right="140" w:hanging="331"/>
        <w:spacing w:after="0" w:line="311" w:lineRule="auto"/>
        <w:tabs>
          <w:tab w:leader="none" w:pos="1540" w:val="left"/>
        </w:tabs>
        <w:numPr>
          <w:ilvl w:val="1"/>
          <w:numId w:val="82"/>
        </w:numPr>
        <w:rPr>
          <w:rFonts w:ascii="Arial" w:cs="Arial" w:eastAsia="Arial" w:hAnsi="Arial"/>
          <w:sz w:val="16"/>
          <w:szCs w:val="16"/>
          <w:color w:val="0A26FF"/>
        </w:rPr>
      </w:pPr>
      <w:r>
        <w:rPr>
          <w:rFonts w:ascii="Arial" w:cs="Arial" w:eastAsia="Arial" w:hAnsi="Arial"/>
          <w:sz w:val="16"/>
          <w:szCs w:val="16"/>
          <w:color w:val="auto"/>
        </w:rPr>
        <w:t>Our equity compensation practices, including our burn rate and dilution calculations, are often compared to peers with significantly different compensation systems, cost structures and businesses. Many of these peers produce significant revenue from their other capital and are therefore less inclined to issue the same relative volume of equity compensation as us.</w:t>
      </w:r>
    </w:p>
    <w:p>
      <w:pPr>
        <w:spacing w:after="0" w:line="148" w:lineRule="exact"/>
        <w:rPr>
          <w:rFonts w:ascii="Arial" w:cs="Arial" w:eastAsia="Arial" w:hAnsi="Arial"/>
          <w:sz w:val="16"/>
          <w:szCs w:val="16"/>
          <w:color w:val="0A26FF"/>
        </w:rPr>
      </w:pPr>
    </w:p>
    <w:p>
      <w:pPr>
        <w:ind w:left="1540" w:right="60" w:hanging="331"/>
        <w:spacing w:after="0" w:line="259" w:lineRule="auto"/>
        <w:tabs>
          <w:tab w:leader="none" w:pos="1540" w:val="left"/>
        </w:tabs>
        <w:numPr>
          <w:ilvl w:val="1"/>
          <w:numId w:val="82"/>
        </w:numPr>
        <w:rPr>
          <w:rFonts w:ascii="Arial" w:cs="Arial" w:eastAsia="Arial" w:hAnsi="Arial"/>
          <w:sz w:val="18"/>
          <w:szCs w:val="18"/>
          <w:color w:val="0A26FF"/>
        </w:rPr>
      </w:pPr>
      <w:r>
        <w:rPr>
          <w:rFonts w:ascii="Arial" w:cs="Arial" w:eastAsia="Arial" w:hAnsi="Arial"/>
          <w:sz w:val="18"/>
          <w:szCs w:val="18"/>
          <w:color w:val="auto"/>
        </w:rPr>
        <w:t>By comparison, our revenues are produced predominantly by our revenue generating employees, and we effectively use our equity compensation program as a form of capital expenditure to invest in, retain and grow the business through our people. As a result, we rely to a greater extent on our equity compensation programs than many of our peer firms and use our equity plan to compensate a broader base of employees.</w:t>
      </w:r>
    </w:p>
    <w:p>
      <w:pPr>
        <w:spacing w:after="0" w:line="186" w:lineRule="exact"/>
        <w:rPr>
          <w:rFonts w:ascii="Arial" w:cs="Arial" w:eastAsia="Arial" w:hAnsi="Arial"/>
          <w:sz w:val="18"/>
          <w:szCs w:val="18"/>
          <w:color w:val="0A26FF"/>
        </w:rPr>
      </w:pPr>
    </w:p>
    <w:p>
      <w:pPr>
        <w:ind w:left="1540" w:right="40" w:hanging="331"/>
        <w:spacing w:after="0" w:line="263" w:lineRule="auto"/>
        <w:tabs>
          <w:tab w:leader="none" w:pos="1540" w:val="left"/>
        </w:tabs>
        <w:numPr>
          <w:ilvl w:val="1"/>
          <w:numId w:val="82"/>
        </w:numPr>
        <w:rPr>
          <w:rFonts w:ascii="Arial" w:cs="Arial" w:eastAsia="Arial" w:hAnsi="Arial"/>
          <w:sz w:val="18"/>
          <w:szCs w:val="18"/>
          <w:color w:val="0A26FF"/>
        </w:rPr>
      </w:pPr>
      <w:r>
        <w:rPr>
          <w:rFonts w:ascii="Arial" w:cs="Arial" w:eastAsia="Arial" w:hAnsi="Arial"/>
          <w:sz w:val="18"/>
          <w:szCs w:val="18"/>
          <w:color w:val="auto"/>
        </w:rPr>
        <w:t>In light of these distinctions, our shareholders have appreciated and endorsed our use of stock repurchases to mitigate the dilutive effect of equity compensation issuances and have understood the benefits of using equity-based compensation rather than cash-based compensation.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hanging="331"/>
        <w:spacing w:after="0" w:line="257" w:lineRule="auto"/>
        <w:tabs>
          <w:tab w:leader="none" w:pos="1540" w:val="left"/>
        </w:tabs>
        <w:numPr>
          <w:ilvl w:val="0"/>
          <w:numId w:val="83"/>
        </w:numPr>
        <w:rPr>
          <w:rFonts w:ascii="Arial" w:cs="Arial" w:eastAsia="Arial" w:hAnsi="Arial"/>
          <w:sz w:val="18"/>
          <w:szCs w:val="18"/>
          <w:color w:val="0A26FF"/>
        </w:rPr>
      </w:pPr>
      <w:r>
        <w:rPr>
          <w:rFonts w:ascii="Arial" w:cs="Arial" w:eastAsia="Arial" w:hAnsi="Arial"/>
          <w:sz w:val="18"/>
          <w:szCs w:val="18"/>
          <w:color w:val="auto"/>
        </w:rPr>
        <w:t>We believe that our careful use of equity compensation is further evidenced by an analysis of our 2017-2019 average stock compensation expense as a percentage of various three-year average operating measures, as compared to those of our IAF public peers who disclose equity-only compensation expense. Our public IAF peers share our human capital-intensive business model, and are a better comparison for equity compensation program purposes than certain members of our broader financial services peer group, which generate revenue from financial or other capital.</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5760" w:type="dxa"/>
            <w:vAlign w:val="bottom"/>
            <w:tcBorders>
              <w:bottom w:val="single" w:sz="8" w:color="auto"/>
            </w:tcBorders>
            <w:gridSpan w:val="4"/>
          </w:tcPr>
          <w:p>
            <w:pPr>
              <w:ind w:left="1400"/>
              <w:spacing w:after="0"/>
              <w:rPr>
                <w:sz w:val="20"/>
                <w:szCs w:val="20"/>
                <w:color w:val="auto"/>
              </w:rPr>
            </w:pPr>
            <w:r>
              <w:rPr>
                <w:rFonts w:ascii="Arial" w:cs="Arial" w:eastAsia="Arial" w:hAnsi="Arial"/>
                <w:sz w:val="18"/>
                <w:szCs w:val="18"/>
                <w:b w:val="1"/>
                <w:bCs w:val="1"/>
                <w:color w:val="0016FF"/>
                <w:w w:val="90"/>
              </w:rPr>
              <w:t>Three-Year Average of Stock Compensation Expense (1)</w:t>
            </w:r>
          </w:p>
        </w:tc>
        <w:tc>
          <w:tcPr>
            <w:tcW w:w="1340" w:type="dxa"/>
            <w:vAlign w:val="bottom"/>
            <w:tcBorders>
              <w:bottom w:val="single" w:sz="8" w:color="auto"/>
            </w:tcBorders>
          </w:tcPr>
          <w:p>
            <w:pPr>
              <w:spacing w:after="0"/>
              <w:rPr>
                <w:sz w:val="20"/>
                <w:szCs w:val="20"/>
                <w:color w:val="auto"/>
              </w:rPr>
            </w:pPr>
          </w:p>
        </w:tc>
      </w:tr>
      <w:tr>
        <w:trPr>
          <w:trHeight w:val="191"/>
        </w:trPr>
        <w:tc>
          <w:tcPr>
            <w:tcW w:w="3920" w:type="dxa"/>
            <w:vAlign w:val="bottom"/>
          </w:tcPr>
          <w:p>
            <w:pPr>
              <w:spacing w:after="0"/>
              <w:rPr>
                <w:sz w:val="16"/>
                <w:szCs w:val="16"/>
                <w:color w:val="auto"/>
              </w:rPr>
            </w:pPr>
          </w:p>
        </w:tc>
        <w:tc>
          <w:tcPr>
            <w:tcW w:w="2900" w:type="dxa"/>
            <w:vAlign w:val="bottom"/>
            <w:gridSpan w:val="2"/>
          </w:tcPr>
          <w:p>
            <w:pPr>
              <w:jc w:val="center"/>
              <w:ind w:right="880"/>
              <w:spacing w:after="0" w:line="191" w:lineRule="exact"/>
              <w:rPr>
                <w:sz w:val="20"/>
                <w:szCs w:val="20"/>
                <w:color w:val="auto"/>
              </w:rPr>
            </w:pPr>
            <w:r>
              <w:rPr>
                <w:rFonts w:ascii="Arial" w:cs="Arial" w:eastAsia="Arial" w:hAnsi="Arial"/>
                <w:sz w:val="18"/>
                <w:szCs w:val="18"/>
                <w:b w:val="1"/>
                <w:bCs w:val="1"/>
                <w:color w:val="0016FF"/>
                <w:w w:val="90"/>
              </w:rPr>
              <w:t>Three-Year Average Stock</w:t>
            </w:r>
          </w:p>
        </w:tc>
        <w:tc>
          <w:tcPr>
            <w:tcW w:w="2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29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0016FF"/>
                <w:w w:val="87"/>
              </w:rPr>
              <w:t>Compensation Expense</w:t>
            </w:r>
          </w:p>
        </w:tc>
        <w:tc>
          <w:tcPr>
            <w:tcW w:w="28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0016FF"/>
                <w:w w:val="90"/>
              </w:rPr>
              <w:t>As a Percentage of GAAP Net</w:t>
            </w:r>
          </w:p>
        </w:tc>
        <w:tc>
          <w:tcPr>
            <w:tcW w:w="134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29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0016FF"/>
                <w:w w:val="93"/>
              </w:rPr>
              <w:t>(in 000’s) (2)</w:t>
            </w:r>
          </w:p>
        </w:tc>
        <w:tc>
          <w:tcPr>
            <w:tcW w:w="28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0016FF"/>
                <w:w w:val="88"/>
              </w:rPr>
              <w:t>Revenue (3)</w:t>
            </w:r>
          </w:p>
        </w:tc>
        <w:tc>
          <w:tcPr>
            <w:tcW w:w="1340" w:type="dxa"/>
            <w:vAlign w:val="bottom"/>
          </w:tcPr>
          <w:p>
            <w:pPr>
              <w:spacing w:after="0"/>
              <w:rPr>
                <w:sz w:val="20"/>
                <w:szCs w:val="20"/>
                <w:color w:val="auto"/>
              </w:rPr>
            </w:pPr>
            <w:r>
              <w:rPr>
                <w:rFonts w:ascii="Arial" w:cs="Arial" w:eastAsia="Arial" w:hAnsi="Arial"/>
                <w:sz w:val="18"/>
                <w:szCs w:val="18"/>
                <w:b w:val="1"/>
                <w:bCs w:val="1"/>
                <w:color w:val="0016FF"/>
                <w:w w:val="90"/>
              </w:rPr>
              <w:t>Per Employee (4)</w:t>
            </w:r>
          </w:p>
        </w:tc>
      </w:tr>
      <w:tr>
        <w:trPr>
          <w:trHeight w:val="209"/>
        </w:trPr>
        <w:tc>
          <w:tcPr>
            <w:tcW w:w="392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Evercore</w:t>
            </w: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180,527</w:t>
            </w:r>
          </w:p>
        </w:tc>
        <w:tc>
          <w:tcPr>
            <w:tcW w:w="8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5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$104,150</w:t>
            </w:r>
          </w:p>
        </w:tc>
      </w:tr>
      <w:tr>
        <w:trPr>
          <w:trHeight w:val="216"/>
        </w:trPr>
        <w:tc>
          <w:tcPr>
            <w:tcW w:w="3920" w:type="dxa"/>
            <w:vAlign w:val="bottom"/>
          </w:tcPr>
          <w:p>
            <w:pPr>
              <w:ind w:left="1000"/>
              <w:spacing w:after="0"/>
              <w:rPr>
                <w:sz w:val="20"/>
                <w:szCs w:val="20"/>
                <w:color w:val="auto"/>
              </w:rPr>
            </w:pPr>
            <w:r>
              <w:rPr>
                <w:rFonts w:ascii="Arial" w:cs="Arial" w:eastAsia="Arial" w:hAnsi="Arial"/>
                <w:sz w:val="18"/>
                <w:szCs w:val="18"/>
                <w:b w:val="1"/>
                <w:bCs w:val="1"/>
                <w:color w:val="auto"/>
              </w:rPr>
              <w:t>Lazard</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264,607</w:t>
            </w:r>
          </w:p>
        </w:tc>
        <w:tc>
          <w:tcPr>
            <w:tcW w:w="8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5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$89,627</w:t>
            </w:r>
          </w:p>
        </w:tc>
      </w:tr>
      <w:tr>
        <w:trPr>
          <w:trHeight w:val="216"/>
        </w:trPr>
        <w:tc>
          <w:tcPr>
            <w:tcW w:w="39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Moelis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111,668</w:t>
            </w:r>
          </w:p>
        </w:tc>
        <w:tc>
          <w:tcPr>
            <w:tcW w:w="8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$135,575</w:t>
            </w:r>
          </w:p>
        </w:tc>
      </w:tr>
      <w:tr>
        <w:trPr>
          <w:trHeight w:val="216"/>
        </w:trPr>
        <w:tc>
          <w:tcPr>
            <w:tcW w:w="3920" w:type="dxa"/>
            <w:vAlign w:val="bottom"/>
          </w:tcPr>
          <w:p>
            <w:pPr>
              <w:ind w:left="1000"/>
              <w:spacing w:after="0"/>
              <w:rPr>
                <w:sz w:val="20"/>
                <w:szCs w:val="20"/>
                <w:color w:val="auto"/>
              </w:rPr>
            </w:pPr>
            <w:r>
              <w:rPr>
                <w:rFonts w:ascii="Arial" w:cs="Arial" w:eastAsia="Arial" w:hAnsi="Arial"/>
                <w:sz w:val="18"/>
                <w:szCs w:val="18"/>
                <w:b w:val="1"/>
                <w:bCs w:val="1"/>
                <w:color w:val="auto"/>
              </w:rPr>
              <w:t>PJT Partners</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115,162</w:t>
            </w:r>
          </w:p>
        </w:tc>
        <w:tc>
          <w:tcPr>
            <w:tcW w:w="8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19%</w:t>
            </w:r>
          </w:p>
        </w:tc>
        <w:tc>
          <w:tcPr>
            <w:tcW w:w="5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$198,442</w:t>
            </w:r>
          </w:p>
        </w:tc>
      </w:tr>
      <w:tr>
        <w:trPr>
          <w:trHeight w:val="216"/>
        </w:trPr>
        <w:tc>
          <w:tcPr>
            <w:tcW w:w="39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Greenhill</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41,467</w:t>
            </w:r>
          </w:p>
        </w:tc>
        <w:tc>
          <w:tcPr>
            <w:tcW w:w="8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13970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50" w:lineRule="exact"/>
        <w:rPr>
          <w:sz w:val="20"/>
          <w:szCs w:val="20"/>
          <w:color w:val="auto"/>
        </w:rPr>
      </w:pPr>
    </w:p>
    <w:p>
      <w:pPr>
        <w:ind w:left="660" w:right="140" w:hanging="436"/>
        <w:spacing w:after="0" w:line="253"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Information regarding stock compensation expense as a percentage of various operating measures of Houlihan Lokey has not been included, as Houlihan Lokey does not separately report equity only compensation expense.</w:t>
      </w:r>
    </w:p>
    <w:p>
      <w:pPr>
        <w:spacing w:after="0" w:line="38" w:lineRule="exact"/>
        <w:rPr>
          <w:rFonts w:ascii="Arial" w:cs="Arial" w:eastAsia="Arial" w:hAnsi="Arial"/>
          <w:sz w:val="14"/>
          <w:szCs w:val="14"/>
          <w:color w:val="auto"/>
        </w:rPr>
      </w:pPr>
    </w:p>
    <w:p>
      <w:pPr>
        <w:ind w:left="660" w:hanging="436"/>
        <w:spacing w:after="0"/>
        <w:tabs>
          <w:tab w:leader="none" w:pos="6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Calculated as the three-year average of the equity only compensation expense for the fiscal years ended December 31, 2017, 2018 and 2019 as reported in the company’s 2019 10-K.</w:t>
      </w:r>
    </w:p>
    <w:p>
      <w:pPr>
        <w:spacing w:after="0" w:line="91" w:lineRule="exact"/>
        <w:rPr>
          <w:rFonts w:ascii="Arial" w:cs="Arial" w:eastAsia="Arial" w:hAnsi="Arial"/>
          <w:sz w:val="12"/>
          <w:szCs w:val="12"/>
          <w:color w:val="auto"/>
        </w:rPr>
      </w:pPr>
    </w:p>
    <w:p>
      <w:pPr>
        <w:ind w:left="660" w:right="160" w:hanging="436"/>
        <w:spacing w:after="0" w:line="253"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Calculated as (i) Three-Year Average Stock Compensation Expense, divided by (ii) the three-year average GAAP Net Revenue for the fiscal years ended December 31, 2017, 2018 and 2019 as reported in the company’s 2019 10-K.</w:t>
      </w:r>
    </w:p>
    <w:p>
      <w:pPr>
        <w:spacing w:after="0" w:line="38" w:lineRule="exact"/>
        <w:rPr>
          <w:rFonts w:ascii="Arial" w:cs="Arial" w:eastAsia="Arial" w:hAnsi="Arial"/>
          <w:sz w:val="14"/>
          <w:szCs w:val="14"/>
          <w:color w:val="auto"/>
        </w:rPr>
      </w:pPr>
    </w:p>
    <w:p>
      <w:pPr>
        <w:ind w:left="660" w:right="280" w:hanging="436"/>
        <w:spacing w:after="0" w:line="253"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Calculated as (i) Three-Year Average Stock Compensation Expense, divided by (ii) the three year-average of the employee headcount disclosed in the company’s 2017, 2018 and 2019 10-K.</w:t>
      </w:r>
    </w:p>
    <w:p>
      <w:pPr>
        <w:spacing w:after="0" w:line="42" w:lineRule="exact"/>
        <w:rPr>
          <w:rFonts w:ascii="Arial" w:cs="Arial" w:eastAsia="Arial" w:hAnsi="Arial"/>
          <w:sz w:val="14"/>
          <w:szCs w:val="14"/>
          <w:color w:val="auto"/>
        </w:rPr>
      </w:pPr>
    </w:p>
    <w:p>
      <w:pPr>
        <w:ind w:left="1540" w:right="60" w:hanging="331"/>
        <w:spacing w:after="0" w:line="275" w:lineRule="auto"/>
        <w:tabs>
          <w:tab w:leader="none" w:pos="15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 addition, while we do not believe that traditional burn rate calculations that are calculated without taking into account repurchases are a meaningful metric for us on a standalone basis, these metrics do demonstrate that our equity compensation practices are in line with our most direct IAF public peers. While our direct IAF peers each have differing equity compensation programs and organizational structures that limit direct comparisons, the below chart illustrates a comparison of equity compensation practices using publicly available information consistent with the methodology described below.</w:t>
      </w:r>
    </w:p>
    <w:p>
      <w:pPr>
        <w:spacing w:after="0" w:line="17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0016FF"/>
                <w:w w:val="91"/>
              </w:rPr>
              <w:t>Three-Year Average Burn Rate</w:t>
            </w:r>
          </w:p>
        </w:tc>
      </w:tr>
      <w:tr>
        <w:trPr>
          <w:trHeight w:val="234"/>
        </w:trPr>
        <w:tc>
          <w:tcPr>
            <w:tcW w:w="284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016FF"/>
                <w:w w:val="89"/>
              </w:rPr>
              <w:t>(Not Adjusted for Repurchases) (1)</w:t>
            </w:r>
          </w:p>
        </w:tc>
      </w:tr>
      <w:tr>
        <w:trPr>
          <w:trHeight w:val="209"/>
        </w:trPr>
        <w:tc>
          <w:tcPr>
            <w:tcW w:w="28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Evercore</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5.2%</w:t>
            </w:r>
          </w:p>
        </w:tc>
      </w:tr>
      <w:tr>
        <w:trPr>
          <w:trHeight w:val="216"/>
        </w:trPr>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Lazard</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4.9%</w:t>
            </w:r>
          </w:p>
        </w:tc>
      </w:tr>
      <w:tr>
        <w:trPr>
          <w:trHeight w:val="216"/>
        </w:trPr>
        <w:tc>
          <w:tcPr>
            <w:tcW w:w="28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Moelis</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w:t>
            </w:r>
          </w:p>
        </w:tc>
      </w:tr>
      <w:tr>
        <w:trPr>
          <w:trHeight w:val="216"/>
        </w:trPr>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PJT Partners</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5.3%</w:t>
            </w:r>
          </w:p>
        </w:tc>
      </w:tr>
      <w:tr>
        <w:trPr>
          <w:trHeight w:val="216"/>
        </w:trPr>
        <w:tc>
          <w:tcPr>
            <w:tcW w:w="28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Greenhill</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w:t>
            </w:r>
          </w:p>
        </w:tc>
      </w:tr>
      <w:tr>
        <w:trPr>
          <w:trHeight w:val="234"/>
        </w:trPr>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Houlihan Lokey</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74295</wp:posOffset>
            </wp:positionV>
            <wp:extent cx="13970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32" w:lineRule="exact"/>
        <w:rPr>
          <w:sz w:val="20"/>
          <w:szCs w:val="20"/>
          <w:color w:val="auto"/>
        </w:rPr>
      </w:pPr>
    </w:p>
    <w:p>
      <w:pPr>
        <w:ind w:left="660" w:right="40" w:hanging="436"/>
        <w:spacing w:after="0" w:line="238"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Calculated as (i) the three-year average number of non-performance based equity grants over the three most recently reported fiscal years (less forfeitures), as reported in the company’s 10-K for such years, divided by (ii) the three-year average weighted average basic shares of common stock outstanding </w:t>
      </w:r>
      <w:r>
        <w:rPr>
          <w:rFonts w:ascii="Arial" w:cs="Arial" w:eastAsia="Arial" w:hAnsi="Arial"/>
          <w:sz w:val="14"/>
          <w:szCs w:val="14"/>
          <w:i w:val="1"/>
          <w:iCs w:val="1"/>
          <w:color w:val="auto"/>
        </w:rPr>
        <w:t>plus</w:t>
      </w:r>
      <w:r>
        <w:rPr>
          <w:rFonts w:ascii="Arial" w:cs="Arial" w:eastAsia="Arial" w:hAnsi="Arial"/>
          <w:sz w:val="14"/>
          <w:szCs w:val="14"/>
          <w:color w:val="auto"/>
        </w:rPr>
        <w:t xml:space="preserve"> vested equity interests convertible into shares of common stock (</w:t>
      </w:r>
      <w:r>
        <w:rPr>
          <w:rFonts w:ascii="Arial" w:cs="Arial" w:eastAsia="Arial" w:hAnsi="Arial"/>
          <w:sz w:val="14"/>
          <w:szCs w:val="14"/>
          <w:i w:val="1"/>
          <w:iCs w:val="1"/>
          <w:color w:val="auto"/>
        </w:rPr>
        <w:t>e.g.</w:t>
      </w:r>
      <w:r>
        <w:rPr>
          <w:rFonts w:ascii="Arial" w:cs="Arial" w:eastAsia="Arial" w:hAnsi="Arial"/>
          <w:sz w:val="14"/>
          <w:szCs w:val="14"/>
          <w:color w:val="auto"/>
        </w:rPr>
        <w:t>, partnership units) over the three most recently reported fiscal years, as reported in the company’s 10-K for such years.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880" w:right="80" w:hanging="656"/>
        <w:spacing w:after="0" w:line="266" w:lineRule="auto"/>
        <w:tabs>
          <w:tab w:leader="none" w:pos="880" w:val="left"/>
        </w:tabs>
        <w:numPr>
          <w:ilvl w:val="0"/>
          <w:numId w:val="86"/>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Impact on Compensation Practices. </w:t>
      </w:r>
      <w:r>
        <w:rPr>
          <w:rFonts w:ascii="Arial" w:cs="Arial" w:eastAsia="Arial" w:hAnsi="Arial"/>
          <w:sz w:val="18"/>
          <w:szCs w:val="18"/>
          <w:color w:val="000000"/>
        </w:rPr>
        <w:t>A reduction in equity-based compensation would require a corresponding increase in alternative forms</w:t>
      </w:r>
      <w:r>
        <w:rPr>
          <w:rFonts w:ascii="Arial" w:cs="Arial" w:eastAsia="Arial" w:hAnsi="Arial"/>
          <w:sz w:val="18"/>
          <w:szCs w:val="18"/>
          <w:b w:val="1"/>
          <w:bCs w:val="1"/>
          <w:color w:val="0A26FF"/>
        </w:rPr>
        <w:t xml:space="preserve"> </w:t>
      </w:r>
      <w:r>
        <w:rPr>
          <w:rFonts w:ascii="Arial" w:cs="Arial" w:eastAsia="Arial" w:hAnsi="Arial"/>
          <w:sz w:val="18"/>
          <w:szCs w:val="18"/>
          <w:color w:val="000000"/>
        </w:rPr>
        <w:t>of deferred compensation to remain competitive for talent, which we believe would reduce the alignment of interests between our employees and shareholders.</w:t>
      </w:r>
    </w:p>
    <w:p>
      <w:pPr>
        <w:spacing w:after="0" w:line="179" w:lineRule="exact"/>
        <w:rPr>
          <w:rFonts w:ascii="MS PGothic" w:cs="MS PGothic" w:eastAsia="MS PGothic" w:hAnsi="MS PGothic"/>
          <w:sz w:val="18"/>
          <w:szCs w:val="18"/>
          <w:color w:val="auto"/>
        </w:rPr>
      </w:pPr>
    </w:p>
    <w:p>
      <w:pPr>
        <w:ind w:left="1540" w:right="200" w:hanging="331"/>
        <w:spacing w:after="0" w:line="342" w:lineRule="auto"/>
        <w:tabs>
          <w:tab w:leader="none" w:pos="15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We seek to deliver compensation at competitive levels and at levels correlated with employee productivity. A material reduction in compensation would impair our ability to recruit, retain and motivate key employees, and would therefore threaten our business.</w:t>
      </w:r>
    </w:p>
    <w:p>
      <w:pPr>
        <w:spacing w:after="0" w:line="123" w:lineRule="exact"/>
        <w:rPr>
          <w:rFonts w:ascii="Arial" w:cs="Arial" w:eastAsia="Arial" w:hAnsi="Arial"/>
          <w:sz w:val="16"/>
          <w:szCs w:val="16"/>
          <w:color w:val="auto"/>
        </w:rPr>
      </w:pPr>
    </w:p>
    <w:p>
      <w:pPr>
        <w:ind w:left="1540" w:right="120" w:hanging="331"/>
        <w:spacing w:after="0" w:line="311" w:lineRule="auto"/>
        <w:tabs>
          <w:tab w:leader="none" w:pos="15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the Amended 2016 Plan is not approved, we would likely be compelled to alter our compensation program to increase alternative forms of deferred compensation in order to remain competitive for talent, which we do not believe would be as effective or in the best interests of our shareholders, and would reduce the alignment of interests between our employees and shareholders.</w:t>
      </w:r>
    </w:p>
    <w:p>
      <w:pPr>
        <w:spacing w:after="0" w:line="148" w:lineRule="exact"/>
        <w:rPr>
          <w:rFonts w:ascii="Arial" w:cs="Arial" w:eastAsia="Arial" w:hAnsi="Arial"/>
          <w:sz w:val="16"/>
          <w:szCs w:val="16"/>
          <w:color w:val="auto"/>
        </w:rPr>
      </w:pPr>
    </w:p>
    <w:p>
      <w:pPr>
        <w:jc w:val="both"/>
        <w:ind w:left="1540" w:hanging="331"/>
        <w:spacing w:after="0" w:line="263" w:lineRule="auto"/>
        <w:tabs>
          <w:tab w:leader="none" w:pos="1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We believe the substitution of deferred cash for equity would reduce the alignment of interests between employees and shareholders, as well as our flexibility to use cash for other purposes. This could be particularly challenging in the current environment as we try to preserve our cash.</w:t>
      </w:r>
    </w:p>
    <w:p>
      <w:pPr>
        <w:spacing w:after="0" w:line="179" w:lineRule="exact"/>
        <w:rPr>
          <w:rFonts w:ascii="Arial" w:cs="Arial" w:eastAsia="Arial" w:hAnsi="Arial"/>
          <w:sz w:val="18"/>
          <w:szCs w:val="18"/>
          <w:color w:val="auto"/>
        </w:rPr>
      </w:pPr>
    </w:p>
    <w:p>
      <w:pPr>
        <w:ind w:left="880" w:right="440" w:hanging="656"/>
        <w:spacing w:after="0" w:line="282" w:lineRule="auto"/>
        <w:tabs>
          <w:tab w:leader="none" w:pos="880" w:val="left"/>
        </w:tabs>
        <w:numPr>
          <w:ilvl w:val="0"/>
          <w:numId w:val="86"/>
        </w:numPr>
        <w:rPr>
          <w:rFonts w:ascii="MS PGothic" w:cs="MS PGothic" w:eastAsia="MS PGothic" w:hAnsi="MS PGothic"/>
          <w:sz w:val="18"/>
          <w:szCs w:val="18"/>
          <w:color w:val="auto"/>
        </w:rPr>
      </w:pPr>
      <w:r>
        <w:rPr>
          <w:rFonts w:ascii="Arial" w:cs="Arial" w:eastAsia="Arial" w:hAnsi="Arial"/>
          <w:sz w:val="18"/>
          <w:szCs w:val="18"/>
          <w:b w:val="1"/>
          <w:bCs w:val="1"/>
          <w:color w:val="0A26FF"/>
        </w:rPr>
        <w:t xml:space="preserve">Support of Executive Compensation Program. </w:t>
      </w:r>
      <w:r>
        <w:rPr>
          <w:rFonts w:ascii="Arial" w:cs="Arial" w:eastAsia="Arial" w:hAnsi="Arial"/>
          <w:sz w:val="18"/>
          <w:szCs w:val="18"/>
          <w:color w:val="000000"/>
        </w:rPr>
        <w:t>Our executive compensation and performance are well aligned and have been strongly</w:t>
      </w:r>
      <w:r>
        <w:rPr>
          <w:rFonts w:ascii="Arial" w:cs="Arial" w:eastAsia="Arial" w:hAnsi="Arial"/>
          <w:sz w:val="18"/>
          <w:szCs w:val="18"/>
          <w:b w:val="1"/>
          <w:bCs w:val="1"/>
          <w:color w:val="0A26FF"/>
        </w:rPr>
        <w:t xml:space="preserve"> </w:t>
      </w:r>
      <w:r>
        <w:rPr>
          <w:rFonts w:ascii="Arial" w:cs="Arial" w:eastAsia="Arial" w:hAnsi="Arial"/>
          <w:sz w:val="18"/>
          <w:szCs w:val="18"/>
          <w:color w:val="000000"/>
        </w:rPr>
        <w:t>supported by our shareholders.</w:t>
      </w:r>
    </w:p>
    <w:p>
      <w:pPr>
        <w:spacing w:after="0" w:line="165" w:lineRule="exact"/>
        <w:rPr>
          <w:rFonts w:ascii="MS PGothic" w:cs="MS PGothic" w:eastAsia="MS PGothic" w:hAnsi="MS PGothic"/>
          <w:sz w:val="18"/>
          <w:szCs w:val="18"/>
          <w:color w:val="auto"/>
        </w:rPr>
      </w:pPr>
    </w:p>
    <w:p>
      <w:pPr>
        <w:ind w:left="1540" w:right="200" w:hanging="331"/>
        <w:spacing w:after="0" w:line="308" w:lineRule="auto"/>
        <w:tabs>
          <w:tab w:leader="none" w:pos="154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As further discussed under “Compensation Discussion and Analysis – 2019 Say on Pay Vote,” in 2019, our shareholders approved our executive compensation program with over 92% of voted shares cast in favor of the say on pay proposal.</w:t>
      </w:r>
    </w:p>
    <w:p>
      <w:pPr>
        <w:spacing w:after="0" w:line="146" w:lineRule="exact"/>
        <w:rPr>
          <w:rFonts w:ascii="Arial" w:cs="Arial" w:eastAsia="Arial" w:hAnsi="Arial"/>
          <w:sz w:val="17"/>
          <w:szCs w:val="17"/>
          <w:color w:val="auto"/>
        </w:rPr>
      </w:pPr>
    </w:p>
    <w:p>
      <w:pPr>
        <w:ind w:left="1540" w:right="40" w:hanging="331"/>
        <w:spacing w:after="0" w:line="263" w:lineRule="auto"/>
        <w:tabs>
          <w:tab w:leader="none" w:pos="1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We believe these results inherently reflect strong shareholder support for our pay-for-performance linkage and the associated compensation structure. Our overall compensation program has not changed in any material way since our 2019 say on pay vote and has remained constant in its implementation methodology and fundamental philosophy.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FFFFF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2" w:lineRule="exact"/>
        <w:rPr>
          <w:sz w:val="20"/>
          <w:szCs w:val="20"/>
          <w:color w:val="auto"/>
        </w:rPr>
      </w:pPr>
    </w:p>
    <w:p>
      <w:pPr>
        <w:ind w:left="220" w:right="40" w:firstLine="1745"/>
        <w:spacing w:after="0" w:line="274" w:lineRule="auto"/>
        <w:rPr>
          <w:sz w:val="20"/>
          <w:szCs w:val="20"/>
          <w:color w:val="auto"/>
        </w:rPr>
      </w:pPr>
      <w:r>
        <w:rPr>
          <w:rFonts w:ascii="Arial" w:cs="Arial" w:eastAsia="Arial" w:hAnsi="Arial"/>
          <w:sz w:val="17"/>
          <w:szCs w:val="17"/>
          <w:color w:val="auto"/>
        </w:rPr>
        <w:t>The Amended 2016 Plan amends and restates the 2016 Plan and is substantively identical to the 2016 Plan, except for the increase of six million authorized shares.</w:t>
      </w:r>
    </w:p>
    <w:p>
      <w:pPr>
        <w:spacing w:after="0" w:line="134" w:lineRule="exact"/>
        <w:rPr>
          <w:sz w:val="20"/>
          <w:szCs w:val="20"/>
          <w:color w:val="auto"/>
        </w:rPr>
      </w:pPr>
    </w:p>
    <w:p>
      <w:pPr>
        <w:ind w:left="220" w:right="60" w:firstLine="1745"/>
        <w:spacing w:after="0" w:line="274" w:lineRule="auto"/>
        <w:rPr>
          <w:sz w:val="20"/>
          <w:szCs w:val="20"/>
          <w:color w:val="auto"/>
        </w:rPr>
      </w:pPr>
      <w:r>
        <w:rPr>
          <w:rFonts w:ascii="Arial" w:cs="Arial" w:eastAsia="Arial" w:hAnsi="Arial"/>
          <w:sz w:val="16"/>
          <w:szCs w:val="16"/>
          <w:color w:val="auto"/>
        </w:rPr>
        <w:t>Our shareholders last approved an increase to the number of shares authorized under the 2016 Plan in 2016, when we had approximately 15,000 shares remaining available for issue. At the time we told you that our equity compensation was a critical element of our growth strategy and that we needed 10 million additional shares to grow over the following two to three years. Since that time we have prudently and efficiently managed the resulting 10 million share pool under the 2016 Plan. Exceeding our stated expectations, these shares lasted nearly four years. After granting the Company’s annual equity awards in February 2020, we only had about one million shares remaining under the 2016 Plan.</w:t>
      </w:r>
    </w:p>
    <w:p>
      <w:pPr>
        <w:spacing w:after="0" w:line="138" w:lineRule="exact"/>
        <w:rPr>
          <w:sz w:val="20"/>
          <w:szCs w:val="20"/>
          <w:color w:val="auto"/>
        </w:rPr>
      </w:pPr>
    </w:p>
    <w:p>
      <w:pPr>
        <w:jc w:val="both"/>
        <w:ind w:left="220" w:firstLine="1745"/>
        <w:spacing w:after="0" w:line="302" w:lineRule="auto"/>
        <w:rPr>
          <w:sz w:val="20"/>
          <w:szCs w:val="20"/>
          <w:color w:val="auto"/>
        </w:rPr>
      </w:pPr>
      <w:r>
        <w:rPr>
          <w:rFonts w:ascii="Arial" w:cs="Arial" w:eastAsia="Arial" w:hAnsi="Arial"/>
          <w:sz w:val="15"/>
          <w:szCs w:val="15"/>
          <w:color w:val="auto"/>
        </w:rPr>
        <w:t>Without your approval of this proposal, we will not be able to grant the equity awards over the next approximately two years that we believe are necessary to support annual incentive bonuses and new hire grants that are necessary to operate the business in the current environment. In light of recent global events the COVID-19 pandemic and subsequent market volatility, we are focused on managing our expenses and conserving our cash. In order to do this effectively, and to preserve flexibility for operating the business, now more than ever it is critical that we have an appropriate number of shares.</w:t>
      </w:r>
    </w:p>
    <w:p>
      <w:pPr>
        <w:spacing w:after="0" w:line="131" w:lineRule="exact"/>
        <w:rPr>
          <w:sz w:val="20"/>
          <w:szCs w:val="20"/>
          <w:color w:val="auto"/>
        </w:rPr>
      </w:pPr>
    </w:p>
    <w:p>
      <w:pPr>
        <w:ind w:left="220" w:right="40" w:firstLine="1745"/>
        <w:spacing w:after="0" w:line="272" w:lineRule="auto"/>
        <w:rPr>
          <w:sz w:val="20"/>
          <w:szCs w:val="20"/>
          <w:color w:val="auto"/>
        </w:rPr>
      </w:pPr>
      <w:r>
        <w:rPr>
          <w:rFonts w:ascii="Arial" w:cs="Arial" w:eastAsia="Arial" w:hAnsi="Arial"/>
          <w:sz w:val="16"/>
          <w:szCs w:val="16"/>
          <w:color w:val="auto"/>
        </w:rPr>
        <w:t>The nature of our business requires us to continue attracting and incentivizing our high-performing, revenue-generating and client-facing employees. We are a human-capital business and our revenue is closely tied to the number and quality of our people. While capital intensive companies may engage in lending or investing activities, or invest directly in plants, technology and research and development to grow their businesses, we invest in people, our main source of revenue generation. As a result, we use equity more extensively than many of our peers. By using equity, we have been able to invest in the most talented and revenue-generating employees and to have cash available for share buybacks, historically offsetting the dilution of these equity awards and permitting us to return more than 100% of our earnings to our shareholders.</w:t>
      </w:r>
    </w:p>
    <w:p>
      <w:pPr>
        <w:spacing w:after="0" w:line="139" w:lineRule="exact"/>
        <w:rPr>
          <w:sz w:val="20"/>
          <w:szCs w:val="20"/>
          <w:color w:val="auto"/>
        </w:rPr>
      </w:pPr>
    </w:p>
    <w:p>
      <w:pPr>
        <w:ind w:left="220" w:right="20" w:firstLine="1745"/>
        <w:spacing w:after="0" w:line="272" w:lineRule="auto"/>
        <w:rPr>
          <w:sz w:val="20"/>
          <w:szCs w:val="20"/>
          <w:color w:val="auto"/>
        </w:rPr>
      </w:pPr>
      <w:r>
        <w:rPr>
          <w:rFonts w:ascii="Arial" w:cs="Arial" w:eastAsia="Arial" w:hAnsi="Arial"/>
          <w:sz w:val="16"/>
          <w:szCs w:val="16"/>
          <w:color w:val="auto"/>
        </w:rPr>
        <w:t>As discussed above, the number of awards we have granted under the 2016 Plan as a percentage of our shares of common stock outstanding, taking into account vested Evercore LP Class A and Class E partnership units and forfeited shares, which is commonly referred to as the “</w:t>
      </w:r>
      <w:r>
        <w:rPr>
          <w:rFonts w:ascii="Arial" w:cs="Arial" w:eastAsia="Arial" w:hAnsi="Arial"/>
          <w:sz w:val="16"/>
          <w:szCs w:val="16"/>
          <w:i w:val="1"/>
          <w:iCs w:val="1"/>
          <w:color w:val="auto"/>
        </w:rPr>
        <w:t>burn</w:t>
      </w:r>
      <w:r>
        <w:rPr>
          <w:rFonts w:ascii="Arial" w:cs="Arial" w:eastAsia="Arial" w:hAnsi="Arial"/>
          <w:sz w:val="16"/>
          <w:szCs w:val="16"/>
          <w:color w:val="auto"/>
        </w:rPr>
        <w:t xml:space="preserve"> </w:t>
      </w:r>
      <w:r>
        <w:rPr>
          <w:rFonts w:ascii="Arial" w:cs="Arial" w:eastAsia="Arial" w:hAnsi="Arial"/>
          <w:sz w:val="16"/>
          <w:szCs w:val="16"/>
          <w:i w:val="1"/>
          <w:iCs w:val="1"/>
          <w:color w:val="auto"/>
        </w:rPr>
        <w:t>rate</w:t>
      </w:r>
      <w:r>
        <w:rPr>
          <w:rFonts w:ascii="Arial" w:cs="Arial" w:eastAsia="Arial" w:hAnsi="Arial"/>
          <w:sz w:val="16"/>
          <w:szCs w:val="16"/>
          <w:color w:val="auto"/>
        </w:rPr>
        <w:t>,” averaged 5.2% over the last three years if calculated without taking into consideration share repurchases, but our Net Burn Rate, calculated to reflect the</w:t>
      </w:r>
      <w:r>
        <w:rPr>
          <w:rFonts w:ascii="Arial" w:cs="Arial" w:eastAsia="Arial" w:hAnsi="Arial"/>
          <w:sz w:val="16"/>
          <w:szCs w:val="16"/>
          <w:i w:val="1"/>
          <w:iCs w:val="1"/>
          <w:color w:val="auto"/>
        </w:rPr>
        <w:t xml:space="preserve"> </w:t>
      </w:r>
      <w:r>
        <w:rPr>
          <w:rFonts w:ascii="Arial" w:cs="Arial" w:eastAsia="Arial" w:hAnsi="Arial"/>
          <w:sz w:val="16"/>
          <w:szCs w:val="16"/>
          <w:color w:val="auto"/>
        </w:rPr>
        <w:t>offsetting effect of repurchases, was negative. We believe that calculating the burn rate without regard to repurchases does not provide a meaningful metric for our company in light of our business model and the factors that differentiate our firm. Further, irrespective of burn rate calculations, we grant share-based bonuses because we believe it to be in the shareholders’ best interests to have employees equity-aligned.</w:t>
      </w:r>
    </w:p>
    <w:p>
      <w:pPr>
        <w:spacing w:after="0" w:line="139" w:lineRule="exact"/>
        <w:rPr>
          <w:sz w:val="20"/>
          <w:szCs w:val="20"/>
          <w:color w:val="auto"/>
        </w:rPr>
      </w:pPr>
    </w:p>
    <w:p>
      <w:pPr>
        <w:ind w:left="220" w:right="60" w:firstLine="1745"/>
        <w:spacing w:after="0" w:line="270" w:lineRule="auto"/>
        <w:rPr>
          <w:sz w:val="20"/>
          <w:szCs w:val="20"/>
          <w:color w:val="auto"/>
        </w:rPr>
      </w:pPr>
      <w:r>
        <w:rPr>
          <w:rFonts w:ascii="Arial" w:cs="Arial" w:eastAsia="Arial" w:hAnsi="Arial"/>
          <w:sz w:val="16"/>
          <w:szCs w:val="16"/>
          <w:color w:val="auto"/>
        </w:rPr>
        <w:t>In connection with the request for additional shares in 2016, we committed to working to (1) offset the dilutive effect of our annual bonus equity awards over the next three years through our stock repurchase program and (2) maintain our average three-year Net Burn Rate at or below 1.5%, subject in each case to our ability to reserve the necessary flexibility to address unusual circumstances. This year we have already substantially offset the dilutive effect of our annual bonus equity awards granted in 2020 through our share repurchase program. We remain committed to carefully managing our shares by offsetting the dilutive effect of such awards through share repurchases, including through net settlement of outstanding awards, subject to our future earnings and our need to maintain a strong liquidity position and reserve the necessary flexibility to address unusual circumstances that may arise. If the Amended 2016 Plan is approved by our shareholders, it will become immediately effective as of June 16, 2020, with approximately six million shares available for future awards (plus the number of shares remaining available for future awards).</w:t>
      </w:r>
    </w:p>
    <w:p>
      <w:pPr>
        <w:spacing w:after="0" w:line="197" w:lineRule="exact"/>
        <w:rPr>
          <w:sz w:val="20"/>
          <w:szCs w:val="20"/>
          <w:color w:val="auto"/>
        </w:rPr>
      </w:pPr>
    </w:p>
    <w:p>
      <w:pPr>
        <w:ind w:left="360" w:right="200"/>
        <w:spacing w:after="0" w:line="286" w:lineRule="auto"/>
        <w:rPr>
          <w:sz w:val="20"/>
          <w:szCs w:val="20"/>
          <w:color w:val="auto"/>
        </w:rPr>
      </w:pPr>
      <w:r>
        <w:rPr>
          <w:rFonts w:ascii="Arial" w:cs="Arial" w:eastAsia="Arial" w:hAnsi="Arial"/>
          <w:sz w:val="17"/>
          <w:szCs w:val="17"/>
          <w:color w:val="FFFFFF"/>
        </w:rPr>
        <w:t>The Board unanimously recommends that our shareholders vote to approve the Amended 2016 Plan for the reasons discussed in “— Highlights of the Amended 2016 Plan” and “—Introduction” and more generally in “Compensation Discussion and Analysis—2019 Performance” and “Compensation Discussion and Analysis—Compensation Highlights” and for the reasons discussed on pages 76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-442595</wp:posOffset>
            </wp:positionV>
            <wp:extent cx="7003415" cy="428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03415" cy="428625"/>
                    </a:xfrm>
                    <a:prstGeom prst="rect">
                      <a:avLst/>
                    </a:prstGeom>
                    <a:noFill/>
                  </pic:spPr>
                </pic:pic>
              </a:graphicData>
            </a:graphic>
          </wp:anchor>
        </w:drawing>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FFFFFF"/>
        </w:rPr>
        <w:t>Rationale for the Amended 2016 Plan and Equity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9" w:lineRule="exact"/>
        <w:rPr>
          <w:sz w:val="20"/>
          <w:szCs w:val="20"/>
          <w:color w:val="auto"/>
        </w:rPr>
      </w:pPr>
    </w:p>
    <w:p>
      <w:pPr>
        <w:ind w:left="660" w:hanging="544"/>
        <w:spacing w:after="0"/>
        <w:tabs>
          <w:tab w:leader="none" w:pos="660" w:val="left"/>
        </w:tabs>
        <w:numPr>
          <w:ilvl w:val="0"/>
          <w:numId w:val="87"/>
        </w:numPr>
        <w:rPr>
          <w:rFonts w:ascii="MS PGothic" w:cs="MS PGothic" w:eastAsia="MS PGothic" w:hAnsi="MS PGothic"/>
          <w:sz w:val="18"/>
          <w:szCs w:val="18"/>
          <w:color w:val="auto"/>
        </w:rPr>
      </w:pPr>
      <w:r>
        <w:rPr>
          <w:rFonts w:ascii="Arial" w:cs="Arial" w:eastAsia="Arial" w:hAnsi="Arial"/>
          <w:sz w:val="18"/>
          <w:szCs w:val="18"/>
          <w:b w:val="1"/>
          <w:bCs w:val="1"/>
          <w:color w:val="0A26FF"/>
        </w:rPr>
        <w:t>Equity-based compensation is crucial to our recruitment and retention strategy.</w:t>
      </w:r>
    </w:p>
    <w:p>
      <w:pPr>
        <w:spacing w:after="0" w:line="202" w:lineRule="exact"/>
        <w:rPr>
          <w:sz w:val="20"/>
          <w:szCs w:val="20"/>
          <w:color w:val="auto"/>
        </w:rPr>
      </w:pPr>
    </w:p>
    <w:p>
      <w:pPr>
        <w:ind w:left="220" w:right="160" w:firstLine="1745"/>
        <w:spacing w:after="0" w:line="259" w:lineRule="auto"/>
        <w:rPr>
          <w:sz w:val="20"/>
          <w:szCs w:val="20"/>
          <w:color w:val="auto"/>
        </w:rPr>
      </w:pPr>
      <w:r>
        <w:rPr>
          <w:rFonts w:ascii="Arial" w:cs="Arial" w:eastAsia="Arial" w:hAnsi="Arial"/>
          <w:sz w:val="18"/>
          <w:szCs w:val="18"/>
          <w:i w:val="1"/>
          <w:iCs w:val="1"/>
          <w:color w:val="auto"/>
        </w:rPr>
        <w:t>Equity-based compensation helps us to recruit top talent</w:t>
      </w:r>
      <w:r>
        <w:rPr>
          <w:rFonts w:ascii="Arial" w:cs="Arial" w:eastAsia="Arial" w:hAnsi="Arial"/>
          <w:sz w:val="18"/>
          <w:szCs w:val="18"/>
          <w:color w:val="auto"/>
        </w:rPr>
        <w:t>. Our recruitment, retention and motivation of SMDs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crucial to our success and hinge on our ability to pay an appropriate percentage of compensation in the form of equity incentive awards. We believe that grants of equity allow us to remain competitive in the marketplace, enabling us to recruit, retain and motivate high-caliber talent dedicated to the Company’s long term growth and success.</w:t>
      </w:r>
    </w:p>
    <w:p>
      <w:pPr>
        <w:spacing w:after="0" w:line="146" w:lineRule="exact"/>
        <w:rPr>
          <w:sz w:val="20"/>
          <w:szCs w:val="20"/>
          <w:color w:val="auto"/>
        </w:rPr>
      </w:pPr>
    </w:p>
    <w:p>
      <w:pPr>
        <w:ind w:left="220" w:firstLine="1745"/>
        <w:spacing w:after="0" w:line="272" w:lineRule="auto"/>
        <w:rPr>
          <w:sz w:val="20"/>
          <w:szCs w:val="20"/>
          <w:color w:val="auto"/>
        </w:rPr>
      </w:pPr>
      <w:r>
        <w:rPr>
          <w:rFonts w:ascii="Arial" w:cs="Arial" w:eastAsia="Arial" w:hAnsi="Arial"/>
          <w:sz w:val="17"/>
          <w:szCs w:val="17"/>
          <w:i w:val="1"/>
          <w:iCs w:val="1"/>
          <w:color w:val="auto"/>
        </w:rPr>
        <w:t>We must be able to compete for top talent</w:t>
      </w:r>
      <w:r>
        <w:rPr>
          <w:rFonts w:ascii="Arial" w:cs="Arial" w:eastAsia="Arial" w:hAnsi="Arial"/>
          <w:sz w:val="17"/>
          <w:szCs w:val="17"/>
          <w:color w:val="auto"/>
        </w:rPr>
        <w:t>. The equity awards that we grant to new hires are generally included in two types:</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awards and “new hire” awards. Replacement awards, as the name suggests, are designed to replace equity awards forfeited by the employee upon departure from his or her prior employer. These awards are generally sized to approximate the value of, and vest on the same schedule as, the forfeited awards. New hire awards effectively guarantee a floor level of compensation during the initial period of employment and are designed to mitigate temporarily the uncertainty associated with a senior banker’s decision to change firms. Generally, new hire awards vest ratably over three to four years. Both replacement and new hire awards are a commercial convention within our industry; without them, our lateral hiring efforts would cease to be successful or we would be forced to increase our use of deferred cash awards.</w:t>
      </w:r>
    </w:p>
    <w:p>
      <w:pPr>
        <w:spacing w:after="0" w:line="137" w:lineRule="exact"/>
        <w:rPr>
          <w:sz w:val="20"/>
          <w:szCs w:val="20"/>
          <w:color w:val="auto"/>
        </w:rPr>
      </w:pPr>
    </w:p>
    <w:p>
      <w:pPr>
        <w:ind w:left="220" w:right="20" w:firstLine="1745"/>
        <w:spacing w:after="0" w:line="254" w:lineRule="auto"/>
        <w:rPr>
          <w:sz w:val="20"/>
          <w:szCs w:val="20"/>
          <w:color w:val="auto"/>
        </w:rPr>
      </w:pPr>
      <w:r>
        <w:rPr>
          <w:rFonts w:ascii="Arial" w:cs="Arial" w:eastAsia="Arial" w:hAnsi="Arial"/>
          <w:sz w:val="18"/>
          <w:szCs w:val="18"/>
          <w:i w:val="1"/>
          <w:iCs w:val="1"/>
          <w:color w:val="auto"/>
        </w:rPr>
        <w:t>High performers receive more annual equity-based compensation</w:t>
      </w:r>
      <w:r>
        <w:rPr>
          <w:rFonts w:ascii="Arial" w:cs="Arial" w:eastAsia="Arial" w:hAnsi="Arial"/>
          <w:sz w:val="18"/>
          <w:szCs w:val="18"/>
          <w:color w:val="auto"/>
        </w:rPr>
        <w:t>. The size of our annual incentive RSU awards is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correlated to the revenue contribution of award recipients and such awards are generally subject to ratable vesting over four years. For many of our employees, annual bonus equity awards and other deferred compensation constitutes at least half of their compensation. We grant equity broadly. During the 2017-2019 period, more than 90% of all annual bonus equity awards granted by us were issued to persons other than our executive officers. Similarly, more than 90% of all annual bonus equity awards granted by us during that period were issued to persons with direct, client- facing and revenue-generating responsibilities. This further underscores that our compensation is tied directly to the contribution to the business, not seniority or role.</w:t>
      </w:r>
    </w:p>
    <w:p>
      <w:pPr>
        <w:spacing w:after="0" w:line="168" w:lineRule="exact"/>
        <w:rPr>
          <w:sz w:val="20"/>
          <w:szCs w:val="20"/>
          <w:color w:val="auto"/>
        </w:rPr>
      </w:pPr>
    </w:p>
    <w:p>
      <w:pPr>
        <w:ind w:left="220" w:right="40" w:firstLine="1745"/>
        <w:spacing w:after="0" w:line="257" w:lineRule="auto"/>
        <w:rPr>
          <w:sz w:val="20"/>
          <w:szCs w:val="20"/>
          <w:color w:val="auto"/>
        </w:rPr>
      </w:pPr>
      <w:r>
        <w:rPr>
          <w:rFonts w:ascii="Arial" w:cs="Arial" w:eastAsia="Arial" w:hAnsi="Arial"/>
          <w:sz w:val="18"/>
          <w:szCs w:val="18"/>
          <w:i w:val="1"/>
          <w:iCs w:val="1"/>
          <w:color w:val="auto"/>
        </w:rPr>
        <w:t>As we have consistently invested in talent, expanded our service capabilities and extended our geographic reach, our share of the disclosed advisory fee pool has grown significantly</w:t>
      </w:r>
      <w:r>
        <w:rPr>
          <w:rFonts w:ascii="Arial" w:cs="Arial" w:eastAsia="Arial" w:hAnsi="Arial"/>
          <w:sz w:val="18"/>
          <w:szCs w:val="18"/>
          <w:color w:val="auto"/>
        </w:rPr>
        <w:t>. Over the past 10 years, we have more than tripled our share of the overall advisory market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publicly reported fee pool, based on reported advisory revenue), rising from just 2.3% in 2010 to 8.3% in 2019. Furthermore, within the expanding IAF landscape, our market share has risen as well. In 2019, our share among the public IAFs was over 22.9%, more than double the 2010 level of 8.5%.</w:t>
      </w:r>
    </w:p>
    <w:p>
      <w:pPr>
        <w:spacing w:after="0" w:line="184" w:lineRule="exact"/>
        <w:rPr>
          <w:sz w:val="20"/>
          <w:szCs w:val="20"/>
          <w:color w:val="auto"/>
        </w:rPr>
      </w:pPr>
    </w:p>
    <w:p>
      <w:pPr>
        <w:ind w:left="660" w:right="760" w:hanging="544"/>
        <w:spacing w:after="0" w:line="282" w:lineRule="auto"/>
        <w:tabs>
          <w:tab w:leader="none" w:pos="660" w:val="left"/>
        </w:tabs>
        <w:numPr>
          <w:ilvl w:val="0"/>
          <w:numId w:val="88"/>
        </w:numPr>
        <w:rPr>
          <w:rFonts w:ascii="MS PGothic" w:cs="MS PGothic" w:eastAsia="MS PGothic" w:hAnsi="MS PGothic"/>
          <w:sz w:val="18"/>
          <w:szCs w:val="18"/>
          <w:color w:val="auto"/>
        </w:rPr>
      </w:pPr>
      <w:r>
        <w:rPr>
          <w:rFonts w:ascii="Arial" w:cs="Arial" w:eastAsia="Arial" w:hAnsi="Arial"/>
          <w:sz w:val="18"/>
          <w:szCs w:val="18"/>
          <w:b w:val="1"/>
          <w:bCs w:val="1"/>
          <w:color w:val="0A26FF"/>
        </w:rPr>
        <w:t>A reduction in our use of equity-based compensation would require a corresponding increase in our use of alternative deferred compensation programs and cash compensation.</w:t>
      </w:r>
    </w:p>
    <w:p>
      <w:pPr>
        <w:spacing w:after="0" w:line="125" w:lineRule="exact"/>
        <w:rPr>
          <w:sz w:val="20"/>
          <w:szCs w:val="20"/>
          <w:color w:val="auto"/>
        </w:rPr>
      </w:pPr>
    </w:p>
    <w:p>
      <w:pPr>
        <w:ind w:left="220" w:right="20" w:firstLine="1745"/>
        <w:spacing w:after="0" w:line="289" w:lineRule="auto"/>
        <w:rPr>
          <w:sz w:val="20"/>
          <w:szCs w:val="20"/>
          <w:color w:val="auto"/>
        </w:rPr>
      </w:pPr>
      <w:r>
        <w:rPr>
          <w:rFonts w:ascii="Arial" w:cs="Arial" w:eastAsia="Arial" w:hAnsi="Arial"/>
          <w:sz w:val="16"/>
          <w:szCs w:val="16"/>
          <w:i w:val="1"/>
          <w:iCs w:val="1"/>
          <w:color w:val="auto"/>
        </w:rPr>
        <w:t xml:space="preserve">We could reduce the number of shares that we sought to use for compensatory awards by substituting cash compensation for equity awards. </w:t>
      </w:r>
      <w:r>
        <w:rPr>
          <w:rFonts w:ascii="Arial" w:cs="Arial" w:eastAsia="Arial" w:hAnsi="Arial"/>
          <w:sz w:val="16"/>
          <w:szCs w:val="16"/>
          <w:color w:val="auto"/>
        </w:rPr>
        <w:t>We seek to deliver compensation at market competitive levels and at levels correlated with employee productivity. A material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in compensation would impair our ability to recruit, retain and motivate key employees, and would therefore threaten our future business prospects. If the Amended 2016 Plan is not approved, we would likely be compelled to alter our compensation program to increase alternative deferred compensation programs or cash compensation in order to remain competitive, which we do not believe is as effective. In fact, as part of this year’s annual bonus process, we were constrained by the remaining shares under the 2016 Plan, and as a result we increased our use of deferred non-equity awards to SMDs, which track the investment returns of a variety of index investments or fixed income options. The substitution of deferred cash for equity reduces the alignment of interests between employees and shareholders. Moreover, we believe the substitution would also limit our flexibility to use cash for other purposes. This could be particularly challenging in the current environment as we make every effort to preserve cash.</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89"/>
        </w:numPr>
        <w:rPr>
          <w:rFonts w:ascii="MS PGothic" w:cs="MS PGothic" w:eastAsia="MS PGothic" w:hAnsi="MS PGothic"/>
          <w:sz w:val="18"/>
          <w:szCs w:val="18"/>
          <w:color w:val="auto"/>
        </w:rPr>
      </w:pPr>
      <w:r>
        <w:rPr>
          <w:rFonts w:ascii="Arial" w:cs="Arial" w:eastAsia="Arial" w:hAnsi="Arial"/>
          <w:sz w:val="18"/>
          <w:szCs w:val="18"/>
          <w:b w:val="1"/>
          <w:bCs w:val="1"/>
          <w:color w:val="0A26FF"/>
        </w:rPr>
        <w:t>Equity compensation aligns employee and shareholder interests.</w:t>
      </w:r>
    </w:p>
    <w:p>
      <w:pPr>
        <w:spacing w:after="0" w:line="202" w:lineRule="exact"/>
        <w:rPr>
          <w:sz w:val="20"/>
          <w:szCs w:val="20"/>
          <w:color w:val="auto"/>
        </w:rPr>
      </w:pPr>
    </w:p>
    <w:p>
      <w:pPr>
        <w:ind w:left="120" w:right="20" w:firstLine="1983"/>
        <w:spacing w:after="0" w:line="273" w:lineRule="auto"/>
        <w:rPr>
          <w:sz w:val="20"/>
          <w:szCs w:val="20"/>
          <w:color w:val="auto"/>
        </w:rPr>
      </w:pPr>
      <w:r>
        <w:rPr>
          <w:rFonts w:ascii="Arial" w:cs="Arial" w:eastAsia="Arial" w:hAnsi="Arial"/>
          <w:sz w:val="17"/>
          <w:szCs w:val="17"/>
          <w:i w:val="1"/>
          <w:iCs w:val="1"/>
          <w:color w:val="auto"/>
        </w:rPr>
        <w:t>We drive long term value creation</w:t>
      </w:r>
      <w:r>
        <w:rPr>
          <w:rFonts w:ascii="Arial" w:cs="Arial" w:eastAsia="Arial" w:hAnsi="Arial"/>
          <w:sz w:val="17"/>
          <w:szCs w:val="17"/>
          <w:color w:val="auto"/>
        </w:rPr>
        <w:t>. Equity compensation is critical to aligning the interests of our employees with those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shareholders. Our employees currently own over 25% of our equity on a fully diluted basis. By making equity a significant portion of our employees’ compensation, we are linking our employees’ compensation to the performance of the Company and their individual performance. Our employees are therefore motivated to conduct the business in a manner that produces superior return over the long-term. We grant equity awards in the form of RSUs that, in contrast to options, expose the award recipient to both the downside and the upside of our stock performance. We believe that this, in part, has driven the long term value we have created for our shareholders.</w:t>
      </w:r>
    </w:p>
    <w:p>
      <w:pPr>
        <w:spacing w:after="0" w:line="174" w:lineRule="exact"/>
        <w:rPr>
          <w:sz w:val="20"/>
          <w:szCs w:val="20"/>
          <w:color w:val="auto"/>
        </w:rPr>
      </w:pPr>
    </w:p>
    <w:p>
      <w:pPr>
        <w:ind w:left="660" w:hanging="544"/>
        <w:spacing w:after="0"/>
        <w:tabs>
          <w:tab w:leader="none" w:pos="660" w:val="left"/>
        </w:tabs>
        <w:numPr>
          <w:ilvl w:val="0"/>
          <w:numId w:val="90"/>
        </w:numPr>
        <w:rPr>
          <w:rFonts w:ascii="MS PGothic" w:cs="MS PGothic" w:eastAsia="MS PGothic" w:hAnsi="MS PGothic"/>
          <w:sz w:val="18"/>
          <w:szCs w:val="18"/>
          <w:color w:val="auto"/>
        </w:rPr>
      </w:pPr>
      <w:r>
        <w:rPr>
          <w:rFonts w:ascii="Arial" w:cs="Arial" w:eastAsia="Arial" w:hAnsi="Arial"/>
          <w:sz w:val="18"/>
          <w:szCs w:val="18"/>
          <w:b w:val="1"/>
          <w:bCs w:val="1"/>
          <w:color w:val="0A26FF"/>
        </w:rPr>
        <w:t>The Amended 2016 Plan Includes Features Designed to Protect Shareholder Interests.</w:t>
      </w:r>
    </w:p>
    <w:p>
      <w:pPr>
        <w:spacing w:after="0" w:line="189" w:lineRule="exact"/>
        <w:rPr>
          <w:sz w:val="20"/>
          <w:szCs w:val="20"/>
          <w:color w:val="auto"/>
        </w:rPr>
      </w:pPr>
    </w:p>
    <w:p>
      <w:pPr>
        <w:ind w:left="220" w:right="380" w:firstLine="1745"/>
        <w:spacing w:after="0" w:line="255" w:lineRule="auto"/>
        <w:rPr>
          <w:sz w:val="20"/>
          <w:szCs w:val="20"/>
          <w:color w:val="auto"/>
        </w:rPr>
      </w:pPr>
      <w:r>
        <w:rPr>
          <w:rFonts w:ascii="Arial" w:cs="Arial" w:eastAsia="Arial" w:hAnsi="Arial"/>
          <w:sz w:val="18"/>
          <w:szCs w:val="18"/>
          <w:i w:val="1"/>
          <w:iCs w:val="1"/>
          <w:color w:val="auto"/>
        </w:rPr>
        <w:t>The requested number of shares to be authorized under the Amended 2016 Plan is conservative, and we only request authorization for additional shares as necessary</w:t>
      </w:r>
      <w:r>
        <w:rPr>
          <w:rFonts w:ascii="Arial" w:cs="Arial" w:eastAsia="Arial" w:hAnsi="Arial"/>
          <w:sz w:val="18"/>
          <w:szCs w:val="18"/>
          <w:color w:val="auto"/>
        </w:rPr>
        <w:t>. The Amended 2016 Plan does not contain an “evergreen” provision, under which new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authorized each year. We have carefully considered the share request to allow the business to run with stability and certainty for approximately two years. We believe it is important to revisit equity compensation practices and norms with shareholders on a regular basis, particularly in the current environment, and this interval—which is below the typical 3-4 year interval for companies of our size—strikes the right balance for shareholders and Evercore in the current environment.</w:t>
      </w:r>
    </w:p>
    <w:p>
      <w:pPr>
        <w:spacing w:after="0" w:line="152" w:lineRule="exact"/>
        <w:rPr>
          <w:sz w:val="20"/>
          <w:szCs w:val="20"/>
          <w:color w:val="auto"/>
        </w:rPr>
      </w:pPr>
    </w:p>
    <w:p>
      <w:pPr>
        <w:ind w:left="220" w:firstLine="1745"/>
        <w:spacing w:after="0" w:line="257" w:lineRule="auto"/>
        <w:rPr>
          <w:sz w:val="20"/>
          <w:szCs w:val="20"/>
          <w:color w:val="auto"/>
        </w:rPr>
      </w:pPr>
      <w:r>
        <w:rPr>
          <w:rFonts w:ascii="Arial" w:cs="Arial" w:eastAsia="Arial" w:hAnsi="Arial"/>
          <w:sz w:val="18"/>
          <w:szCs w:val="18"/>
          <w:i w:val="1"/>
          <w:iCs w:val="1"/>
          <w:color w:val="auto"/>
        </w:rPr>
        <w:t>The Amended 2016 Plan does not permit liberal share recycling. Consistent with best practices, we do not recycle shares withheld to satisfy taxes payable upon award settlement or otherwise engage in so-called “liberal share recycling” under the Amended 2016 Plan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means that the number of shares reserved for issuance under the plan is an accurate reflection of the size of the awards we actually issue and is not reduced to exclude the one-third or more of every award that may be withheld to pay taxes. An issuer that does not engage in liberal share recycling will most likely have share utilization that is higher than one that does.</w:t>
      </w:r>
    </w:p>
    <w:p>
      <w:pPr>
        <w:spacing w:after="0" w:line="161" w:lineRule="exact"/>
        <w:rPr>
          <w:sz w:val="20"/>
          <w:szCs w:val="20"/>
          <w:color w:val="auto"/>
        </w:rPr>
      </w:pPr>
    </w:p>
    <w:p>
      <w:pPr>
        <w:ind w:left="220" w:right="200" w:firstLine="1745"/>
        <w:spacing w:after="0" w:line="301" w:lineRule="auto"/>
        <w:rPr>
          <w:sz w:val="20"/>
          <w:szCs w:val="20"/>
          <w:color w:val="auto"/>
        </w:rPr>
      </w:pPr>
      <w:r>
        <w:rPr>
          <w:rFonts w:ascii="Arial" w:cs="Arial" w:eastAsia="Arial" w:hAnsi="Arial"/>
          <w:sz w:val="16"/>
          <w:szCs w:val="16"/>
          <w:i w:val="1"/>
          <w:iCs w:val="1"/>
          <w:color w:val="auto"/>
        </w:rPr>
        <w:t xml:space="preserve">Repricing of options or stock appreciation rights is not permitted under the Amended 2016 Plan. </w:t>
      </w:r>
      <w:r>
        <w:rPr>
          <w:rFonts w:ascii="Arial" w:cs="Arial" w:eastAsia="Arial" w:hAnsi="Arial"/>
          <w:sz w:val="16"/>
          <w:szCs w:val="16"/>
          <w:color w:val="auto"/>
        </w:rPr>
        <w:t>The Amended 2016 Plan</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that all options and stock appreciation rights are priced at no less than 100% of the fair market value of our Class A common stock on the grant date. Since repricing is prohibited, these prices remain unchanged regardless of changes in the price of our Class A common stock. Thus consistent with best practices, the Amended 2016 Plan does not permit the repricing of “underwater” options and stock appreciation rights.</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FFFFFF"/>
        </w:rPr>
        <w:t>Burn Rate and Dilution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68" w:lineRule="exact"/>
        <w:rPr>
          <w:sz w:val="20"/>
          <w:szCs w:val="20"/>
          <w:color w:val="auto"/>
        </w:rPr>
      </w:pPr>
    </w:p>
    <w:p>
      <w:pPr>
        <w:ind w:left="220" w:right="380"/>
        <w:spacing w:after="0" w:line="282" w:lineRule="auto"/>
        <w:rPr>
          <w:sz w:val="20"/>
          <w:szCs w:val="20"/>
          <w:color w:val="auto"/>
        </w:rPr>
      </w:pPr>
      <w:r>
        <w:rPr>
          <w:rFonts w:ascii="Arial" w:cs="Arial" w:eastAsia="Arial" w:hAnsi="Arial"/>
          <w:sz w:val="18"/>
          <w:szCs w:val="18"/>
          <w:b w:val="1"/>
          <w:bCs w:val="1"/>
          <w:color w:val="auto"/>
        </w:rPr>
        <w:t>Traditional burn rate and dilution calculations do not take into account our human capital-based cost structure or our compensation and repurchase practices.</w:t>
      </w:r>
    </w:p>
    <w:p>
      <w:pPr>
        <w:spacing w:after="0" w:line="125" w:lineRule="exact"/>
        <w:rPr>
          <w:sz w:val="20"/>
          <w:szCs w:val="20"/>
          <w:color w:val="auto"/>
        </w:rPr>
      </w:pPr>
    </w:p>
    <w:p>
      <w:pPr>
        <w:ind w:left="220" w:right="140" w:firstLine="1745"/>
        <w:spacing w:after="0" w:line="296" w:lineRule="auto"/>
        <w:rPr>
          <w:sz w:val="20"/>
          <w:szCs w:val="20"/>
          <w:color w:val="auto"/>
        </w:rPr>
      </w:pPr>
      <w:r>
        <w:rPr>
          <w:rFonts w:ascii="Arial" w:cs="Arial" w:eastAsia="Arial" w:hAnsi="Arial"/>
          <w:sz w:val="16"/>
          <w:szCs w:val="16"/>
          <w:color w:val="auto"/>
        </w:rPr>
        <w:t>Proxy advisors and many shareholders recognize that certain elements of our structure and practices require changes to traditional burn rate and dilution calculations. For example, due to our UPREIT structure, proxy advisory firms include in their equity grant calculations Evercore LP partnership units, since Evercore LP Class A, Class E, Class I and Class K partnership units are convertible into common stock on a one-to-one basis at the discretion of the holder, do not require the payment of a conversion or exercise price and receive the same dividend payout as common stock. When these partnership units are taken into account, the dilutive effect of our equity-based compensation grants declines.</w:t>
      </w:r>
    </w:p>
    <w:p>
      <w:pPr>
        <w:spacing w:after="0" w:line="134" w:lineRule="exact"/>
        <w:rPr>
          <w:sz w:val="20"/>
          <w:szCs w:val="20"/>
          <w:color w:val="auto"/>
        </w:rPr>
      </w:pPr>
    </w:p>
    <w:p>
      <w:pPr>
        <w:ind w:left="220" w:right="40" w:firstLine="1745"/>
        <w:spacing w:after="0" w:line="263" w:lineRule="auto"/>
        <w:rPr>
          <w:sz w:val="20"/>
          <w:szCs w:val="20"/>
          <w:color w:val="auto"/>
        </w:rPr>
      </w:pPr>
      <w:r>
        <w:rPr>
          <w:rFonts w:ascii="Arial" w:cs="Arial" w:eastAsia="Arial" w:hAnsi="Arial"/>
          <w:sz w:val="18"/>
          <w:szCs w:val="18"/>
          <w:color w:val="auto"/>
        </w:rPr>
        <w:t>However, the proxy advisory firms have generally not taken into account our historical practice of offsetting the dilutive effect of equity compensation grants through stock repurchases. Without taking repurchases (a corporate action our shareholders have overwhelmingly supported) into account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73" w:lineRule="auto"/>
        <w:rPr>
          <w:sz w:val="20"/>
          <w:szCs w:val="20"/>
          <w:color w:val="auto"/>
        </w:rPr>
      </w:pPr>
      <w:r>
        <w:rPr>
          <w:rFonts w:ascii="Arial" w:cs="Arial" w:eastAsia="Arial" w:hAnsi="Arial"/>
          <w:sz w:val="17"/>
          <w:szCs w:val="17"/>
          <w:color w:val="auto"/>
        </w:rPr>
        <w:t>determining the dilutive effect of our equity grants, the calculations overstate our burn rate and dilution because, for purposes of the calculations, the total shares outstanding are reduced by stock buybacks, but the shares granted are not. The proxy advisory firms have also compared us to peers who have significantly different cost structures and businesses, and have used dilution calculations that penalize us for having longer vesting periods and granting RSU awards, which we believe result in greater retention. Paying compensation with equity while using cash to repurchase stock puts us in the same economic position as, for example, a manufacturing company that uses its cash to pay compensation and other business costs, but gives us the added benefit of aligning employee and investor interests.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Burn Rate Calculation</w:t>
      </w:r>
    </w:p>
    <w:p>
      <w:pPr>
        <w:spacing w:after="0" w:line="185" w:lineRule="exact"/>
        <w:rPr>
          <w:sz w:val="20"/>
          <w:szCs w:val="20"/>
          <w:color w:val="auto"/>
        </w:rPr>
      </w:pPr>
    </w:p>
    <w:p>
      <w:pPr>
        <w:ind w:left="220" w:right="140" w:firstLine="1745"/>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b w:val="1"/>
          <w:bCs w:val="1"/>
          <w:color w:val="auto"/>
        </w:rPr>
        <w:t>—Introduction</w:t>
      </w:r>
      <w:r>
        <w:rPr>
          <w:rFonts w:ascii="Arial" w:cs="Arial" w:eastAsia="Arial" w:hAnsi="Arial"/>
          <w:sz w:val="18"/>
          <w:szCs w:val="18"/>
          <w:color w:val="auto"/>
        </w:rPr>
        <w:t>” above (on page 75) for an overview of our grant history and burn rate calculation during the past three years with and without the effect of stock repurchases.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Dilution Calculation</w:t>
      </w:r>
    </w:p>
    <w:p>
      <w:pPr>
        <w:spacing w:after="0" w:line="202" w:lineRule="exact"/>
        <w:rPr>
          <w:sz w:val="20"/>
          <w:szCs w:val="20"/>
          <w:color w:val="auto"/>
        </w:rPr>
      </w:pPr>
    </w:p>
    <w:p>
      <w:pPr>
        <w:ind w:left="220" w:right="280" w:firstLine="1745"/>
        <w:spacing w:after="0" w:line="263" w:lineRule="auto"/>
        <w:rPr>
          <w:sz w:val="20"/>
          <w:szCs w:val="20"/>
          <w:color w:val="auto"/>
        </w:rPr>
      </w:pPr>
      <w:r>
        <w:rPr>
          <w:rFonts w:ascii="Arial" w:cs="Arial" w:eastAsia="Arial" w:hAnsi="Arial"/>
          <w:sz w:val="18"/>
          <w:szCs w:val="18"/>
          <w:color w:val="auto"/>
        </w:rPr>
        <w:t>While we believe that burn rate, adjusted to take into account share repurchases, is the best measure of the dilutive effect of annual equity-based compensation, certain proxy advisors and shareholders focus on total potential equity awards that may be made under a plan, together with outstanding unvested awards, as a measure of dilution.</w:t>
      </w:r>
    </w:p>
    <w:p>
      <w:pPr>
        <w:spacing w:after="0" w:line="143" w:lineRule="exact"/>
        <w:rPr>
          <w:sz w:val="20"/>
          <w:szCs w:val="20"/>
          <w:color w:val="auto"/>
        </w:rPr>
      </w:pPr>
    </w:p>
    <w:p>
      <w:pPr>
        <w:ind w:left="220" w:right="60" w:firstLine="1745"/>
        <w:spacing w:after="0" w:line="259" w:lineRule="auto"/>
        <w:rPr>
          <w:sz w:val="20"/>
          <w:szCs w:val="20"/>
          <w:color w:val="auto"/>
        </w:rPr>
      </w:pPr>
      <w:r>
        <w:rPr>
          <w:rFonts w:ascii="Arial" w:cs="Arial" w:eastAsia="Arial" w:hAnsi="Arial"/>
          <w:sz w:val="18"/>
          <w:szCs w:val="18"/>
          <w:color w:val="auto"/>
        </w:rPr>
        <w:t>We do not believe this methodology accurately captures the dilutive effect of our annual equity-based compensation because it penalizes us for share repurchases (since share repurchases reduce the amount of the total shares and share equivalents). However, for completeness, below is a summary of the potential dilution associated with the Amended 2016 Plan pursuant to such methodology. The shares listed in the table are as of April 22, 2020.</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3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0016FF"/>
                <w:w w:val="89"/>
              </w:rPr>
              <w:t>Share Allocation &amp;</w:t>
            </w:r>
          </w:p>
        </w:tc>
      </w:tr>
      <w:tr>
        <w:trPr>
          <w:trHeight w:val="234"/>
        </w:trPr>
        <w:tc>
          <w:tcPr>
            <w:tcW w:w="932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0016FF"/>
                <w:w w:val="93"/>
              </w:rPr>
              <w:t>Potential Dilution</w:t>
            </w:r>
          </w:p>
        </w:tc>
      </w:tr>
      <w:tr>
        <w:trPr>
          <w:trHeight w:val="209"/>
        </w:trPr>
        <w:tc>
          <w:tcPr>
            <w:tcW w:w="93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Requested shares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9320" w:type="dxa"/>
            <w:vAlign w:val="bottom"/>
          </w:tcPr>
          <w:p>
            <w:pPr>
              <w:ind w:left="540"/>
              <w:spacing w:after="0"/>
              <w:rPr>
                <w:sz w:val="20"/>
                <w:szCs w:val="20"/>
                <w:color w:val="auto"/>
              </w:rPr>
            </w:pPr>
            <w:r>
              <w:rPr>
                <w:rFonts w:ascii="Arial" w:cs="Arial" w:eastAsia="Arial" w:hAnsi="Arial"/>
                <w:sz w:val="18"/>
                <w:szCs w:val="18"/>
                <w:color w:val="auto"/>
              </w:rPr>
              <w:t>Shares remaining available under the 2016 Plan</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1,014,853</w:t>
            </w:r>
          </w:p>
        </w:tc>
      </w:tr>
      <w:tr>
        <w:trPr>
          <w:trHeight w:val="216"/>
        </w:trPr>
        <w:tc>
          <w:tcPr>
            <w:tcW w:w="9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RSUs outstanding under the 2016 Plan</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5,955,550</w:t>
            </w:r>
          </w:p>
        </w:tc>
      </w:tr>
      <w:tr>
        <w:trPr>
          <w:trHeight w:val="20"/>
        </w:trPr>
        <w:tc>
          <w:tcPr>
            <w:tcW w:w="9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320" w:type="dxa"/>
            <w:vAlign w:val="bottom"/>
          </w:tcPr>
          <w:p>
            <w:pPr>
              <w:ind w:left="540"/>
              <w:spacing w:after="0"/>
              <w:rPr>
                <w:sz w:val="20"/>
                <w:szCs w:val="20"/>
                <w:color w:val="auto"/>
              </w:rPr>
            </w:pPr>
            <w:r>
              <w:rPr>
                <w:rFonts w:ascii="Arial" w:cs="Arial" w:eastAsia="Arial" w:hAnsi="Arial"/>
                <w:sz w:val="18"/>
                <w:szCs w:val="18"/>
                <w:b w:val="1"/>
                <w:bCs w:val="1"/>
                <w:color w:val="auto"/>
              </w:rPr>
              <w:t>Total Potential Unvested Equity Awards</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12,970,403</w:t>
            </w:r>
          </w:p>
        </w:tc>
      </w:tr>
      <w:tr>
        <w:trPr>
          <w:trHeight w:val="216"/>
        </w:trPr>
        <w:tc>
          <w:tcPr>
            <w:tcW w:w="9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Class A shares outstanding</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40,535,637</w:t>
            </w:r>
          </w:p>
        </w:tc>
      </w:tr>
      <w:tr>
        <w:trPr>
          <w:trHeight w:val="216"/>
        </w:trPr>
        <w:tc>
          <w:tcPr>
            <w:tcW w:w="9320" w:type="dxa"/>
            <w:vAlign w:val="bottom"/>
          </w:tcPr>
          <w:p>
            <w:pPr>
              <w:ind w:left="540"/>
              <w:spacing w:after="0"/>
              <w:rPr>
                <w:sz w:val="20"/>
                <w:szCs w:val="20"/>
                <w:color w:val="auto"/>
              </w:rPr>
            </w:pPr>
            <w:r>
              <w:rPr>
                <w:rFonts w:ascii="Arial" w:cs="Arial" w:eastAsia="Arial" w:hAnsi="Arial"/>
                <w:sz w:val="18"/>
                <w:szCs w:val="18"/>
                <w:color w:val="auto"/>
              </w:rPr>
              <w:t>Voting Units outstanding</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5,768,996</w:t>
            </w:r>
          </w:p>
        </w:tc>
      </w:tr>
      <w:tr>
        <w:trPr>
          <w:trHeight w:val="216"/>
        </w:trPr>
        <w:tc>
          <w:tcPr>
            <w:tcW w:w="9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Requested shares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6,000,000</w:t>
            </w:r>
          </w:p>
        </w:tc>
      </w:tr>
      <w:tr>
        <w:trPr>
          <w:trHeight w:val="216"/>
        </w:trPr>
        <w:tc>
          <w:tcPr>
            <w:tcW w:w="9320" w:type="dxa"/>
            <w:vAlign w:val="bottom"/>
          </w:tcPr>
          <w:p>
            <w:pPr>
              <w:ind w:left="540"/>
              <w:spacing w:after="0"/>
              <w:rPr>
                <w:sz w:val="20"/>
                <w:szCs w:val="20"/>
                <w:color w:val="auto"/>
              </w:rPr>
            </w:pPr>
            <w:r>
              <w:rPr>
                <w:rFonts w:ascii="Arial" w:cs="Arial" w:eastAsia="Arial" w:hAnsi="Arial"/>
                <w:sz w:val="18"/>
                <w:szCs w:val="18"/>
                <w:color w:val="auto"/>
              </w:rPr>
              <w:t>Shares remaining available under the 2016 Plan</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1,014,853</w:t>
            </w:r>
          </w:p>
        </w:tc>
      </w:tr>
      <w:tr>
        <w:trPr>
          <w:trHeight w:val="216"/>
        </w:trPr>
        <w:tc>
          <w:tcPr>
            <w:tcW w:w="9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RSUs outstanding under the 2016 Plan</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5,955,550</w:t>
            </w:r>
          </w:p>
        </w:tc>
      </w:tr>
      <w:tr>
        <w:trPr>
          <w:trHeight w:val="223"/>
        </w:trPr>
        <w:tc>
          <w:tcPr>
            <w:tcW w:w="9320" w:type="dxa"/>
            <w:vAlign w:val="bottom"/>
          </w:tcPr>
          <w:p>
            <w:pPr>
              <w:ind w:left="540"/>
              <w:spacing w:after="0"/>
              <w:rPr>
                <w:sz w:val="20"/>
                <w:szCs w:val="20"/>
                <w:color w:val="auto"/>
              </w:rPr>
            </w:pPr>
            <w:r>
              <w:rPr>
                <w:rFonts w:ascii="Arial" w:cs="Arial" w:eastAsia="Arial" w:hAnsi="Arial"/>
                <w:sz w:val="18"/>
                <w:szCs w:val="18"/>
                <w:b w:val="1"/>
                <w:bCs w:val="1"/>
                <w:color w:val="auto"/>
              </w:rPr>
              <w:t>Total Shares and Share Equivalents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59,275,036</w:t>
            </w:r>
          </w:p>
        </w:tc>
        <w:tc>
          <w:tcPr>
            <w:tcW w:w="240" w:type="dxa"/>
            <w:vAlign w:val="bottom"/>
          </w:tcPr>
          <w:p>
            <w:pPr>
              <w:spacing w:after="0"/>
              <w:rPr>
                <w:sz w:val="19"/>
                <w:szCs w:val="19"/>
                <w:color w:val="auto"/>
              </w:rPr>
            </w:pPr>
          </w:p>
        </w:tc>
      </w:tr>
      <w:tr>
        <w:trPr>
          <w:trHeight w:val="216"/>
        </w:trPr>
        <w:tc>
          <w:tcPr>
            <w:tcW w:w="9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Potential Dilution from Amended 2016 Plan</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21.9%</w:t>
            </w: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FFFFFF"/>
        </w:rPr>
        <w:t>Description of the Amended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72" w:lineRule="exact"/>
        <w:rPr>
          <w:sz w:val="20"/>
          <w:szCs w:val="20"/>
          <w:color w:val="auto"/>
        </w:rPr>
      </w:pPr>
    </w:p>
    <w:p>
      <w:pPr>
        <w:ind w:left="220" w:right="560" w:firstLine="1745"/>
        <w:spacing w:after="0" w:line="277" w:lineRule="auto"/>
        <w:rPr>
          <w:sz w:val="20"/>
          <w:szCs w:val="20"/>
          <w:color w:val="auto"/>
        </w:rPr>
      </w:pPr>
      <w:r>
        <w:rPr>
          <w:rFonts w:ascii="Arial" w:cs="Arial" w:eastAsia="Arial" w:hAnsi="Arial"/>
          <w:sz w:val="18"/>
          <w:szCs w:val="18"/>
          <w:color w:val="auto"/>
        </w:rPr>
        <w:t>The following description of the Amended 2016 Plan is not complete and is qualified by reference to the full text of the Amended 2016 Plan, which is attached hereto as Annex B.</w:t>
      </w:r>
    </w:p>
    <w:p>
      <w:pPr>
        <w:spacing w:after="0" w:line="143" w:lineRule="exact"/>
        <w:rPr>
          <w:sz w:val="20"/>
          <w:szCs w:val="20"/>
          <w:color w:val="auto"/>
        </w:rPr>
      </w:pPr>
    </w:p>
    <w:p>
      <w:pPr>
        <w:ind w:left="220" w:right="200" w:firstLine="1745"/>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will administer the Amended 2016 Plan.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is composed entirely of “non-employee directors,” as that term is defined in Rule 16b-3 under the Exchange Act, and “outside directors,” as that term is defined for purposes of Section 162(m) of the Code.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00" w:firstLine="1745"/>
        <w:spacing w:after="0" w:line="257" w:lineRule="auto"/>
        <w:rPr>
          <w:sz w:val="20"/>
          <w:szCs w:val="20"/>
          <w:color w:val="auto"/>
        </w:rPr>
      </w:pPr>
      <w:r>
        <w:rPr>
          <w:rFonts w:ascii="Arial" w:cs="Arial" w:eastAsia="Arial" w:hAnsi="Arial"/>
          <w:sz w:val="18"/>
          <w:szCs w:val="18"/>
          <w:color w:val="auto"/>
        </w:rPr>
        <w:t>The Board may also designate another committee of the Board composed of one or more directors, who may also be officers, to administer awards under the Amended 2016 Plan to persons other than non- employee directors and officers. In addition, to the extent permitted by Delaware law, the Board may designate a committee of one or more officers to administer certain employee awards under the Amended 2016 Plan. If the Board designates a committee described in the preceding two sentences, references herein to the Compensation Committee will apply equally to the designated committee.</w:t>
      </w:r>
    </w:p>
    <w:p>
      <w:pPr>
        <w:spacing w:after="0" w:line="161" w:lineRule="exact"/>
        <w:rPr>
          <w:sz w:val="20"/>
          <w:szCs w:val="20"/>
          <w:color w:val="auto"/>
        </w:rPr>
      </w:pPr>
    </w:p>
    <w:p>
      <w:pPr>
        <w:ind w:left="220" w:firstLine="1745"/>
        <w:spacing w:after="0" w:line="296" w:lineRule="auto"/>
        <w:rPr>
          <w:sz w:val="20"/>
          <w:szCs w:val="20"/>
          <w:color w:val="auto"/>
        </w:rPr>
      </w:pPr>
      <w:r>
        <w:rPr>
          <w:rFonts w:ascii="Arial" w:cs="Arial" w:eastAsia="Arial" w:hAnsi="Arial"/>
          <w:sz w:val="16"/>
          <w:szCs w:val="16"/>
          <w:i w:val="1"/>
          <w:iCs w:val="1"/>
          <w:color w:val="auto"/>
        </w:rPr>
        <w:t>Shares Subject to the Amended 2016 Plan</w:t>
      </w:r>
      <w:r>
        <w:rPr>
          <w:rFonts w:ascii="Arial" w:cs="Arial" w:eastAsia="Arial" w:hAnsi="Arial"/>
          <w:sz w:val="16"/>
          <w:szCs w:val="16"/>
          <w:color w:val="auto"/>
        </w:rPr>
        <w:t>. The Amended 2016 Plan would authorize a total number of six million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to be issued. Awards with respect to no more than 900,000 shares of our Class A common stock may be issued per year, per participant, in the form of incentive stock options, non-qualified stock options, stock appreciation rights or certain performance-based awards denominated in our Class A common stock. The maximum dollar value payable in respect to performance-based awards valued in cash or with reference to property other than our Class A common stock and granted to any participant in any one calendar year is $15 million.</w:t>
      </w:r>
    </w:p>
    <w:p>
      <w:pPr>
        <w:spacing w:after="0" w:line="121" w:lineRule="exact"/>
        <w:rPr>
          <w:sz w:val="20"/>
          <w:szCs w:val="20"/>
          <w:color w:val="auto"/>
        </w:rPr>
      </w:pPr>
    </w:p>
    <w:p>
      <w:pPr>
        <w:ind w:left="220" w:right="120" w:firstLine="1745"/>
        <w:spacing w:after="0" w:line="311" w:lineRule="auto"/>
        <w:rPr>
          <w:sz w:val="20"/>
          <w:szCs w:val="20"/>
          <w:color w:val="auto"/>
        </w:rPr>
      </w:pPr>
      <w:r>
        <w:rPr>
          <w:rFonts w:ascii="Arial" w:cs="Arial" w:eastAsia="Arial" w:hAnsi="Arial"/>
          <w:sz w:val="16"/>
          <w:szCs w:val="16"/>
          <w:color w:val="auto"/>
        </w:rPr>
        <w:t>We will make available the number of shares of our Class A common stock necessary to satisfy the maximum number of shares that may be issued under the Amended 2016 Plan. The shares of our Class A common stock underlying any award granted under the Amended 2016 Plan that expires, terminates or is cancelled or forfeited for any reason will again become available for awards under the Amended 2016 Plan.</w:t>
      </w:r>
    </w:p>
    <w:p>
      <w:pPr>
        <w:spacing w:after="0" w:line="108" w:lineRule="exact"/>
        <w:rPr>
          <w:sz w:val="20"/>
          <w:szCs w:val="20"/>
          <w:color w:val="auto"/>
        </w:rPr>
      </w:pPr>
    </w:p>
    <w:p>
      <w:pPr>
        <w:ind w:left="220" w:right="40" w:firstLine="1745"/>
        <w:spacing w:after="0" w:line="25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of the Company or any subsidiary, non-employee directors of the Company, or any other natural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provides services (other than capital raising services) to the Company or a subsidiary will be eligible to be granted awards under the Amended 2016 Plan. As of April 24, 2020, an aggregate of approximately 1,885 persons (including approximately 1,850 employees, 10 non-employee directors and 25 consultants) were eligible to participate in the Amended 2016 Plan. The Compensation Committee selects participants for the Amended 2016 Plan from among the eligible persons.</w:t>
      </w:r>
    </w:p>
    <w:p>
      <w:pPr>
        <w:spacing w:after="0" w:line="161" w:lineRule="exact"/>
        <w:rPr>
          <w:sz w:val="20"/>
          <w:szCs w:val="20"/>
          <w:color w:val="auto"/>
        </w:rPr>
      </w:pPr>
    </w:p>
    <w:p>
      <w:pPr>
        <w:ind w:left="220" w:right="160" w:firstLine="1745"/>
        <w:spacing w:after="0" w:line="259" w:lineRule="auto"/>
        <w:rPr>
          <w:sz w:val="20"/>
          <w:szCs w:val="20"/>
          <w:color w:val="auto"/>
        </w:rPr>
      </w:pPr>
      <w:r>
        <w:rPr>
          <w:rFonts w:ascii="Arial" w:cs="Arial" w:eastAsia="Arial" w:hAnsi="Arial"/>
          <w:sz w:val="18"/>
          <w:szCs w:val="18"/>
          <w:i w:val="1"/>
          <w:iCs w:val="1"/>
          <w:color w:val="auto"/>
        </w:rPr>
        <w:t xml:space="preserve">Separate Compensation Limits for Non-Employee Directors. </w:t>
      </w:r>
      <w:r>
        <w:rPr>
          <w:rFonts w:ascii="Arial" w:cs="Arial" w:eastAsia="Arial" w:hAnsi="Arial"/>
          <w:sz w:val="18"/>
          <w:szCs w:val="18"/>
          <w:color w:val="auto"/>
        </w:rPr>
        <w:t>Consistent with developing market practice, the Amended 2016</w:t>
      </w:r>
      <w:r>
        <w:rPr>
          <w:rFonts w:ascii="Arial" w:cs="Arial" w:eastAsia="Arial" w:hAnsi="Arial"/>
          <w:sz w:val="18"/>
          <w:szCs w:val="18"/>
          <w:i w:val="1"/>
          <w:iCs w:val="1"/>
          <w:color w:val="auto"/>
        </w:rPr>
        <w:t xml:space="preserve"> </w:t>
      </w:r>
      <w:r>
        <w:rPr>
          <w:rFonts w:ascii="Arial" w:cs="Arial" w:eastAsia="Arial" w:hAnsi="Arial"/>
          <w:sz w:val="18"/>
          <w:szCs w:val="18"/>
          <w:color w:val="auto"/>
        </w:rPr>
        <w:t>Plan imposes annual limits on the aggregate value of compensation granted to any one non-employee director in respect of any calendar year with respect to his or her service as a non-employee director. Under the Amended 2016 Plan, the aggregate grant date value of equity awards plus annual cash compensation may not exceed $500,000.</w:t>
      </w:r>
    </w:p>
    <w:p>
      <w:pPr>
        <w:spacing w:after="0" w:line="268" w:lineRule="exact"/>
        <w:rPr>
          <w:sz w:val="20"/>
          <w:szCs w:val="20"/>
          <w:color w:val="auto"/>
        </w:rPr>
      </w:pPr>
    </w:p>
    <w:p>
      <w:pPr>
        <w:ind w:left="220" w:firstLine="1745"/>
        <w:spacing w:after="0" w:line="257" w:lineRule="auto"/>
        <w:rPr>
          <w:sz w:val="20"/>
          <w:szCs w:val="20"/>
          <w:color w:val="auto"/>
        </w:rPr>
      </w:pPr>
      <w:r>
        <w:rPr>
          <w:rFonts w:ascii="Arial" w:cs="Arial" w:eastAsia="Arial" w:hAnsi="Arial"/>
          <w:sz w:val="18"/>
          <w:szCs w:val="18"/>
          <w:i w:val="1"/>
          <w:iCs w:val="1"/>
          <w:color w:val="auto"/>
        </w:rPr>
        <w:t>Stock Options and Stock Appreciation Rights</w:t>
      </w:r>
      <w:r>
        <w:rPr>
          <w:rFonts w:ascii="Arial" w:cs="Arial" w:eastAsia="Arial" w:hAnsi="Arial"/>
          <w:sz w:val="18"/>
          <w:szCs w:val="18"/>
          <w:color w:val="auto"/>
        </w:rPr>
        <w:t>. The Compensation Committee may award non-qualified or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the Amended 2016 Plan. As noted above, the Amended 2016 Plan does not permit the repricing of options or stock appreciation rights or the granting of discounted options or stock appreciation rights. Stock options granted under the Amended 2016 Plan will become vested and exercisable at such times and upon such terms and conditions as may be determined by the Compensation Committee at the time of grant, but an option will generally not be exercisable for a period of more than 10 years after it is granted.</w:t>
      </w:r>
    </w:p>
    <w:p>
      <w:pPr>
        <w:spacing w:after="0" w:line="147" w:lineRule="exact"/>
        <w:rPr>
          <w:sz w:val="20"/>
          <w:szCs w:val="20"/>
          <w:color w:val="auto"/>
        </w:rPr>
      </w:pPr>
    </w:p>
    <w:p>
      <w:pPr>
        <w:ind w:left="220" w:right="200" w:firstLine="1745"/>
        <w:spacing w:after="0" w:line="291" w:lineRule="auto"/>
        <w:rPr>
          <w:sz w:val="20"/>
          <w:szCs w:val="20"/>
          <w:color w:val="auto"/>
        </w:rPr>
      </w:pPr>
      <w:r>
        <w:rPr>
          <w:rFonts w:ascii="Arial" w:cs="Arial" w:eastAsia="Arial" w:hAnsi="Arial"/>
          <w:sz w:val="16"/>
          <w:szCs w:val="16"/>
          <w:color w:val="auto"/>
        </w:rPr>
        <w:t>The exercise price per share of our Class A common stock for any stock option awarded will not be less than the fair market value of a share of our Class A common stock on the day the stock option is granted. To the extent permitted by the Compensation Committee, the exercise price of a stock option may be paid in cash or its equivalent; in shares of our Class A common stock having a fair market value equal to the aggregate stock option exercise price and satisfying such other requirements as may be imposed by the Compensation Committee; partly in cash and partly in shares of our Class A common stock; or through the delivery of irrevocable instructions to a broker to sell shares of our Class A common stock obtained upon the exercise of the stock option and to deliver promptly to us an amount out of the proceeds of the sale equal to the aggregate stock option exercise price for the shares of our Class A common stock being purchased.</w:t>
      </w:r>
    </w:p>
    <w:p>
      <w:pPr>
        <w:spacing w:after="0" w:line="139" w:lineRule="exact"/>
        <w:rPr>
          <w:sz w:val="20"/>
          <w:szCs w:val="20"/>
          <w:color w:val="auto"/>
        </w:rPr>
      </w:pPr>
    </w:p>
    <w:p>
      <w:pPr>
        <w:ind w:left="220" w:right="180" w:firstLine="1745"/>
        <w:spacing w:after="0" w:line="277" w:lineRule="auto"/>
        <w:rPr>
          <w:sz w:val="20"/>
          <w:szCs w:val="20"/>
          <w:color w:val="auto"/>
        </w:rPr>
      </w:pPr>
      <w:r>
        <w:rPr>
          <w:rFonts w:ascii="Arial" w:cs="Arial" w:eastAsia="Arial" w:hAnsi="Arial"/>
          <w:sz w:val="18"/>
          <w:szCs w:val="18"/>
          <w:color w:val="auto"/>
        </w:rPr>
        <w:t>The Compensation Committee may grant stock appreciation rights independent of or in conjunction with a stock option. The exercise price of a stock appreciation right will not be less than the fair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spacing w:after="0" w:line="254" w:lineRule="auto"/>
        <w:rPr>
          <w:sz w:val="20"/>
          <w:szCs w:val="20"/>
          <w:color w:val="auto"/>
        </w:rPr>
      </w:pPr>
      <w:r>
        <w:rPr>
          <w:rFonts w:ascii="Arial" w:cs="Arial" w:eastAsia="Arial" w:hAnsi="Arial"/>
          <w:sz w:val="18"/>
          <w:szCs w:val="18"/>
          <w:color w:val="auto"/>
        </w:rPr>
        <w:t>market value of a share of our Class A common stock on the date the stock appreciation right is granted; except that, in the case of a stock appreciation right granted in conjunction with a stock option, the exercise price will not be less than the exercise price of the related stock option. Each stock appreciation right granted independent of a stock option shall entitle a participant to receive, upon exercise, an amount equal to (i) the excess of (A) the fair market value on the exercise date of one share of our Class A common stock over (B) the exercise price per share of our Class A common stock, multiplied by (ii) the number of shares of our Class A common stock covered by the stock appreciation right, and each stock appreciation right granted in conjunction with a stock option will entitle a participant to surrender to us the stock option and to receive such amount. Payment will be made in shares of our Class A common stock and/or cash (with any share of our Class A common stock valued at fair market value), as determined by the Compensation Committee.</w:t>
      </w:r>
    </w:p>
    <w:p>
      <w:pPr>
        <w:spacing w:after="0" w:line="165" w:lineRule="exact"/>
        <w:rPr>
          <w:sz w:val="20"/>
          <w:szCs w:val="20"/>
          <w:color w:val="auto"/>
        </w:rPr>
      </w:pPr>
    </w:p>
    <w:p>
      <w:pPr>
        <w:ind w:left="220" w:right="20" w:firstLine="1745"/>
        <w:spacing w:after="0" w:line="272" w:lineRule="auto"/>
        <w:rPr>
          <w:sz w:val="20"/>
          <w:szCs w:val="20"/>
          <w:color w:val="auto"/>
        </w:rPr>
      </w:pPr>
      <w:r>
        <w:rPr>
          <w:rFonts w:ascii="Arial" w:cs="Arial" w:eastAsia="Arial" w:hAnsi="Arial"/>
          <w:sz w:val="17"/>
          <w:szCs w:val="17"/>
          <w:i w:val="1"/>
          <w:iCs w:val="1"/>
          <w:color w:val="auto"/>
        </w:rPr>
        <w:t>Other Stock-Based Awards</w:t>
      </w:r>
      <w:r>
        <w:rPr>
          <w:rFonts w:ascii="Arial" w:cs="Arial" w:eastAsia="Arial" w:hAnsi="Arial"/>
          <w:sz w:val="17"/>
          <w:szCs w:val="17"/>
          <w:color w:val="auto"/>
        </w:rPr>
        <w:t>. The Compensation Committee, in its sole discretion, may grant or sell shares of our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awards that are valued in whole or in part by reference to, or are otherwise based on the fair market value of, our Class A common stock. Any of these other stock-based awards may be in such form, and dependent on such conditions, as the Compensation Committee determines, including, without limitation, the right to receive, or vest with respect to, one or more shares of our Class A common stock (or the equivalent cash value of such shares of our Class A common stock) upon the completion of a specified period of service, the occurrence of an event and/or the attainment of performance objectives. The Compensation Committee may in its discretion determine whether other stock-based awards will be payable in cash, shares of our Class A common stock, or a combination of both cash and shares.</w:t>
      </w:r>
    </w:p>
    <w:p>
      <w:pPr>
        <w:spacing w:after="0" w:line="137" w:lineRule="exact"/>
        <w:rPr>
          <w:sz w:val="20"/>
          <w:szCs w:val="20"/>
          <w:color w:val="auto"/>
        </w:rPr>
      </w:pPr>
    </w:p>
    <w:p>
      <w:pPr>
        <w:ind w:left="220" w:right="140" w:firstLine="1745"/>
        <w:spacing w:after="0" w:line="287" w:lineRule="auto"/>
        <w:rPr>
          <w:sz w:val="20"/>
          <w:szCs w:val="20"/>
          <w:color w:val="auto"/>
        </w:rPr>
      </w:pPr>
      <w:r>
        <w:rPr>
          <w:rFonts w:ascii="Arial" w:cs="Arial" w:eastAsia="Arial" w:hAnsi="Arial"/>
          <w:sz w:val="16"/>
          <w:szCs w:val="16"/>
          <w:color w:val="auto"/>
        </w:rPr>
        <w:t>Certain stock awards, stock-based awards and non-stock denominated awards may be granted under the Amended 2016 Plan. Performance goals applicable to such awards may be based upon one or more of the following performance criteria: (i) net income; (ii) operating income; (iii) earnings or book value per share; (iv) stock price; (v) return on equity; (vi) expense management; (vii) return on investment;</w:t>
      </w:r>
    </w:p>
    <w:p>
      <w:pPr>
        <w:spacing w:after="0" w:line="2" w:lineRule="exact"/>
        <w:rPr>
          <w:sz w:val="20"/>
          <w:szCs w:val="20"/>
          <w:color w:val="auto"/>
        </w:rPr>
      </w:pPr>
    </w:p>
    <w:p>
      <w:pPr>
        <w:jc w:val="both"/>
        <w:ind w:left="220" w:right="440" w:firstLine="6"/>
        <w:spacing w:after="0" w:line="281" w:lineRule="auto"/>
        <w:tabs>
          <w:tab w:leader="none" w:pos="625" w:val="left"/>
        </w:tabs>
        <w:numPr>
          <w:ilvl w:val="0"/>
          <w:numId w:val="91"/>
        </w:numPr>
        <w:rPr>
          <w:rFonts w:ascii="Arial" w:cs="Arial" w:eastAsia="Arial" w:hAnsi="Arial"/>
          <w:sz w:val="16"/>
          <w:szCs w:val="16"/>
          <w:color w:val="auto"/>
        </w:rPr>
      </w:pPr>
      <w:r>
        <w:rPr>
          <w:rFonts w:ascii="Arial" w:cs="Arial" w:eastAsia="Arial" w:hAnsi="Arial"/>
          <w:sz w:val="16"/>
          <w:szCs w:val="16"/>
          <w:color w:val="auto"/>
        </w:rPr>
        <w:t>improvements in capital structure; (ix) profitability of an identifiable business unit or product; (x) profit margins; (xi) consolidated earnings before or after taxes (including EBITDA); (xii) return on assets; (xiii) revenues or sales; (xiv) working capital; (xv) market share; (xvi) costs; and</w:t>
      </w:r>
    </w:p>
    <w:p>
      <w:pPr>
        <w:spacing w:after="0" w:line="1" w:lineRule="exact"/>
        <w:rPr>
          <w:rFonts w:ascii="Arial" w:cs="Arial" w:eastAsia="Arial" w:hAnsi="Arial"/>
          <w:sz w:val="16"/>
          <w:szCs w:val="16"/>
          <w:color w:val="auto"/>
        </w:rPr>
      </w:pPr>
    </w:p>
    <w:p>
      <w:pPr>
        <w:ind w:left="220" w:right="40" w:firstLine="6"/>
        <w:spacing w:after="0" w:line="268" w:lineRule="auto"/>
        <w:tabs>
          <w:tab w:leader="none" w:pos="665" w:val="left"/>
        </w:tabs>
        <w:numPr>
          <w:ilvl w:val="0"/>
          <w:numId w:val="92"/>
        </w:numPr>
        <w:rPr>
          <w:rFonts w:ascii="Arial" w:cs="Arial" w:eastAsia="Arial" w:hAnsi="Arial"/>
          <w:sz w:val="17"/>
          <w:szCs w:val="17"/>
          <w:color w:val="auto"/>
        </w:rPr>
      </w:pPr>
      <w:r>
        <w:rPr>
          <w:rFonts w:ascii="Arial" w:cs="Arial" w:eastAsia="Arial" w:hAnsi="Arial"/>
          <w:sz w:val="17"/>
          <w:szCs w:val="17"/>
          <w:color w:val="auto"/>
        </w:rPr>
        <w:t>cash flow.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as the Compensation Committee shall determine. The Compensation Committee may specify that any performance goal is to be calculated on an adjusted basis, to exclude extraordinary items. The Compensation Committee shall determine whether, with respect to a performance period, the applicable performance goals have been met with respect to a given participant and, if they have, shall so certify and ascertain the amount of the applicable performance-based award. No performance-based awards will be paid to any participant for a given period of service until the Compensation Committee certifies that the objective performance goals (and any other material terms) applicable to such period have been satisfied. The amount of the performance-based award actually paid to a given participant may be less than the amount determined by the applicable performance goal formula, at the discretion of the Compensation Committee.</w:t>
      </w:r>
    </w:p>
    <w:p>
      <w:pPr>
        <w:spacing w:after="0" w:line="141" w:lineRule="exact"/>
        <w:rPr>
          <w:sz w:val="20"/>
          <w:szCs w:val="20"/>
          <w:color w:val="auto"/>
        </w:rPr>
      </w:pPr>
    </w:p>
    <w:p>
      <w:pPr>
        <w:ind w:left="220" w:firstLine="1745"/>
        <w:spacing w:after="0" w:line="286" w:lineRule="auto"/>
        <w:rPr>
          <w:sz w:val="20"/>
          <w:szCs w:val="20"/>
          <w:color w:val="auto"/>
        </w:rPr>
      </w:pPr>
      <w:r>
        <w:rPr>
          <w:rFonts w:ascii="Arial" w:cs="Arial" w:eastAsia="Arial" w:hAnsi="Arial"/>
          <w:sz w:val="16"/>
          <w:szCs w:val="16"/>
          <w:i w:val="1"/>
          <w:iCs w:val="1"/>
          <w:color w:val="auto"/>
        </w:rPr>
        <w:t>Adjustments upon Certain Events</w:t>
      </w:r>
      <w:r>
        <w:rPr>
          <w:rFonts w:ascii="Arial" w:cs="Arial" w:eastAsia="Arial" w:hAnsi="Arial"/>
          <w:sz w:val="16"/>
          <w:szCs w:val="16"/>
          <w:color w:val="auto"/>
        </w:rPr>
        <w:t>. In the event of any change in the outstanding shares by reason of any share dividend or split,</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merger, consolidation, spin-off, combination, transaction, exchange of shares or other corporate exchange, any distribution to shareholders of shares or cash other than regular cash dividends, or any transaction similar to the foregoing, the Compensation Committee in its sole discretion and without liability to any person will make such substitution or adjustment, if any, as it deems to be equitable, as to</w:t>
      </w:r>
    </w:p>
    <w:p>
      <w:pPr>
        <w:spacing w:after="0" w:line="1" w:lineRule="exact"/>
        <w:rPr>
          <w:sz w:val="20"/>
          <w:szCs w:val="20"/>
          <w:color w:val="auto"/>
        </w:rPr>
      </w:pPr>
    </w:p>
    <w:p>
      <w:pPr>
        <w:ind w:left="220" w:right="340" w:firstLine="6"/>
        <w:spacing w:after="0" w:line="281" w:lineRule="auto"/>
        <w:tabs>
          <w:tab w:leader="none" w:pos="4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number or kind of shares or other securities issued or reserved for issuance pursuant to the Amended 2016 Plan or pursuant to outstanding awards, (ii) the maximum number of shares for which performance-based awards denominated in shares, stock options or stock appreciation rights may be granted during a calendar year to any participant, (iii) the option price of any option or exercise price of any stock appreciation right and/or</w:t>
      </w:r>
    </w:p>
    <w:p>
      <w:pPr>
        <w:spacing w:after="0" w:line="1" w:lineRule="exact"/>
        <w:rPr>
          <w:rFonts w:ascii="Arial" w:cs="Arial" w:eastAsia="Arial" w:hAnsi="Arial"/>
          <w:sz w:val="16"/>
          <w:szCs w:val="16"/>
          <w:color w:val="auto"/>
        </w:rPr>
      </w:pPr>
    </w:p>
    <w:p>
      <w:pPr>
        <w:ind w:left="540" w:hanging="31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affected terms of such awards.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firstLine="1745"/>
        <w:spacing w:after="0" w:line="289"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of us (as defined in the Amended 2016 Plan), the Amended 2016 Plan</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that (i) if determined by the Compensation Committee in the applicable award agreement or otherwise, some or all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Compensation Committee may, but shall not be obligated to, (A) cancel some or all awards for fair value, (B) provide for the issuance of substitute awards that will substantially preserve the otherwise applicable terms of some or all affected awards previously granted under the Amended 2016 Plan as determined by the Compensation Committee in its sole discretion, or (C) provide that, with respect to awards that are stock options and/or stock appreciation rights, for a period of at least 15 days prior to the change in control, such awards will be exercisable as to all shares subject thereto and that upon the occurrence of the change in control, such stock options and/or stock appreciation rights will terminate.</w:t>
      </w:r>
    </w:p>
    <w:p>
      <w:pPr>
        <w:spacing w:after="0" w:line="139" w:lineRule="exact"/>
        <w:rPr>
          <w:sz w:val="20"/>
          <w:szCs w:val="20"/>
          <w:color w:val="auto"/>
        </w:rPr>
      </w:pPr>
    </w:p>
    <w:p>
      <w:pPr>
        <w:ind w:left="220" w:right="260" w:firstLine="1745"/>
        <w:spacing w:after="0" w:line="34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Unless otherwise determined by our Compensation Committee, no award granted under the Amended 2016</w:t>
      </w:r>
      <w:r>
        <w:rPr>
          <w:rFonts w:ascii="Arial" w:cs="Arial" w:eastAsia="Arial" w:hAnsi="Arial"/>
          <w:sz w:val="16"/>
          <w:szCs w:val="16"/>
          <w:i w:val="1"/>
          <w:iCs w:val="1"/>
          <w:color w:val="auto"/>
        </w:rPr>
        <w:t xml:space="preserve"> </w:t>
      </w:r>
      <w:r>
        <w:rPr>
          <w:rFonts w:ascii="Arial" w:cs="Arial" w:eastAsia="Arial" w:hAnsi="Arial"/>
          <w:sz w:val="16"/>
          <w:szCs w:val="16"/>
          <w:color w:val="auto"/>
        </w:rPr>
        <w:t>Plan will be transferable or assignable by a participant in the Amended 2016 Plan, other than by will or by the laws of descent and distribution.</w:t>
      </w:r>
    </w:p>
    <w:p>
      <w:pPr>
        <w:spacing w:after="0" w:line="83" w:lineRule="exact"/>
        <w:rPr>
          <w:sz w:val="20"/>
          <w:szCs w:val="20"/>
          <w:color w:val="auto"/>
        </w:rPr>
      </w:pPr>
    </w:p>
    <w:p>
      <w:pPr>
        <w:ind w:left="220" w:right="80" w:firstLine="1745"/>
        <w:spacing w:after="0" w:line="263" w:lineRule="auto"/>
        <w:rPr>
          <w:sz w:val="20"/>
          <w:szCs w:val="20"/>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The Amended 2016 Plan will become effective only upon its approval by shareholders and will remain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tenth anniversary of such approval. Irrespective of whether it is so approved, the 2016 Plan will continue in effect in accordance with its terms.</w:t>
      </w:r>
    </w:p>
    <w:p>
      <w:pPr>
        <w:spacing w:after="0" w:line="143" w:lineRule="exact"/>
        <w:rPr>
          <w:sz w:val="20"/>
          <w:szCs w:val="20"/>
          <w:color w:val="auto"/>
        </w:rPr>
      </w:pPr>
    </w:p>
    <w:p>
      <w:pPr>
        <w:ind w:left="220" w:right="140" w:firstLine="1745"/>
        <w:spacing w:after="0" w:line="29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may amend or terminate the Amended 2016 Plan, but no amendment or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made (i) without the approval of our shareholders, if such action would, except as permitted in order to adjust the shares as described above under the section “</w:t>
      </w:r>
      <w:r>
        <w:rPr>
          <w:rFonts w:ascii="Arial" w:cs="Arial" w:eastAsia="Arial" w:hAnsi="Arial"/>
          <w:sz w:val="16"/>
          <w:szCs w:val="16"/>
          <w:b w:val="1"/>
          <w:bCs w:val="1"/>
          <w:color w:val="auto"/>
        </w:rPr>
        <w:t>—Adjustments upon Certain Events</w:t>
      </w:r>
      <w:r>
        <w:rPr>
          <w:rFonts w:ascii="Arial" w:cs="Arial" w:eastAsia="Arial" w:hAnsi="Arial"/>
          <w:sz w:val="16"/>
          <w:szCs w:val="16"/>
          <w:color w:val="auto"/>
        </w:rPr>
        <w:t>” on page 80, increase the total number of shares reserved for the purposes of the Amended 2016 Plan or increase the annual per participant limit on certain awards under the Amended 2016 Plan, or (ii) without the consent of a participant, if such action would diminish any of the rights of the participant under any award previously granted under the Amended 2016 Plan. However, the Compensation Committee may amend the Amended 2016 Plan and/or any outstanding awards in such manner as it deems necessary to permit the Amended 2016 Plan and/or any outstanding awards to satisfy applicable requirements of the Code or other applicable laws.</w:t>
      </w:r>
    </w:p>
    <w:p>
      <w:pPr>
        <w:spacing w:after="0" w:line="139" w:lineRule="exact"/>
        <w:rPr>
          <w:sz w:val="20"/>
          <w:szCs w:val="20"/>
          <w:color w:val="auto"/>
        </w:rPr>
      </w:pPr>
    </w:p>
    <w:p>
      <w:pPr>
        <w:ind w:left="220" w:right="160" w:firstLine="1745"/>
        <w:spacing w:after="0" w:line="263" w:lineRule="auto"/>
        <w:rPr>
          <w:sz w:val="20"/>
          <w:szCs w:val="20"/>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The repricing of options or stock appreciation rights is not permitted without the approval of our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“Repricing” means changing the terms of an option or stock appreciation right to lower its exercise price (other than on account of a capital adjustment) or any other action that is treated as a “repricing” under generally accepted accounting principles.</w:t>
      </w:r>
    </w:p>
    <w:p>
      <w:pPr>
        <w:spacing w:after="0" w:line="143" w:lineRule="exact"/>
        <w:rPr>
          <w:sz w:val="20"/>
          <w:szCs w:val="20"/>
          <w:color w:val="auto"/>
        </w:rPr>
      </w:pPr>
    </w:p>
    <w:p>
      <w:pPr>
        <w:ind w:left="1980"/>
        <w:spacing w:after="0"/>
        <w:rPr>
          <w:sz w:val="20"/>
          <w:szCs w:val="20"/>
          <w:color w:val="auto"/>
        </w:rPr>
      </w:pPr>
      <w:r>
        <w:rPr>
          <w:rFonts w:ascii="Arial" w:cs="Arial" w:eastAsia="Arial" w:hAnsi="Arial"/>
          <w:sz w:val="16"/>
          <w:szCs w:val="16"/>
          <w:i w:val="1"/>
          <w:iCs w:val="1"/>
          <w:color w:val="auto"/>
        </w:rPr>
        <w:t>Market Value</w:t>
      </w:r>
      <w:r>
        <w:rPr>
          <w:rFonts w:ascii="Arial" w:cs="Arial" w:eastAsia="Arial" w:hAnsi="Arial"/>
          <w:sz w:val="16"/>
          <w:szCs w:val="16"/>
          <w:color w:val="auto"/>
        </w:rPr>
        <w:t>. As of April 22, 2020, the per share closing sale price of Evercore’s Class A common stock on the NYSE was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$48.25.</w:t>
      </w:r>
    </w:p>
    <w:p>
      <w:pPr>
        <w:spacing w:after="0" w:line="170" w:lineRule="exact"/>
        <w:rPr>
          <w:sz w:val="20"/>
          <w:szCs w:val="20"/>
          <w:color w:val="auto"/>
        </w:rPr>
      </w:pPr>
    </w:p>
    <w:p>
      <w:pPr>
        <w:ind w:left="220" w:firstLine="1745"/>
        <w:spacing w:after="0" w:line="263" w:lineRule="auto"/>
        <w:rPr>
          <w:sz w:val="20"/>
          <w:szCs w:val="20"/>
          <w:color w:val="auto"/>
        </w:rPr>
      </w:pPr>
      <w:r>
        <w:rPr>
          <w:rFonts w:ascii="Arial" w:cs="Arial" w:eastAsia="Arial" w:hAnsi="Arial"/>
          <w:sz w:val="18"/>
          <w:szCs w:val="18"/>
          <w:i w:val="1"/>
          <w:iCs w:val="1"/>
          <w:color w:val="auto"/>
        </w:rPr>
        <w:t>U.S. Income Tax Consequences</w:t>
      </w:r>
      <w:r>
        <w:rPr>
          <w:rFonts w:ascii="Arial" w:cs="Arial" w:eastAsia="Arial" w:hAnsi="Arial"/>
          <w:sz w:val="18"/>
          <w:szCs w:val="18"/>
          <w:color w:val="auto"/>
        </w:rPr>
        <w:t>. The following is a brief summary of the principal U.S. income tax consequences under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law of awards under the Amended 2016 Plan. This summary is not intended to be exhaustive and, among other things, does not describe non-U.S., state or local tax consequences or withholding and other payroll tax matters.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89" w:lineRule="exact"/>
        <w:rPr>
          <w:sz w:val="20"/>
          <w:szCs w:val="20"/>
          <w:color w:val="auto"/>
        </w:rPr>
      </w:pPr>
    </w:p>
    <w:p>
      <w:pPr>
        <w:ind w:left="220" w:right="20" w:firstLine="1745"/>
        <w:spacing w:after="0" w:line="255" w:lineRule="auto"/>
        <w:rPr>
          <w:sz w:val="20"/>
          <w:szCs w:val="20"/>
          <w:color w:val="auto"/>
        </w:rPr>
      </w:pPr>
      <w:r>
        <w:rPr>
          <w:rFonts w:ascii="Arial" w:cs="Arial" w:eastAsia="Arial" w:hAnsi="Arial"/>
          <w:sz w:val="18"/>
          <w:szCs w:val="18"/>
          <w:color w:val="auto"/>
        </w:rPr>
        <w:t>The grant of an option or a stock appreciation right will create no federal income tax consequences for the participant or the Company. A participant will not have taxable income upon exercising an option which is an incentive stock option, except that alternative minimum tax may apply. Upon exercising an option which is not an incentive stock option, the participant generally must recognize ordinary income equal to the difference between the exercise price and the fair market value of the freely transferable and non-forfeitable shares acquired on the date of exercise. Upon exercising a stock appreciation right, the participant must generally recognize ordinary income equal to the cash or the fair market value of the shares received.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firstLine="1745"/>
        <w:spacing w:after="0" w:line="272" w:lineRule="auto"/>
        <w:rPr>
          <w:sz w:val="20"/>
          <w:szCs w:val="20"/>
          <w:color w:val="auto"/>
        </w:rPr>
      </w:pPr>
      <w:r>
        <w:rPr>
          <w:rFonts w:ascii="Arial" w:cs="Arial" w:eastAsia="Arial" w:hAnsi="Arial"/>
          <w:sz w:val="17"/>
          <w:szCs w:val="17"/>
          <w:color w:val="auto"/>
        </w:rPr>
        <w:t>Upon a disposition of shares acquired upon exercise of an incentive stock option before the end of the applicable incentive stock option holding periods (two years from the date the option was granted and one year from the date the shares were transferred upon the exercise of the option), the participant must generally recognize ordinary income equal to the lesser of (i) the fair market value of the incentive stock option shares at the date of exercise minus the exercise price or (ii) the amount realized upon the disposition of the incentive stock option shares minus the exercise price. Any gain realized in excess of the fair market value at the time of exercise will be short or long term capital gain, as applicable. Upon disposition of shares acquired upon exercise of an incentive stock option after the end of the applicable holding periods, no ordinary income is recognized and any gain or loss relative to the option exercise price will be long term capital gain or loss.</w:t>
      </w:r>
    </w:p>
    <w:p>
      <w:pPr>
        <w:spacing w:after="0" w:line="150" w:lineRule="exact"/>
        <w:rPr>
          <w:sz w:val="20"/>
          <w:szCs w:val="20"/>
          <w:color w:val="auto"/>
        </w:rPr>
      </w:pPr>
    </w:p>
    <w:p>
      <w:pPr>
        <w:jc w:val="both"/>
        <w:ind w:left="220" w:right="160" w:firstLine="1745"/>
        <w:spacing w:after="0" w:line="311" w:lineRule="auto"/>
        <w:rPr>
          <w:sz w:val="20"/>
          <w:szCs w:val="20"/>
          <w:color w:val="auto"/>
        </w:rPr>
      </w:pPr>
      <w:r>
        <w:rPr>
          <w:rFonts w:ascii="Arial" w:cs="Arial" w:eastAsia="Arial" w:hAnsi="Arial"/>
          <w:sz w:val="16"/>
          <w:szCs w:val="16"/>
          <w:color w:val="auto"/>
        </w:rPr>
        <w:t>A participant’s sale of shares acquired by exercise of an option that was not an incentive stock option or a stock appreciation right generally will result in short-term or long term capital gain or loss measured by the difference between the sale price and the tax “basis” in the shares, which generally is the amount he or she recognized as ordinary income in connection with the option’s or stock appreciation right’s exercise.</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ind w:left="220" w:firstLine="1745"/>
        <w:spacing w:after="0" w:line="293" w:lineRule="auto"/>
        <w:rPr>
          <w:sz w:val="20"/>
          <w:szCs w:val="20"/>
          <w:color w:val="auto"/>
        </w:rPr>
      </w:pPr>
      <w:r>
        <w:rPr>
          <w:rFonts w:ascii="Arial" w:cs="Arial" w:eastAsia="Arial" w:hAnsi="Arial"/>
          <w:sz w:val="16"/>
          <w:szCs w:val="16"/>
          <w:color w:val="auto"/>
        </w:rPr>
        <w:t>A participant will generally not recognize federal taxable income when he or she receives a grant of restricted stock, and the Company will not be entitled to a deduction, until the stock is transferable by the participant or is not subject to a substantial risk of forfeiture. When the stock is either transferable or is no longer subject to a substantial risk of forfeiture, a participant will recognize ordinary income in an amount equal to the fair market value of the shares at that time (less any amounts paid for the shares). Any gain or loss recognized by the participant upon a later disposition of the shares will be capital gain or loss. A participant’s holding period for purposes of determining whether that capital gain or loss is long term or short-term will be counted from the date the stock became transferable or ceased to be subject to a substantial risk of forfeiture.</w:t>
      </w:r>
    </w:p>
    <w:p>
      <w:pPr>
        <w:spacing w:after="0" w:line="137" w:lineRule="exact"/>
        <w:rPr>
          <w:sz w:val="20"/>
          <w:szCs w:val="20"/>
          <w:color w:val="auto"/>
        </w:rPr>
      </w:pPr>
    </w:p>
    <w:p>
      <w:pPr>
        <w:ind w:left="220" w:right="120" w:firstLine="1745"/>
        <w:spacing w:after="0" w:line="273" w:lineRule="auto"/>
        <w:rPr>
          <w:sz w:val="20"/>
          <w:szCs w:val="20"/>
          <w:color w:val="auto"/>
        </w:rPr>
      </w:pPr>
      <w:r>
        <w:rPr>
          <w:rFonts w:ascii="Arial" w:cs="Arial" w:eastAsia="Arial" w:hAnsi="Arial"/>
          <w:sz w:val="17"/>
          <w:szCs w:val="17"/>
          <w:color w:val="auto"/>
        </w:rPr>
        <w:t>A participant may elect to recognize ordinary income in the year when the share award is granted in an amount equal to the fair market value of the shares subject to the award (less any amounts paid for such shares) at the time of grant, determined without regard to any restrictions. This election is referred to as a Section 83(b) election. In that event, the Company will be entitled to a corresponding deduction in the same year. Any gain or loss recognized by the participant upon a later disposition of the shares will be capital gain or loss. A participant’s holding period for purposes of determining whether that capital gain or loss is long term or short-term will be counted from the date of the original transfer to the participant. The participant may not claim a credit for any tax previously paid on stock that is later forfeited.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RSUs.</w:t>
      </w:r>
    </w:p>
    <w:p>
      <w:pPr>
        <w:spacing w:after="0" w:line="189" w:lineRule="exact"/>
        <w:rPr>
          <w:sz w:val="20"/>
          <w:szCs w:val="20"/>
          <w:color w:val="auto"/>
        </w:rPr>
      </w:pPr>
    </w:p>
    <w:p>
      <w:pPr>
        <w:ind w:left="220" w:firstLine="1745"/>
        <w:spacing w:after="0" w:line="255" w:lineRule="auto"/>
        <w:rPr>
          <w:sz w:val="20"/>
          <w:szCs w:val="20"/>
          <w:color w:val="auto"/>
        </w:rPr>
      </w:pPr>
      <w:r>
        <w:rPr>
          <w:rFonts w:ascii="Arial" w:cs="Arial" w:eastAsia="Arial" w:hAnsi="Arial"/>
          <w:sz w:val="18"/>
          <w:szCs w:val="18"/>
          <w:color w:val="auto"/>
        </w:rPr>
        <w:t>If a participant is granted a RSU, he or she will not be required to recognize any taxable income at the time of grant. Upon distribution of shares in respect of RSUs, the fair market value of those shares will be taxable to the participant as ordinary income. The subsequent disposition of shares acquired pursuant to a restricted stock unit will result in capital gain or loss based on the difference between the price received on disposition and the participant’s basis in those shares (generally, the market value of the shares at the time of their issuance). A participant’s holding period for purposes of determining whether that capital gain or loss is long term or short-term will be counted from the date the stock is issued to the participant.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Tax Consequences to Evercore.</w:t>
      </w:r>
    </w:p>
    <w:p>
      <w:pPr>
        <w:spacing w:after="0" w:line="189" w:lineRule="exact"/>
        <w:rPr>
          <w:sz w:val="20"/>
          <w:szCs w:val="20"/>
          <w:color w:val="auto"/>
        </w:rPr>
      </w:pPr>
    </w:p>
    <w:p>
      <w:pPr>
        <w:ind w:left="220" w:right="120" w:firstLine="1745"/>
        <w:spacing w:after="0" w:line="259" w:lineRule="auto"/>
        <w:rPr>
          <w:sz w:val="20"/>
          <w:szCs w:val="20"/>
          <w:color w:val="auto"/>
        </w:rPr>
      </w:pPr>
      <w:r>
        <w:rPr>
          <w:rFonts w:ascii="Arial" w:cs="Arial" w:eastAsia="Arial" w:hAnsi="Arial"/>
          <w:sz w:val="18"/>
          <w:szCs w:val="18"/>
          <w:color w:val="auto"/>
        </w:rPr>
        <w:t>Subject to Section 162(m) of the Code, Evercore normally can claim a tax deduction equal to the amount recognized as ordinary income by a participant in connection with an award granted under the Amended 2016 Plan, but no tax deduction relating to a participant’s capital gains. Accordingly, we will not be entitled to any tax deduction with respect to an incentive stock option if the participant holds the shares for the applicable incentive stock option holding period before selling the shares.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80" w:firstLine="1745"/>
        <w:spacing w:after="0" w:line="301" w:lineRule="auto"/>
        <w:rPr>
          <w:sz w:val="20"/>
          <w:szCs w:val="20"/>
          <w:color w:val="auto"/>
        </w:rPr>
      </w:pPr>
      <w:r>
        <w:rPr>
          <w:rFonts w:ascii="Arial" w:cs="Arial" w:eastAsia="Arial" w:hAnsi="Arial"/>
          <w:sz w:val="16"/>
          <w:szCs w:val="16"/>
          <w:color w:val="auto"/>
        </w:rPr>
        <w:t>In general, Section 162(m) of the Code denies a publicly held corporation a federal income tax deduction for compensation in excess of $1 million per year per person paid to its “covered employees,” subject to certain exceptions. Under the new tax legislation, the deductibility limit related to compensation paid to certain covered employees may also apply to any compensation paid by Evercore LP to Evercore’s covered employees, but only to the extent that Evercore allocates a share of the otherwise deductible compensation as a result of its ownership in Evercore LP.</w:t>
      </w:r>
    </w:p>
    <w:p>
      <w:pPr>
        <w:spacing w:after="0" w:line="130" w:lineRule="exact"/>
        <w:rPr>
          <w:sz w:val="20"/>
          <w:szCs w:val="20"/>
          <w:color w:val="auto"/>
        </w:rPr>
      </w:pPr>
    </w:p>
    <w:p>
      <w:pPr>
        <w:ind w:left="220" w:right="60" w:firstLine="1745"/>
        <w:spacing w:after="0" w:line="255" w:lineRule="auto"/>
        <w:rPr>
          <w:sz w:val="20"/>
          <w:szCs w:val="20"/>
          <w:color w:val="auto"/>
        </w:rPr>
      </w:pPr>
      <w:r>
        <w:rPr>
          <w:rFonts w:ascii="Arial" w:cs="Arial" w:eastAsia="Arial" w:hAnsi="Arial"/>
          <w:sz w:val="18"/>
          <w:szCs w:val="18"/>
          <w:color w:val="auto"/>
        </w:rPr>
        <w:t>The foregoing provides only a general description of the application of federal income tax laws to certain awards under the Amended 2016 Plan. This discussion is intended for the information of shareholders considering how to vote at the Annual Meeting and not as tax guidance to participants in the Amended 2016 Plan, as the consequences may vary with the types of awards made, the identity of the recipients and the method of payment or settlement. Different tax rules may apply to variations on transactions that are permitted under the Amended 2016 Plan (such as payment of the exercise price of an option by surrender of previously acquired shares). In addition, we reserve the authority to award compensation that may not be fully deductible or deductible at all.</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FFFFFF"/>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72" w:lineRule="exact"/>
        <w:rPr>
          <w:sz w:val="20"/>
          <w:szCs w:val="20"/>
          <w:color w:val="auto"/>
        </w:rPr>
      </w:pPr>
    </w:p>
    <w:p>
      <w:pPr>
        <w:ind w:left="220" w:right="60" w:firstLine="1745"/>
        <w:spacing w:after="0" w:line="273" w:lineRule="auto"/>
        <w:rPr>
          <w:sz w:val="20"/>
          <w:szCs w:val="20"/>
          <w:color w:val="auto"/>
        </w:rPr>
      </w:pPr>
      <w:r>
        <w:rPr>
          <w:rFonts w:ascii="Arial" w:cs="Arial" w:eastAsia="Arial" w:hAnsi="Arial"/>
          <w:sz w:val="17"/>
          <w:szCs w:val="17"/>
          <w:color w:val="auto"/>
        </w:rPr>
        <w:t>The amounts that will be awarded under the Amended 2016 Plan cannot currently be determined because awards made by the Compensation Committee are based on several factors, as described above in “</w:t>
      </w:r>
      <w:r>
        <w:rPr>
          <w:rFonts w:ascii="Arial" w:cs="Arial" w:eastAsia="Arial" w:hAnsi="Arial"/>
          <w:sz w:val="17"/>
          <w:szCs w:val="17"/>
          <w:b w:val="1"/>
          <w:bCs w:val="1"/>
          <w:color w:val="auto"/>
        </w:rPr>
        <w:t>Compensation of Named Executive Officers</w:t>
      </w:r>
      <w:r>
        <w:rPr>
          <w:rFonts w:ascii="Arial" w:cs="Arial" w:eastAsia="Arial" w:hAnsi="Arial"/>
          <w:sz w:val="17"/>
          <w:szCs w:val="17"/>
          <w:color w:val="auto"/>
        </w:rPr>
        <w:t>” (on page 46). Simply to illustrate potential future use of the Amended 2016 Plan, the following table shows the grant date fair value and number of shares subject to awards that were received by our NEOs, other executive officers, non-employee directors and employees (including senior advisors and consultants) who are not executive officers of Evercore in 2019, pursuant to the 2016 Plan. These amounts do not reflect grants made in 2020 for 2019 performance. The awards granted in 2019 would not have changed if the 2020 Plan had been in place instead of the 2016 Plan.</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0016FF"/>
                <w:w w:val="95"/>
              </w:rPr>
              <w:t>Grant Date Fair</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0016FF"/>
                <w:w w:val="91"/>
              </w:rPr>
              <w:t>Value(1)</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0016FF"/>
                <w:w w:val="92"/>
              </w:rPr>
              <w:t>Number of Shares</w:t>
            </w:r>
          </w:p>
        </w:tc>
      </w:tr>
      <w:tr>
        <w:trPr>
          <w:trHeight w:val="234"/>
        </w:trPr>
        <w:tc>
          <w:tcPr>
            <w:tcW w:w="782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0016FF"/>
              </w:rPr>
              <w:t>Name and Position</w:t>
            </w: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0016FF"/>
              </w:rPr>
              <w:t>($)</w:t>
            </w:r>
          </w:p>
        </w:tc>
        <w:tc>
          <w:tcPr>
            <w:tcW w:w="4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0016FF"/>
              </w:rPr>
              <w:t>(#)</w:t>
            </w:r>
          </w:p>
        </w:tc>
        <w:tc>
          <w:tcPr>
            <w:tcW w:w="60" w:type="dxa"/>
            <w:vAlign w:val="bottom"/>
            <w:tcBorders>
              <w:bottom w:val="single" w:sz="8" w:color="CCEEFF"/>
            </w:tcBorders>
          </w:tcPr>
          <w:p>
            <w:pPr>
              <w:spacing w:after="0"/>
              <w:rPr>
                <w:sz w:val="20"/>
                <w:szCs w:val="20"/>
                <w:color w:val="auto"/>
              </w:rPr>
            </w:pPr>
          </w:p>
        </w:tc>
      </w:tr>
      <w:tr>
        <w:trPr>
          <w:trHeight w:val="210"/>
        </w:trPr>
        <w:tc>
          <w:tcPr>
            <w:tcW w:w="7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Ralph L. Schlosstein, CEO and President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4,312,898</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47,169</w:t>
            </w:r>
          </w:p>
        </w:tc>
        <w:tc>
          <w:tcPr>
            <w:tcW w:w="60" w:type="dxa"/>
            <w:vAlign w:val="bottom"/>
            <w:shd w:val="clear" w:color="auto" w:fill="CCEEFF"/>
          </w:tcPr>
          <w:p>
            <w:pPr>
              <w:spacing w:after="0"/>
              <w:rPr>
                <w:sz w:val="18"/>
                <w:szCs w:val="18"/>
                <w:color w:val="auto"/>
              </w:rPr>
            </w:pPr>
          </w:p>
        </w:tc>
      </w:tr>
      <w:tr>
        <w:trPr>
          <w:trHeight w:val="216"/>
        </w:trPr>
        <w:tc>
          <w:tcPr>
            <w:tcW w:w="7820" w:type="dxa"/>
            <w:vAlign w:val="bottom"/>
          </w:tcPr>
          <w:p>
            <w:pPr>
              <w:ind w:left="540"/>
              <w:spacing w:after="0"/>
              <w:rPr>
                <w:sz w:val="20"/>
                <w:szCs w:val="20"/>
                <w:color w:val="auto"/>
              </w:rPr>
            </w:pPr>
            <w:r>
              <w:rPr>
                <w:rFonts w:ascii="Arial" w:cs="Arial" w:eastAsia="Arial" w:hAnsi="Arial"/>
                <w:sz w:val="18"/>
                <w:szCs w:val="18"/>
                <w:color w:val="auto"/>
              </w:rPr>
              <w:t>Roger C. Altman, Founder and Senior Chairman</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5,835,107</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63,817</w:t>
            </w:r>
          </w:p>
        </w:tc>
      </w:tr>
      <w:tr>
        <w:trPr>
          <w:trHeight w:val="216"/>
        </w:trPr>
        <w:tc>
          <w:tcPr>
            <w:tcW w:w="7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John S. Weinberg, Executive Chairman</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4,312,898</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47,169</w:t>
            </w:r>
          </w:p>
        </w:tc>
      </w:tr>
      <w:tr>
        <w:trPr>
          <w:trHeight w:val="216"/>
        </w:trPr>
        <w:tc>
          <w:tcPr>
            <w:tcW w:w="7820" w:type="dxa"/>
            <w:vAlign w:val="bottom"/>
          </w:tcPr>
          <w:p>
            <w:pPr>
              <w:ind w:left="540"/>
              <w:spacing w:after="0"/>
              <w:rPr>
                <w:sz w:val="20"/>
                <w:szCs w:val="20"/>
                <w:color w:val="auto"/>
              </w:rPr>
            </w:pPr>
            <w:r>
              <w:rPr>
                <w:rFonts w:ascii="Arial" w:cs="Arial" w:eastAsia="Arial" w:hAnsi="Arial"/>
                <w:sz w:val="18"/>
                <w:szCs w:val="18"/>
                <w:color w:val="auto"/>
              </w:rPr>
              <w:t>Robert B. Walsh, CFO</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1,775,942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19,423</w:t>
            </w:r>
          </w:p>
        </w:tc>
      </w:tr>
      <w:tr>
        <w:trPr>
          <w:trHeight w:val="216"/>
        </w:trPr>
        <w:tc>
          <w:tcPr>
            <w:tcW w:w="7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Andrew Sibbald, Former CEO of Evercore International</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1,964,755</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21,488</w:t>
            </w:r>
          </w:p>
        </w:tc>
      </w:tr>
      <w:tr>
        <w:trPr>
          <w:trHeight w:val="216"/>
        </w:trPr>
        <w:tc>
          <w:tcPr>
            <w:tcW w:w="7820" w:type="dxa"/>
            <w:vAlign w:val="bottom"/>
          </w:tcPr>
          <w:p>
            <w:pPr>
              <w:ind w:left="540"/>
              <w:spacing w:after="0"/>
              <w:rPr>
                <w:sz w:val="20"/>
                <w:szCs w:val="20"/>
                <w:color w:val="auto"/>
              </w:rPr>
            </w:pPr>
            <w:r>
              <w:rPr>
                <w:rFonts w:ascii="Arial" w:cs="Arial" w:eastAsia="Arial" w:hAnsi="Arial"/>
                <w:sz w:val="18"/>
                <w:szCs w:val="18"/>
                <w:color w:val="auto"/>
              </w:rPr>
              <w:t>Executive officers as a group (8 individuals)</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19,286,293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210,929</w:t>
            </w:r>
          </w:p>
        </w:tc>
      </w:tr>
      <w:tr>
        <w:trPr>
          <w:trHeight w:val="216"/>
        </w:trPr>
        <w:tc>
          <w:tcPr>
            <w:tcW w:w="7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Non-employee directors as a group (10 individuals)</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862,494</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9,986</w:t>
            </w:r>
          </w:p>
        </w:tc>
      </w:tr>
      <w:tr>
        <w:trPr>
          <w:trHeight w:val="202"/>
        </w:trPr>
        <w:tc>
          <w:tcPr>
            <w:tcW w:w="7820" w:type="dxa"/>
            <w:vAlign w:val="bottom"/>
          </w:tcPr>
          <w:p>
            <w:pPr>
              <w:ind w:left="540"/>
              <w:spacing w:after="0" w:line="201" w:lineRule="exact"/>
              <w:rPr>
                <w:sz w:val="20"/>
                <w:szCs w:val="20"/>
                <w:color w:val="auto"/>
              </w:rPr>
            </w:pPr>
            <w:r>
              <w:rPr>
                <w:rFonts w:ascii="Arial" w:cs="Arial" w:eastAsia="Arial" w:hAnsi="Arial"/>
                <w:sz w:val="18"/>
                <w:szCs w:val="18"/>
                <w:color w:val="auto"/>
                <w:w w:val="97"/>
              </w:rPr>
              <w:t>Non-executive officer employees as a group (</w:t>
            </w:r>
            <w:r>
              <w:rPr>
                <w:rFonts w:ascii="Arial" w:cs="Arial" w:eastAsia="Arial" w:hAnsi="Arial"/>
                <w:sz w:val="18"/>
                <w:szCs w:val="18"/>
                <w:i w:val="1"/>
                <w:iCs w:val="1"/>
                <w:color w:val="auto"/>
                <w:w w:val="97"/>
              </w:rPr>
              <w:t>i.e.,</w:t>
            </w:r>
            <w:r>
              <w:rPr>
                <w:rFonts w:ascii="Arial" w:cs="Arial" w:eastAsia="Arial" w:hAnsi="Arial"/>
                <w:sz w:val="18"/>
                <w:szCs w:val="18"/>
                <w:color w:val="auto"/>
                <w:w w:val="97"/>
              </w:rPr>
              <w:t xml:space="preserve"> all employees, including senior advisors and</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consultants, other than the executive officers listed in this table)</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216,531,879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2,379,127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13970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50" w:lineRule="exact"/>
        <w:rPr>
          <w:sz w:val="20"/>
          <w:szCs w:val="20"/>
          <w:color w:val="auto"/>
        </w:rPr>
      </w:pPr>
    </w:p>
    <w:p>
      <w:pPr>
        <w:ind w:left="660" w:right="200" w:hanging="436"/>
        <w:spacing w:after="0" w:line="253" w:lineRule="auto"/>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in the column under “Grant Date Fair Value” represent the grant date fair value of the awards, as computed in accordance with FASB ASC Topic 718. The grant date fair value of the awards is based on the average of the high and low trading price of the Class A common stock on the grant date.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FFFFFF"/>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0341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86" w:lineRule="exact"/>
        <w:rPr>
          <w:sz w:val="20"/>
          <w:szCs w:val="20"/>
          <w:color w:val="auto"/>
        </w:rPr>
      </w:pPr>
    </w:p>
    <w:p>
      <w:pPr>
        <w:ind w:left="220" w:right="280" w:firstLine="1745"/>
        <w:spacing w:after="0" w:line="277" w:lineRule="auto"/>
        <w:rPr>
          <w:sz w:val="20"/>
          <w:szCs w:val="20"/>
          <w:color w:val="auto"/>
        </w:rPr>
      </w:pPr>
      <w:r>
        <w:rPr>
          <w:rFonts w:ascii="Arial" w:cs="Arial" w:eastAsia="Arial" w:hAnsi="Arial"/>
          <w:sz w:val="18"/>
          <w:szCs w:val="18"/>
          <w:color w:val="auto"/>
        </w:rPr>
        <w:t>The following table summarizes Evercore’s equity compensation plans as of December 31, 2019 and does not reflect grants made in 2020 for 2019 performance:</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440" w:type="dxa"/>
            <w:vAlign w:val="bottom"/>
          </w:tcPr>
          <w:p>
            <w:pPr>
              <w:ind w:left="1600"/>
              <w:spacing w:after="0"/>
              <w:rPr>
                <w:sz w:val="20"/>
                <w:szCs w:val="20"/>
                <w:color w:val="auto"/>
              </w:rPr>
            </w:pPr>
            <w:r>
              <w:rPr>
                <w:rFonts w:ascii="Arial" w:cs="Arial" w:eastAsia="Arial" w:hAnsi="Arial"/>
                <w:sz w:val="14"/>
                <w:szCs w:val="14"/>
                <w:b w:val="1"/>
                <w:bCs w:val="1"/>
                <w:color w:val="0016FF"/>
                <w:w w:val="88"/>
              </w:rPr>
              <w:t>Number of shares to be issued</w:t>
            </w:r>
          </w:p>
        </w:tc>
        <w:tc>
          <w:tcPr>
            <w:tcW w:w="0" w:type="dxa"/>
            <w:vAlign w:val="bottom"/>
          </w:tcPr>
          <w:p>
            <w:pPr>
              <w:spacing w:after="0"/>
              <w:rPr>
                <w:sz w:val="1"/>
                <w:szCs w:val="1"/>
                <w:color w:val="auto"/>
              </w:rPr>
            </w:pPr>
          </w:p>
        </w:tc>
      </w:tr>
      <w:tr>
        <w:trPr>
          <w:trHeight w:val="148"/>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0016FF"/>
              </w:rPr>
              <w:t>Plan Description</w:t>
            </w:r>
          </w:p>
        </w:tc>
        <w:tc>
          <w:tcPr>
            <w:tcW w:w="3440" w:type="dxa"/>
            <w:vAlign w:val="bottom"/>
          </w:tcPr>
          <w:p>
            <w:pPr>
              <w:ind w:left="1600"/>
              <w:spacing w:after="0" w:line="149" w:lineRule="exact"/>
              <w:rPr>
                <w:sz w:val="20"/>
                <w:szCs w:val="20"/>
                <w:color w:val="auto"/>
              </w:rPr>
            </w:pPr>
            <w:r>
              <w:rPr>
                <w:rFonts w:ascii="Arial" w:cs="Arial" w:eastAsia="Arial" w:hAnsi="Arial"/>
                <w:sz w:val="14"/>
                <w:szCs w:val="14"/>
                <w:b w:val="1"/>
                <w:bCs w:val="1"/>
                <w:color w:val="0016FF"/>
                <w:w w:val="93"/>
              </w:rPr>
              <w:t>upon exercise of outstanding</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3440" w:type="dxa"/>
            <w:vAlign w:val="bottom"/>
          </w:tcPr>
          <w:p>
            <w:pPr>
              <w:ind w:left="1600"/>
              <w:spacing w:after="0"/>
              <w:rPr>
                <w:sz w:val="20"/>
                <w:szCs w:val="20"/>
                <w:color w:val="auto"/>
              </w:rPr>
            </w:pPr>
            <w:r>
              <w:rPr>
                <w:rFonts w:ascii="Arial" w:cs="Arial" w:eastAsia="Arial" w:hAnsi="Arial"/>
                <w:sz w:val="14"/>
                <w:szCs w:val="14"/>
                <w:b w:val="1"/>
                <w:bCs w:val="1"/>
                <w:color w:val="0016FF"/>
                <w:w w:val="96"/>
              </w:rPr>
              <w:t>options, warrants and rights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232" w:lineRule="auto"/>
        <w:rPr>
          <w:sz w:val="20"/>
          <w:szCs w:val="20"/>
          <w:color w:val="auto"/>
        </w:rPr>
      </w:pPr>
      <w:r>
        <w:rPr>
          <w:rFonts w:ascii="Arial" w:cs="Arial" w:eastAsia="Arial" w:hAnsi="Arial"/>
          <w:sz w:val="14"/>
          <w:szCs w:val="14"/>
          <w:b w:val="1"/>
          <w:bCs w:val="1"/>
          <w:color w:val="0016FF"/>
        </w:rPr>
        <w:t>Weighted-average exercise price of outstanding options, warrants and rights (1)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300"/>
        <w:spacing w:after="0" w:line="244" w:lineRule="auto"/>
        <w:rPr>
          <w:sz w:val="20"/>
          <w:szCs w:val="20"/>
          <w:color w:val="auto"/>
        </w:rPr>
      </w:pPr>
      <w:r>
        <w:rPr>
          <w:rFonts w:ascii="Arial" w:cs="Arial" w:eastAsia="Arial" w:hAnsi="Arial"/>
          <w:sz w:val="13"/>
          <w:szCs w:val="13"/>
          <w:b w:val="1"/>
          <w:bCs w:val="1"/>
          <w:color w:val="0016FF"/>
        </w:rPr>
        <w:t>Number of shares remaining available for future issuance under equity compensation plans</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b w:val="1"/>
          <w:bCs w:val="1"/>
          <w:color w:val="0016FF"/>
        </w:rPr>
        <w:t>(excluding securities reflected in the first column) (2)</w:t>
      </w:r>
    </w:p>
    <w:p>
      <w:pPr>
        <w:spacing w:after="0" w:line="1" w:lineRule="exact"/>
        <w:rPr>
          <w:sz w:val="20"/>
          <w:szCs w:val="20"/>
          <w:color w:val="auto"/>
        </w:rPr>
      </w:pPr>
    </w:p>
    <w:p>
      <w:pPr>
        <w:sectPr>
          <w:pgSz w:w="11900" w:h="16838" w:orient="portrait"/>
          <w:cols w:equalWidth="0" w:num="3">
            <w:col w:w="6500" w:space="240"/>
            <w:col w:w="2120" w:space="240"/>
            <w:col w:w="20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91"/>
        </w:trPr>
        <w:tc>
          <w:tcPr>
            <w:tcW w:w="26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color w:val="auto"/>
                <w:w w:val="94"/>
              </w:rPr>
              <w:t>Equity compensation plans approved by shareholders</w:t>
            </w:r>
          </w:p>
        </w:tc>
        <w:tc>
          <w:tcPr>
            <w:tcW w:w="16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0"/>
        </w:trPr>
        <w:tc>
          <w:tcPr>
            <w:tcW w:w="26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(2016 Plan)</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6,508,320</w:t>
            </w:r>
          </w:p>
        </w:tc>
        <w:tc>
          <w:tcPr>
            <w:tcW w:w="23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2,872,011</w:t>
            </w:r>
          </w:p>
        </w:tc>
      </w:tr>
      <w:tr>
        <w:trPr>
          <w:trHeight w:val="202"/>
        </w:trPr>
        <w:tc>
          <w:tcPr>
            <w:tcW w:w="260" w:type="dxa"/>
            <w:vAlign w:val="bottom"/>
          </w:tcPr>
          <w:p>
            <w:pPr>
              <w:spacing w:after="0"/>
              <w:rPr>
                <w:sz w:val="17"/>
                <w:szCs w:val="17"/>
                <w:color w:val="auto"/>
              </w:rPr>
            </w:pPr>
          </w:p>
        </w:tc>
        <w:tc>
          <w:tcPr>
            <w:tcW w:w="42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6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shareholders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14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6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6,508,320</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2,872,011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13970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36" w:lineRule="exact"/>
        <w:rPr>
          <w:sz w:val="20"/>
          <w:szCs w:val="20"/>
          <w:color w:val="auto"/>
        </w:rPr>
      </w:pPr>
    </w:p>
    <w:p>
      <w:pPr>
        <w:ind w:left="660" w:hanging="436"/>
        <w:spacing w:after="0"/>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only awards presently outstanding are RSUs, which by their nature have no exercise price.</w:t>
      </w:r>
    </w:p>
    <w:p>
      <w:pPr>
        <w:ind w:left="660" w:right="420" w:hanging="436"/>
        <w:spacing w:after="0" w:line="237" w:lineRule="auto"/>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figures shown are as of December 31, 2019 and do not reflect, among other things, grants made in 2020 for 2019 performance. As of April 22, 2020, the number of shares remaining available for future issuance under equity compensation plans (excluding securities reflected in the first column) was 1,014,853.</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REPORT OF THE AUDIT COMMITTEE</w:t>
      </w:r>
    </w:p>
    <w:p>
      <w:pPr>
        <w:spacing w:after="0" w:line="192" w:lineRule="exact"/>
        <w:rPr>
          <w:sz w:val="20"/>
          <w:szCs w:val="20"/>
          <w:color w:val="auto"/>
        </w:rPr>
      </w:pPr>
    </w:p>
    <w:p>
      <w:pPr>
        <w:ind w:left="220" w:right="240" w:firstLine="1745"/>
        <w:spacing w:after="0" w:line="277" w:lineRule="auto"/>
        <w:rPr>
          <w:sz w:val="20"/>
          <w:szCs w:val="20"/>
          <w:color w:val="auto"/>
        </w:rPr>
      </w:pPr>
      <w:r>
        <w:rPr>
          <w:rFonts w:ascii="Arial" w:cs="Arial" w:eastAsia="Arial" w:hAnsi="Arial"/>
          <w:sz w:val="18"/>
          <w:szCs w:val="18"/>
          <w:color w:val="auto"/>
        </w:rPr>
        <w:t xml:space="preserve">The duties and responsibilities of the Audit Committee are set forth in our Audit Committee Charter which can be found on our website, </w:t>
      </w:r>
      <w:r>
        <w:rPr>
          <w:rFonts w:ascii="Arial" w:cs="Arial" w:eastAsia="Arial" w:hAnsi="Arial"/>
          <w:sz w:val="18"/>
          <w:szCs w:val="18"/>
          <w:i w:val="1"/>
          <w:iCs w:val="1"/>
          <w:color w:val="auto"/>
        </w:rPr>
        <w:t>www.evercore.com</w:t>
      </w:r>
      <w:r>
        <w:rPr>
          <w:rFonts w:ascii="Arial" w:cs="Arial" w:eastAsia="Arial" w:hAnsi="Arial"/>
          <w:sz w:val="18"/>
          <w:szCs w:val="18"/>
          <w:color w:val="auto"/>
        </w:rPr>
        <w:t>, under the “For Investors” link. The Audit Committee has:</w:t>
      </w:r>
    </w:p>
    <w:p>
      <w:pPr>
        <w:spacing w:after="0" w:line="170" w:lineRule="exact"/>
        <w:rPr>
          <w:sz w:val="20"/>
          <w:szCs w:val="20"/>
          <w:color w:val="auto"/>
        </w:rPr>
      </w:pPr>
    </w:p>
    <w:p>
      <w:pPr>
        <w:ind w:left="660" w:hanging="436"/>
        <w:spacing w:after="0"/>
        <w:tabs>
          <w:tab w:leader="none" w:pos="660" w:val="left"/>
        </w:tabs>
        <w:numPr>
          <w:ilvl w:val="0"/>
          <w:numId w:val="97"/>
        </w:numPr>
        <w:rPr>
          <w:rFonts w:ascii="Arial" w:cs="Arial" w:eastAsia="Arial" w:hAnsi="Arial"/>
          <w:sz w:val="18"/>
          <w:szCs w:val="18"/>
          <w:color w:val="0A26FF"/>
        </w:rPr>
      </w:pPr>
      <w:r>
        <w:rPr>
          <w:rFonts w:ascii="Arial" w:cs="Arial" w:eastAsia="Arial" w:hAnsi="Arial"/>
          <w:sz w:val="18"/>
          <w:szCs w:val="18"/>
          <w:color w:val="auto"/>
        </w:rPr>
        <w:t>selected the independent registered public accounting firm to audit our books and records;</w:t>
      </w:r>
    </w:p>
    <w:p>
      <w:pPr>
        <w:spacing w:after="0" w:line="225" w:lineRule="exact"/>
        <w:rPr>
          <w:rFonts w:ascii="Arial" w:cs="Arial" w:eastAsia="Arial" w:hAnsi="Arial"/>
          <w:sz w:val="18"/>
          <w:szCs w:val="18"/>
          <w:color w:val="0A26FF"/>
        </w:rPr>
      </w:pPr>
    </w:p>
    <w:p>
      <w:pPr>
        <w:ind w:left="660" w:right="620" w:hanging="436"/>
        <w:spacing w:after="0" w:line="308" w:lineRule="auto"/>
        <w:tabs>
          <w:tab w:leader="none" w:pos="660" w:val="left"/>
        </w:tabs>
        <w:numPr>
          <w:ilvl w:val="0"/>
          <w:numId w:val="97"/>
        </w:numPr>
        <w:rPr>
          <w:rFonts w:ascii="Arial" w:cs="Arial" w:eastAsia="Arial" w:hAnsi="Arial"/>
          <w:sz w:val="17"/>
          <w:szCs w:val="17"/>
          <w:color w:val="0A26FF"/>
        </w:rPr>
      </w:pPr>
      <w:r>
        <w:rPr>
          <w:rFonts w:ascii="Arial" w:cs="Arial" w:eastAsia="Arial" w:hAnsi="Arial"/>
          <w:sz w:val="17"/>
          <w:szCs w:val="17"/>
          <w:color w:val="auto"/>
        </w:rPr>
        <w:t>reviewed and discussed our audited financial statements for 2019 with management and with Deloitte, our independent registered public accounting firm, and has held, as appropriate, executive sessions with Deloitte without the presence of management;</w:t>
      </w:r>
    </w:p>
    <w:p>
      <w:pPr>
        <w:spacing w:after="0" w:line="146" w:lineRule="exact"/>
        <w:rPr>
          <w:rFonts w:ascii="Arial" w:cs="Arial" w:eastAsia="Arial" w:hAnsi="Arial"/>
          <w:sz w:val="17"/>
          <w:szCs w:val="17"/>
          <w:color w:val="0A26FF"/>
        </w:rPr>
      </w:pPr>
    </w:p>
    <w:p>
      <w:pPr>
        <w:ind w:left="660" w:right="120" w:hanging="436"/>
        <w:spacing w:after="0" w:line="263" w:lineRule="auto"/>
        <w:tabs>
          <w:tab w:leader="none" w:pos="660" w:val="left"/>
        </w:tabs>
        <w:numPr>
          <w:ilvl w:val="0"/>
          <w:numId w:val="97"/>
        </w:numPr>
        <w:rPr>
          <w:rFonts w:ascii="Arial" w:cs="Arial" w:eastAsia="Arial" w:hAnsi="Arial"/>
          <w:sz w:val="18"/>
          <w:szCs w:val="18"/>
          <w:color w:val="0A26FF"/>
        </w:rPr>
      </w:pPr>
      <w:r>
        <w:rPr>
          <w:rFonts w:ascii="Arial" w:cs="Arial" w:eastAsia="Arial" w:hAnsi="Arial"/>
          <w:sz w:val="18"/>
          <w:szCs w:val="18"/>
          <w:color w:val="auto"/>
        </w:rPr>
        <w:t>discussed with our independent registered public accounting firm the matters required by the applicable standards of the Public Company Accounting Oversight Board in Rule 3200T, including the quality of our accounting principles, the reasonableness of management’s significant judgments and the clarity of disclosures in the financial statements;</w:t>
      </w:r>
    </w:p>
    <w:p>
      <w:pPr>
        <w:spacing w:after="0" w:line="183" w:lineRule="exact"/>
        <w:rPr>
          <w:rFonts w:ascii="Arial" w:cs="Arial" w:eastAsia="Arial" w:hAnsi="Arial"/>
          <w:sz w:val="18"/>
          <w:szCs w:val="18"/>
          <w:color w:val="0A26FF"/>
        </w:rPr>
      </w:pPr>
    </w:p>
    <w:p>
      <w:pPr>
        <w:ind w:left="660" w:right="20" w:hanging="436"/>
        <w:spacing w:after="0" w:line="263" w:lineRule="auto"/>
        <w:tabs>
          <w:tab w:leader="none" w:pos="660" w:val="left"/>
        </w:tabs>
        <w:numPr>
          <w:ilvl w:val="0"/>
          <w:numId w:val="97"/>
        </w:numPr>
        <w:rPr>
          <w:rFonts w:ascii="Arial" w:cs="Arial" w:eastAsia="Arial" w:hAnsi="Arial"/>
          <w:sz w:val="18"/>
          <w:szCs w:val="18"/>
          <w:color w:val="0A26FF"/>
        </w:rPr>
      </w:pPr>
      <w:r>
        <w:rPr>
          <w:rFonts w:ascii="Arial" w:cs="Arial" w:eastAsia="Arial" w:hAnsi="Arial"/>
          <w:sz w:val="18"/>
          <w:szCs w:val="18"/>
          <w:color w:val="auto"/>
        </w:rPr>
        <w:t>received from Deloitte the written disclosures and the letter required by the applicable requirements of the Public Company Accounting Oversight Board regarding the independent accountant’s communications with the Audit Committee concerning independence and has discussed with Deloitte its independence; and</w:t>
      </w:r>
    </w:p>
    <w:p>
      <w:pPr>
        <w:spacing w:after="0" w:line="183" w:lineRule="exact"/>
        <w:rPr>
          <w:rFonts w:ascii="Arial" w:cs="Arial" w:eastAsia="Arial" w:hAnsi="Arial"/>
          <w:sz w:val="18"/>
          <w:szCs w:val="18"/>
          <w:color w:val="0A26FF"/>
        </w:rPr>
      </w:pPr>
    </w:p>
    <w:p>
      <w:pPr>
        <w:ind w:left="660" w:right="660" w:hanging="436"/>
        <w:spacing w:after="0" w:line="342" w:lineRule="auto"/>
        <w:tabs>
          <w:tab w:leader="none" w:pos="660" w:val="left"/>
        </w:tabs>
        <w:numPr>
          <w:ilvl w:val="0"/>
          <w:numId w:val="97"/>
        </w:numPr>
        <w:rPr>
          <w:rFonts w:ascii="Arial" w:cs="Arial" w:eastAsia="Arial" w:hAnsi="Arial"/>
          <w:sz w:val="16"/>
          <w:szCs w:val="16"/>
          <w:color w:val="0A26FF"/>
        </w:rPr>
      </w:pPr>
      <w:r>
        <w:rPr>
          <w:rFonts w:ascii="Arial" w:cs="Arial" w:eastAsia="Arial" w:hAnsi="Arial"/>
          <w:sz w:val="16"/>
          <w:szCs w:val="16"/>
          <w:color w:val="auto"/>
        </w:rPr>
        <w:t>reviewed and discussed with management and with our independent registered public accounting firm management’s evaluation and the independent registered public accounting firm’s assessment of the effectiveness of our internal controls over financial reporting.</w:t>
      </w:r>
    </w:p>
    <w:p>
      <w:pPr>
        <w:spacing w:after="0" w:line="83" w:lineRule="exact"/>
        <w:rPr>
          <w:sz w:val="20"/>
          <w:szCs w:val="20"/>
          <w:color w:val="auto"/>
        </w:rPr>
      </w:pPr>
    </w:p>
    <w:p>
      <w:pPr>
        <w:ind w:left="220" w:right="60" w:firstLine="1745"/>
        <w:spacing w:after="0" w:line="263" w:lineRule="auto"/>
        <w:rPr>
          <w:sz w:val="20"/>
          <w:szCs w:val="20"/>
          <w:color w:val="auto"/>
        </w:rPr>
      </w:pPr>
      <w:r>
        <w:rPr>
          <w:rFonts w:ascii="Arial" w:cs="Arial" w:eastAsia="Arial" w:hAnsi="Arial"/>
          <w:sz w:val="18"/>
          <w:szCs w:val="18"/>
          <w:color w:val="auto"/>
        </w:rPr>
        <w:t>In performing all of these functions, the Audit Committee acts in an oversight capacity. The Audit Committee reviews our respective quarterly and annual reports on Form 10-Q and Form 10-K prior to filing with the SEC. In its oversight role, the Audit Committee relies on the work and assurances of:</w:t>
      </w:r>
    </w:p>
    <w:p>
      <w:pPr>
        <w:spacing w:after="0" w:line="184" w:lineRule="exact"/>
        <w:rPr>
          <w:sz w:val="20"/>
          <w:szCs w:val="20"/>
          <w:color w:val="auto"/>
        </w:rPr>
      </w:pPr>
    </w:p>
    <w:p>
      <w:pPr>
        <w:ind w:left="660" w:right="20" w:hanging="436"/>
        <w:spacing w:after="0" w:line="277" w:lineRule="auto"/>
        <w:tabs>
          <w:tab w:leader="none" w:pos="660" w:val="left"/>
        </w:tabs>
        <w:numPr>
          <w:ilvl w:val="0"/>
          <w:numId w:val="98"/>
        </w:numPr>
        <w:rPr>
          <w:rFonts w:ascii="Arial" w:cs="Arial" w:eastAsia="Arial" w:hAnsi="Arial"/>
          <w:sz w:val="18"/>
          <w:szCs w:val="18"/>
          <w:color w:val="0A26FF"/>
        </w:rPr>
      </w:pPr>
      <w:r>
        <w:rPr>
          <w:rFonts w:ascii="Arial" w:cs="Arial" w:eastAsia="Arial" w:hAnsi="Arial"/>
          <w:sz w:val="18"/>
          <w:szCs w:val="18"/>
          <w:color w:val="auto"/>
        </w:rPr>
        <w:t>our management, which has the primary responsibility for establishing and maintaining adequate internal control over financial reporting and for preparing the financial statements and other reports; and</w:t>
      </w:r>
    </w:p>
    <w:p>
      <w:pPr>
        <w:spacing w:after="0" w:line="170" w:lineRule="exact"/>
        <w:rPr>
          <w:rFonts w:ascii="Arial" w:cs="Arial" w:eastAsia="Arial" w:hAnsi="Arial"/>
          <w:sz w:val="18"/>
          <w:szCs w:val="18"/>
          <w:color w:val="0A26FF"/>
        </w:rPr>
      </w:pPr>
    </w:p>
    <w:p>
      <w:pPr>
        <w:ind w:left="660" w:right="480" w:hanging="436"/>
        <w:spacing w:after="0" w:line="277" w:lineRule="auto"/>
        <w:tabs>
          <w:tab w:leader="none" w:pos="660" w:val="left"/>
        </w:tabs>
        <w:numPr>
          <w:ilvl w:val="0"/>
          <w:numId w:val="98"/>
        </w:numPr>
        <w:rPr>
          <w:rFonts w:ascii="Arial" w:cs="Arial" w:eastAsia="Arial" w:hAnsi="Arial"/>
          <w:sz w:val="18"/>
          <w:szCs w:val="18"/>
          <w:color w:val="0A26FF"/>
        </w:rPr>
      </w:pPr>
      <w:r>
        <w:rPr>
          <w:rFonts w:ascii="Arial" w:cs="Arial" w:eastAsia="Arial" w:hAnsi="Arial"/>
          <w:sz w:val="18"/>
          <w:szCs w:val="18"/>
          <w:color w:val="auto"/>
        </w:rPr>
        <w:t>the independent registered public accounting firm, which is engaged to audit and report on our and our subsidiaries’ consolidated financial statements and the effectiveness of our internal control over financial reporting.</w:t>
      </w:r>
    </w:p>
    <w:p>
      <w:pPr>
        <w:spacing w:after="0" w:line="130" w:lineRule="exact"/>
        <w:rPr>
          <w:sz w:val="20"/>
          <w:szCs w:val="20"/>
          <w:color w:val="auto"/>
        </w:rPr>
      </w:pPr>
    </w:p>
    <w:p>
      <w:pPr>
        <w:ind w:left="220" w:firstLine="1745"/>
        <w:spacing w:after="0" w:line="263" w:lineRule="auto"/>
        <w:rPr>
          <w:sz w:val="20"/>
          <w:szCs w:val="20"/>
          <w:color w:val="auto"/>
        </w:rPr>
      </w:pPr>
      <w:r>
        <w:rPr>
          <w:rFonts w:ascii="Arial" w:cs="Arial" w:eastAsia="Arial" w:hAnsi="Arial"/>
          <w:sz w:val="18"/>
          <w:szCs w:val="18"/>
          <w:color w:val="auto"/>
        </w:rPr>
        <w:t>Based on these reviews and discussions, and the reports of the independent registered public accounting firm, the Audit Committee recommended to the Board that the audited financial statements be included in our Form 10-K for the fiscal year ended December 31, 2019 filed with the SEC.</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William J. Wheeler, Chairman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Pamela G. Carlton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Gail B. Harris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Sarah K. Williamson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Kendrick R. Wilson III</w:t>
      </w:r>
    </w:p>
    <w:p>
      <w:pPr>
        <w:spacing w:after="0" w:line="184" w:lineRule="exact"/>
        <w:rPr>
          <w:sz w:val="20"/>
          <w:szCs w:val="20"/>
          <w:color w:val="auto"/>
        </w:rPr>
      </w:pPr>
    </w:p>
    <w:p>
      <w:pPr>
        <w:ind w:left="120" w:right="20" w:firstLine="1432"/>
        <w:spacing w:after="0" w:line="263" w:lineRule="auto"/>
        <w:rPr>
          <w:sz w:val="20"/>
          <w:szCs w:val="20"/>
          <w:color w:val="auto"/>
        </w:rPr>
      </w:pPr>
      <w:r>
        <w:rPr>
          <w:rFonts w:ascii="Arial" w:cs="Arial" w:eastAsia="Arial" w:hAnsi="Arial"/>
          <w:sz w:val="18"/>
          <w:szCs w:val="18"/>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16FF"/>
        </w:rPr>
        <w:t>PROPOSAL 4—RATIFICATION OF INDEPENDENT</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16FF"/>
        </w:rPr>
        <w:t>REGISTERED PUBLIC ACCOUNTING FIRM</w:t>
      </w:r>
    </w:p>
    <w:p>
      <w:pPr>
        <w:spacing w:after="0" w:line="168" w:lineRule="exact"/>
        <w:rPr>
          <w:sz w:val="20"/>
          <w:szCs w:val="20"/>
          <w:color w:val="auto"/>
        </w:rPr>
      </w:pPr>
    </w:p>
    <w:p>
      <w:pPr>
        <w:ind w:left="220" w:right="180" w:firstLine="1745"/>
        <w:spacing w:after="0" w:line="279" w:lineRule="auto"/>
        <w:rPr>
          <w:sz w:val="20"/>
          <w:szCs w:val="20"/>
          <w:color w:val="auto"/>
        </w:rPr>
      </w:pPr>
      <w:r>
        <w:rPr>
          <w:rFonts w:ascii="Arial" w:cs="Arial" w:eastAsia="Arial" w:hAnsi="Arial"/>
          <w:sz w:val="17"/>
          <w:szCs w:val="17"/>
          <w:color w:val="auto"/>
        </w:rPr>
        <w:t>Deloitte served as our independent registered public accounting firm for 2019. Our Audit Committee has selected Deloitte as our independent registered public accounting firm to perform the audit of our consolidated financial statements for 2020, as well as an audit of our internal control over financial reporting for 2020. Representatives of Deloitte are expected to be present at our Annual Meeting, will have an opportunity to make a statement if they so desire and will be available to respond to appropriate questions.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Board Recommendation</w:t>
      </w:r>
    </w:p>
    <w:p>
      <w:pPr>
        <w:spacing w:after="0" w:line="189" w:lineRule="exact"/>
        <w:rPr>
          <w:sz w:val="20"/>
          <w:szCs w:val="20"/>
          <w:color w:val="auto"/>
        </w:rPr>
      </w:pPr>
    </w:p>
    <w:p>
      <w:pPr>
        <w:ind w:left="120" w:right="120" w:firstLine="1983"/>
        <w:spacing w:after="0" w:line="272" w:lineRule="auto"/>
        <w:rPr>
          <w:sz w:val="20"/>
          <w:szCs w:val="20"/>
          <w:color w:val="auto"/>
        </w:rPr>
      </w:pPr>
      <w:r>
        <w:rPr>
          <w:rFonts w:ascii="Arial" w:cs="Arial" w:eastAsia="Arial" w:hAnsi="Arial"/>
          <w:sz w:val="17"/>
          <w:szCs w:val="17"/>
          <w:color w:val="auto"/>
        </w:rPr>
        <w:t>The appointment of Deloitte as our independent registered public accounting firm is being submitted to our shareholders for ratification at the Annual Meeting. Our Board recommends that the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selection of Deloitte as our independent registered public accounting firm. The submission of the appointment of Deloitte is required neither by law nor by our Amended and Restated Bylaws. Our Board is nevertheless submitting it to our shareholders to ascertain their views. If our shareholders do not ratify the appointment, the selection of another independent registered public accounting firm may be considered by our Audit Committee. Even if the selection is ratified, the Audit Committee in its discretion may select a different independent registered public accounting firm at any time during the year if it determines that such a change would be in the best interests of the Company and our shareholders.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Fees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following table sets forth the aggregate fees earned by Deloitte for service provided to us in 2019 and 2018:</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2018</w:t>
            </w:r>
          </w:p>
        </w:tc>
        <w:tc>
          <w:tcPr>
            <w:tcW w:w="60" w:type="dxa"/>
            <w:vAlign w:val="bottom"/>
          </w:tcPr>
          <w:p>
            <w:pPr>
              <w:spacing w:after="0"/>
              <w:rPr>
                <w:sz w:val="20"/>
                <w:szCs w:val="20"/>
                <w:color w:val="auto"/>
              </w:rPr>
            </w:pPr>
          </w:p>
        </w:tc>
      </w:tr>
      <w:tr>
        <w:trPr>
          <w:trHeight w:val="209"/>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Audit Fees</w:t>
            </w: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w:t>
            </w:r>
          </w:p>
        </w:tc>
      </w:tr>
      <w:tr>
        <w:trPr>
          <w:trHeight w:val="216"/>
        </w:trPr>
        <w:tc>
          <w:tcPr>
            <w:tcW w:w="772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All Other Fees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0"/>
        </w:trPr>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3,075</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3,009</w:t>
            </w: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20" w:right="120" w:firstLine="1745"/>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for 2019 include fees for the audit of the effectiveness of internal control over financial reporting as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404 of the Sarbanes-Oxley Act, and professional services rendered for the audit and quarterly review of our consolidated financial statements. In addition, the fees include professional services for audit opinions issued related to statutory and regulatory filings in the United States, the United Kingdom, Brazil, Mexico, Singapore and Hong Kong. The fees also include accounting consultations related to various transactions and assistance with various reviews of documents filed with the SEC.</w:t>
      </w:r>
    </w:p>
    <w:p>
      <w:pPr>
        <w:spacing w:after="0" w:line="161" w:lineRule="exact"/>
        <w:rPr>
          <w:sz w:val="20"/>
          <w:szCs w:val="20"/>
          <w:color w:val="auto"/>
        </w:rPr>
      </w:pPr>
    </w:p>
    <w:p>
      <w:pPr>
        <w:ind w:left="220" w:right="280" w:firstLine="1745"/>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fees for subscriptions to Deloitte’s on-line accounting research tool and for participation in Deloitte-sponsored continuing educational programs.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ind w:left="220" w:right="180" w:firstLine="1745"/>
        <w:spacing w:after="0" w:line="257" w:lineRule="auto"/>
        <w:rPr>
          <w:sz w:val="20"/>
          <w:szCs w:val="20"/>
          <w:color w:val="auto"/>
        </w:rPr>
      </w:pPr>
      <w:r>
        <w:rPr>
          <w:rFonts w:ascii="Arial" w:cs="Arial" w:eastAsia="Arial" w:hAnsi="Arial"/>
          <w:sz w:val="18"/>
          <w:szCs w:val="18"/>
          <w:color w:val="auto"/>
        </w:rPr>
        <w:t>Our Audit Committee does not permit the engagement of our auditors without pre-approval by the Audit Committee. The engagement of Deloitte for non-audit accounting and tax services is limited to circumstances where these services are considered integral to the audit services that Deloitte provides or where there is another compelling rationale for using Deloitte. All audit, audit-related and permitted non-audit services for which Deloitte was engaged for 2018 and 2019 were pre-approved by the Audit Committee in compliance with applicable SEC requirements.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SHAREHOLDER PROPOSALS AND NOMINATIONS</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FOR 2021 ANNUAL MEETING</w:t>
      </w:r>
    </w:p>
    <w:p>
      <w:pPr>
        <w:spacing w:after="0" w:line="168" w:lineRule="exact"/>
        <w:rPr>
          <w:sz w:val="20"/>
          <w:szCs w:val="20"/>
          <w:color w:val="auto"/>
        </w:rPr>
      </w:pPr>
    </w:p>
    <w:p>
      <w:pPr>
        <w:ind w:left="220" w:right="300" w:firstLine="1745"/>
        <w:spacing w:after="0" w:line="263" w:lineRule="auto"/>
        <w:rPr>
          <w:sz w:val="20"/>
          <w:szCs w:val="20"/>
          <w:color w:val="auto"/>
        </w:rPr>
      </w:pPr>
      <w:r>
        <w:rPr>
          <w:rFonts w:ascii="Arial" w:cs="Arial" w:eastAsia="Arial" w:hAnsi="Arial"/>
          <w:sz w:val="18"/>
          <w:szCs w:val="18"/>
          <w:color w:val="auto"/>
        </w:rPr>
        <w:t>In order for a shareholder proposal to be included in our Proxy Statement to be issued in connection with our 2021 Annual Meeting, that proposal must be received by our Corporate Secretary no later than December 25, 2020 (which is 120 calendar days before the anniversary of the date this Proxy Statement was first mailed to shareholders).</w:t>
      </w:r>
    </w:p>
    <w:p>
      <w:pPr>
        <w:spacing w:after="0" w:line="143" w:lineRule="exact"/>
        <w:rPr>
          <w:sz w:val="20"/>
          <w:szCs w:val="20"/>
          <w:color w:val="auto"/>
        </w:rPr>
      </w:pPr>
    </w:p>
    <w:p>
      <w:pPr>
        <w:ind w:left="220" w:right="40" w:firstLine="1745"/>
        <w:spacing w:after="0" w:line="291" w:lineRule="auto"/>
        <w:rPr>
          <w:sz w:val="20"/>
          <w:szCs w:val="20"/>
          <w:color w:val="auto"/>
        </w:rPr>
      </w:pPr>
      <w:r>
        <w:rPr>
          <w:rFonts w:ascii="Arial" w:cs="Arial" w:eastAsia="Arial" w:hAnsi="Arial"/>
          <w:sz w:val="16"/>
          <w:szCs w:val="16"/>
          <w:color w:val="auto"/>
        </w:rPr>
        <w:t>In addition to including a proposal in our proxy materials, eligible shareholders may wish to submit director nominations and other proposals at the 2021 Annual Meeting. In order for such director nominations and other proposals to be deemed timely, such director nominations and other proposals must be received by our Corporate Secretary (A) no earlier than February 16, 2021 and no later than March 18 , 2021 or (B) in the event that our 2021 Annual Meeting of stockholders is held prior to May 27, 2021 or after August 25, 2021, notice by the shareholder must be so received no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no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Annual Meeting is first made, and, in each case, must satisfy the notification, timeliness, consent and information requirements set forth in our Amended and Restated Bylaws.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HOUSEHOLDING OF ANNUAL MEETING MATERIALS</w:t>
      </w:r>
    </w:p>
    <w:p>
      <w:pPr>
        <w:spacing w:after="0" w:line="192" w:lineRule="exact"/>
        <w:rPr>
          <w:sz w:val="20"/>
          <w:szCs w:val="20"/>
          <w:color w:val="auto"/>
        </w:rPr>
      </w:pPr>
    </w:p>
    <w:p>
      <w:pPr>
        <w:ind w:left="220" w:right="100" w:firstLine="1745"/>
        <w:spacing w:after="0" w:line="257" w:lineRule="auto"/>
        <w:rPr>
          <w:sz w:val="20"/>
          <w:szCs w:val="20"/>
          <w:color w:val="auto"/>
        </w:rPr>
      </w:pPr>
      <w:r>
        <w:rPr>
          <w:rFonts w:ascii="Arial" w:cs="Arial" w:eastAsia="Arial" w:hAnsi="Arial"/>
          <w:sz w:val="18"/>
          <w:szCs w:val="18"/>
          <w:color w:val="auto"/>
        </w:rPr>
        <w:t>Some banks, brokers and other holders of record may be participating in the practice of “householding” proxy statements and annual reports. This means that only one copy of our proxy materials may have been sent to multiple shareholders in your household. If you want to receive separate copies of our proxy materials in the future, or if you are receiving multiple copies and would like to receive only one copy per household, you should contact your bank, broker or other holder of record, or you may contact the Corporate Secretary. See “</w:t>
      </w:r>
      <w:r>
        <w:rPr>
          <w:rFonts w:ascii="Arial" w:cs="Arial" w:eastAsia="Arial" w:hAnsi="Arial"/>
          <w:sz w:val="18"/>
          <w:szCs w:val="18"/>
          <w:b w:val="1"/>
          <w:bCs w:val="1"/>
          <w:color w:val="auto"/>
        </w:rPr>
        <w:t>Annual Report and</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Secretary</w:t>
      </w:r>
      <w:r>
        <w:rPr>
          <w:rFonts w:ascii="Arial" w:cs="Arial" w:eastAsia="Arial" w:hAnsi="Arial"/>
          <w:sz w:val="18"/>
          <w:szCs w:val="18"/>
          <w:color w:val="auto"/>
        </w:rPr>
        <w:t>” for information on how to contact the Corporate Secretary.</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0016FF"/>
        </w:rPr>
        <w:t>OTHER MATTERS</w:t>
      </w:r>
    </w:p>
    <w:p>
      <w:pPr>
        <w:spacing w:after="0" w:line="179" w:lineRule="exact"/>
        <w:rPr>
          <w:sz w:val="20"/>
          <w:szCs w:val="20"/>
          <w:color w:val="auto"/>
        </w:rPr>
      </w:pPr>
    </w:p>
    <w:p>
      <w:pPr>
        <w:ind w:left="220" w:firstLine="1745"/>
        <w:spacing w:after="0" w:line="263" w:lineRule="auto"/>
        <w:rPr>
          <w:sz w:val="20"/>
          <w:szCs w:val="20"/>
          <w:color w:val="auto"/>
        </w:rPr>
      </w:pPr>
      <w:r>
        <w:rPr>
          <w:rFonts w:ascii="Arial" w:cs="Arial" w:eastAsia="Arial" w:hAnsi="Arial"/>
          <w:sz w:val="18"/>
          <w:szCs w:val="18"/>
          <w:color w:val="auto"/>
        </w:rPr>
        <w:t>Our Board does not know of any other matters that are to be presented for action at the Annual Meeting. Should any other matter arise at the Annual Meeting, however, the persons named in the enclosed proxy will have discretionary authority to vote all proxies with respect to such matters in accordance with their judgment.</w:t>
      </w:r>
    </w:p>
    <w:p>
      <w:pPr>
        <w:spacing w:after="0" w:line="21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606425</wp:posOffset>
            </wp:positionV>
            <wp:extent cx="3077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151765</wp:posOffset>
            </wp:positionV>
            <wp:extent cx="1783080" cy="3860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Jason Klurfeld</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Dated: April 24, 2020</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0016FF"/>
        </w:rPr>
        <w:t>GLOSSARY OF KEY DEFINED TERMS</w:t>
      </w:r>
    </w:p>
    <w:p>
      <w:pPr>
        <w:sectPr>
          <w:pgSz w:w="11900" w:h="16838" w:orient="portrait"/>
          <w:cols w:equalWidth="0" w:num="1">
            <w:col w:w="11100"/>
          </w:cols>
          <w:pgMar w:left="320" w:top="459" w:right="479" w:bottom="1440" w:gutter="0" w:footer="0" w:header="0"/>
        </w:sect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2006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Alliance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Amended 2016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Meeting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Report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Beneficial owner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BlackRock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Broker non-vote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Deloitte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ECP II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EPS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ESG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Evercore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Evercore International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Evercore International Deed</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Evercore Mexico</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EWM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Exchange Act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FASB ASC Topic 718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Form 10-K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GCP II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GCP III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Glisco</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Glisco II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Glisco III</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2006 Evercore Inc.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2016 Evercore Inc. Stock Incentive Plan, effective as of June 15,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Alliance Advisors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2016 Evercore Inc. Stock Incentive Plan, effective as of June 16,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2020 Annual Meeting of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to Shareholders for the fiscal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Shareholder of shares held in street name through a bank, broker or other holder of record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BlackRock,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Evercore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When the beneficial owner of stock held in street name does not provide the broker voting instructions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proposals that are considered non-discretionary under current NYSE rules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Code of 1986,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Capital Partners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Social and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International LLP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Evercore Partners International’s Amended and Restated Limited Liability Partnership Deed, dated August 19,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Mexico, S. de R.L.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Wealth Management,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Financial Accounting Standards Board Accounting Standards Codification Topic 718, Compensation—Stock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fiscal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Capital Partners II, L.P., formerly Evercore Mexico Partners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Capital Partners III, L.P., formerly Evercore Mexico Partners III,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Partners,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Partners II, L.P., formerly Evercore Mexico Capital Partners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Partners III, L.P., formerly Evercore Mexico Capital Partners III, L.P.</w:t>
      </w:r>
    </w:p>
    <w:p>
      <w:pPr>
        <w:spacing w:after="0" w:line="15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88</w:t>
      </w:r>
    </w:p>
    <w:p>
      <w:pPr>
        <w:sectPr>
          <w:pgSz w:w="11900" w:h="16838" w:orient="portrait"/>
          <w:cols w:equalWidth="0" w:num="2">
            <w:col w:w="2240" w:space="500"/>
            <w:col w:w="8360"/>
          </w:cols>
          <w:pgMar w:left="320" w:top="459" w:right="479" w:bottom="1440" w:gutter="0" w:footer="0" w:header="0"/>
          <w:type w:val="continuous"/>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80"/>
          </w:cols>
          <w:pgMar w:left="320" w:top="459" w:right="6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IAF</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IPO</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Lehman Brothers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Lexicon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Mexico Private Equity Funds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NEO</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Burn Rate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Notice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NYSE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Partnership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Private Equity Funds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RSUs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Say on Pay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 Act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SMD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Simpson Thacher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Street name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Trilantic</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Trilantic IV</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Trilantic V</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Trilantic Funds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UPREIT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GAAP or GAAP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Vanguard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Voting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Independent investment banking advisory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Evercore’s 2006 initial public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Strategy &amp; Investment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Lexicon Partnership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Massachusetts Institute of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Glisco II and Glisco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Reflects bonus equity awards, new hire awards and replacement awards, and taking into account vested Evercore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LP partnership units, share repurchases and forfeitures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Notice of Internet Availability of Proxy Materials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Seventh Amended and Restated Partnership Agreement of Evercore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ECP II, Glisco II and Glisco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Non-binding, advisory shareholder vote on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Managing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Simpson Thacher &amp; Bartlett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Shares held through a bank, broker or other holder of record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Trilantic Capital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Trilantic Capital Partners Associates IV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Trilantic Capital Partners Associates V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Trilantic IV and Trilantic 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Umbrella Partnership Real Estate Investment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in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Vanguard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LP Class A, Class E, Class I, Class I-P, Class K and Class K-P limited partnership units.</w:t>
      </w:r>
    </w:p>
    <w:p>
      <w:pPr>
        <w:spacing w:after="0" w:line="15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89</w:t>
      </w:r>
    </w:p>
    <w:p>
      <w:pPr>
        <w:sectPr>
          <w:pgSz w:w="11900" w:h="16838" w:orient="portrait"/>
          <w:cols w:equalWidth="0" w:num="2">
            <w:col w:w="2320" w:space="420"/>
            <w:col w:w="8140"/>
          </w:cols>
          <w:pgMar w:left="320" w:top="459" w:right="69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016FF"/>
        </w:rPr>
        <w:t>ANNEX A: U.S. GAAP RECONCILIATIONS</w:t>
      </w:r>
    </w:p>
    <w:p>
      <w:pPr>
        <w:spacing w:after="0" w:line="192" w:lineRule="exact"/>
        <w:rPr>
          <w:sz w:val="20"/>
          <w:szCs w:val="20"/>
          <w:color w:val="auto"/>
        </w:rPr>
      </w:pPr>
    </w:p>
    <w:p>
      <w:pPr>
        <w:ind w:left="220" w:right="200" w:firstLine="1745"/>
        <w:spacing w:after="0" w:line="296" w:lineRule="auto"/>
        <w:rPr>
          <w:sz w:val="20"/>
          <w:szCs w:val="20"/>
          <w:color w:val="auto"/>
        </w:rPr>
      </w:pPr>
      <w:r>
        <w:rPr>
          <w:rFonts w:ascii="Arial" w:cs="Arial" w:eastAsia="Arial" w:hAnsi="Arial"/>
          <w:sz w:val="16"/>
          <w:szCs w:val="16"/>
          <w:color w:val="auto"/>
        </w:rPr>
        <w:t>This Proxy Statement includes certain Adjusted measures that are calculated on a non-GAAP basis. We believe that these measures are useful to compare our results across several periods and facilitate an understanding of our operating results. We use these measures to evaluate our operating performance, and the Compensation Committee uses Adjusted measures as part of its assessment of the performance of our NEOs. These measures should not be considered a substitute for, or superior to, measures of financial performance prepared in accordance with U.S. GAAP, which are included in the reconciliations below. The U.S. GAAP and Adjusted results present the continuing operations of the Company.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16FF"/>
        </w:rPr>
        <w:t>U.S. GAAP RECONCILIATION TO ADJUSTED RESULTS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16FF"/>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per share data)</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Twelve Months Ended December 31,</w:t>
      </w:r>
    </w:p>
    <w:p>
      <w:pPr>
        <w:spacing w:after="0" w:line="26" w:lineRule="exact"/>
        <w:rPr>
          <w:sz w:val="20"/>
          <w:szCs w:val="20"/>
          <w:color w:val="auto"/>
        </w:rPr>
      </w:pPr>
    </w:p>
    <w:tbl>
      <w:tblPr>
        <w:tblLayout w:type="fixed"/>
        <w:tblInd w:w="2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8"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8"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8"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8"/>
              <w:spacing w:after="0" w:line="148"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8"/>
              <w:spacing w:after="0" w:line="148"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8"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8"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8"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8"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Revenues – U.S. GAAP</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2,008,698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2,064,705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1,704,349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1,440,052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1,223,273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915,858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765,428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86"/>
              </w:rPr>
              <w:t>642,373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524,264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375,905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Income (Loss) from Equity Method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Investments (1)</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10,996</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9,294</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8,838</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6,641</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6,050</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5,180</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8,326</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4,852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on Debt (2)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12,917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9,201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9,960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10,248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9,617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8,430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8,088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7,817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Gain on Sale of Institutional Trust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Arial" w:cs="Arial" w:eastAsia="Arial" w:hAnsi="Arial"/>
                <w:sz w:val="14"/>
                <w:szCs w:val="14"/>
                <w:color w:val="auto"/>
              </w:rPr>
              <w:t>and Independent Fiduciary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Business of ETC (3)</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Exchange Losses from G5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 (4)</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16,266</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Gain on Transfer of Ownership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Arial" w:cs="Arial" w:eastAsia="Arial" w:hAnsi="Arial"/>
                <w:sz w:val="14"/>
                <w:szCs w:val="14"/>
                <w:color w:val="auto"/>
              </w:rPr>
              <w:t>Mexican Private Equity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Business (5)</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Purchase Accounting-related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(6)</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Adjustment to Tax Receivable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Agreement Liability (7)</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(77,535)</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(6,905)</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 Method Investment in</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Pan (15)</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w w:val="95"/>
              </w:rPr>
              <w:t>General Partnership Investments (16)</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 – Adjusted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2,032,611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2,083,200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1,654,070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1,456,535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1,239,046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929,679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775,377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655,090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533,420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383,663</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Net Income from Continuing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b w:val="1"/>
                <w:bCs w:val="1"/>
                <w:color w:val="auto"/>
              </w:rPr>
              <w:t>Operations – U.S. GAAP</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353,661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442,851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179,207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148,512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57,690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107,371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74,812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39,479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14,007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20,126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Attributable to</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(56,225)</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(65,611)</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(53,753)</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(40,984)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(14,827)</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(20,497)</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(19,945)</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(10,590)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(6,089)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Gain on Sale of Institutional Trust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Arial" w:cs="Arial" w:eastAsia="Arial" w:hAnsi="Arial"/>
                <w:sz w:val="14"/>
                <w:szCs w:val="14"/>
                <w:color w:val="auto"/>
              </w:rPr>
              <w:t>and Independent Fiduciary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Business of ETC (3)</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Exchange Losses from G5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 (4)</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16,266</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Gain on Transfer of Ownership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Arial" w:cs="Arial" w:eastAsia="Arial" w:hAnsi="Arial"/>
                <w:sz w:val="14"/>
                <w:szCs w:val="14"/>
                <w:color w:val="auto"/>
              </w:rPr>
              <w:t>Mexican Private Equity</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Business (5)</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Intangible Asset Amortization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Other Purchase Accounting-related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(6)</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7,528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8,628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9,411</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11,020</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14,229</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7,176</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Adjustment to Tax Receivable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20"/>
              <w:spacing w:after="0" w:line="149" w:lineRule="exact"/>
              <w:rPr>
                <w:sz w:val="20"/>
                <w:szCs w:val="20"/>
                <w:color w:val="auto"/>
              </w:rPr>
            </w:pPr>
            <w:r>
              <w:rPr>
                <w:rFonts w:ascii="Arial" w:cs="Arial" w:eastAsia="Arial" w:hAnsi="Arial"/>
                <w:sz w:val="14"/>
                <w:szCs w:val="14"/>
                <w:color w:val="auto"/>
              </w:rPr>
              <w:t>Agreement Liability and Income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Taxes, Net (7)</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(13,727)</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(12,368)</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50,529</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(20,837)</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(28,604)</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(7,593)</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(6,839)</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(16,072)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(15,280)</w:t>
            </w: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(8,997)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LP Units / Interests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Certain Other Awards (8)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18,183</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15,241</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11,444</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80,846</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83,673</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3,399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20,026</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20,951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24,220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auto"/>
        </w:rPr>
        <w:t>Twelve Months Ended December 31,</w:t>
      </w:r>
    </w:p>
    <w:p>
      <w:pPr>
        <w:spacing w:after="0" w:line="26" w:lineRule="exact"/>
        <w:rPr>
          <w:sz w:val="20"/>
          <w:szCs w:val="20"/>
          <w:color w:val="auto"/>
        </w:rPr>
      </w:pPr>
    </w:p>
    <w:tbl>
      <w:tblPr>
        <w:tblLayout w:type="fixed"/>
        <w:tblInd w:w="2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8"/>
              <w:spacing w:after="0" w:line="148"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8"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8"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8"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8"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8"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8"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8"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8"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8"/>
              <w:spacing w:after="0" w:line="148"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IPO Related Restricted Stock Unit Awards (9)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11,389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Other Acquisition Related Compensation Charges (10)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7,939</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28,163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14,618</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Special Charges (11)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4,893</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3,894</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Professional Fees (12)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1,672</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and Transition Costs (13)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4,712</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Fair Value of Contingent Consideration (14)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1,107</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Method Investment in Pan (15)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General Partnership Investments (16)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(17)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52,726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58,698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43,965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35,561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8,871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19,350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11,845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9,026</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14,359</w:t>
            </w:r>
          </w:p>
        </w:tc>
        <w:tc>
          <w:tcPr>
            <w:tcW w:w="0" w:type="dxa"/>
            <w:vAlign w:val="bottom"/>
          </w:tcPr>
          <w:p>
            <w:pPr>
              <w:spacing w:after="0"/>
              <w:rPr>
                <w:sz w:val="1"/>
                <w:szCs w:val="1"/>
                <w:color w:val="auto"/>
              </w:rPr>
            </w:pPr>
          </w:p>
        </w:tc>
      </w:tr>
      <w:tr>
        <w:trPr>
          <w:trHeight w:val="155"/>
        </w:trPr>
        <w:tc>
          <w:tcPr>
            <w:tcW w:w="3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Income Attributable to Evercore Inc. – Adjusted</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373,300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453,957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276,371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223,018</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171,307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124,279</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103,650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78,024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63,381</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Diluted Shares Outstanding – U.S. GAAP</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43,194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45,279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44,826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44,193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43,699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41,843</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38,481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7"/>
              </w:rPr>
              <w:t>32,548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7"/>
              </w:rPr>
              <w:t>29,397</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22,968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LP Units (18a)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5,254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7,479</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5,929</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10,040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12,391</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 Units – Event Based (18a)</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gridSpan w:val="2"/>
          </w:tcPr>
          <w:p>
            <w:pPr>
              <w:spacing w:after="0" w:line="149" w:lineRule="exact"/>
              <w:rPr>
                <w:sz w:val="20"/>
                <w:szCs w:val="20"/>
                <w:color w:val="auto"/>
              </w:rPr>
            </w:pPr>
            <w:r>
              <w:rPr>
                <w:rFonts w:ascii="Arial" w:cs="Arial" w:eastAsia="Arial" w:hAnsi="Arial"/>
                <w:sz w:val="14"/>
                <w:szCs w:val="14"/>
                <w:color w:val="auto"/>
              </w:rPr>
              <w:t>Acquisition Related Share Issuance (18b)</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233</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569</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Shares Outstanding – Adjusted</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50,366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50,723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51,684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53,023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48,017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43,774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42,633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40,055</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Key Metrics: (a)</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Diluted Earnings Per Share – U.S. GAAP (b)</w:t>
            </w: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6.89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8.33</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2.80</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0.98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1.42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0.89</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4"/>
                <w:szCs w:val="14"/>
                <w:color w:val="auto"/>
              </w:rPr>
              <w:t>Diluted Earnings Per Share – Adjusted (b)</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7.70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9.01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5.45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4.32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3.23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2.25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1.78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64135</wp:posOffset>
            </wp:positionV>
            <wp:extent cx="12598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17" w:lineRule="exact"/>
        <w:rPr>
          <w:sz w:val="20"/>
          <w:szCs w:val="20"/>
          <w:color w:val="auto"/>
        </w:rPr>
      </w:pPr>
    </w:p>
    <w:p>
      <w:pPr>
        <w:ind w:left="1000" w:hanging="776"/>
        <w:spacing w:after="0"/>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Reconciliations of the key metrics from U.S. GAAP to Adjusted results are a derivative of the reconciliations of their components.</w:t>
      </w:r>
    </w:p>
    <w:p>
      <w:pPr>
        <w:spacing w:after="0" w:line="109" w:lineRule="exact"/>
        <w:rPr>
          <w:rFonts w:ascii="Arial" w:cs="Arial" w:eastAsia="Arial" w:hAnsi="Arial"/>
          <w:sz w:val="14"/>
          <w:szCs w:val="14"/>
          <w:color w:val="auto"/>
        </w:rPr>
      </w:pPr>
    </w:p>
    <w:p>
      <w:pPr>
        <w:ind w:left="1000" w:right="80" w:hanging="776"/>
        <w:spacing w:after="0" w:line="238" w:lineRule="auto"/>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Earnings Per Share purposes, Net Income Attributable to Evercore Inc. is reduced by $68 of accretion for the twelve months ended December 31, 2013, $84 for the twelve months ended December 31, 2012 and 2011 and $74 for the twelve months ended December 31, 2010, related to the Company’s noncontrolling interest in Trilantic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76200</wp:posOffset>
            </wp:positionV>
            <wp:extent cx="12598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136" w:lineRule="exact"/>
        <w:rPr>
          <w:sz w:val="20"/>
          <w:szCs w:val="20"/>
          <w:color w:val="auto"/>
        </w:rPr>
      </w:pPr>
    </w:p>
    <w:p>
      <w:pPr>
        <w:ind w:left="1000" w:hanging="776"/>
        <w:spacing w:after="0"/>
        <w:tabs>
          <w:tab w:leader="none" w:pos="10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Income (Loss) from Equity Method Investments has been reclassified to Revenue in the Adjusted presentation.</w:t>
      </w:r>
    </w:p>
    <w:p>
      <w:pPr>
        <w:spacing w:after="0" w:line="109" w:lineRule="exact"/>
        <w:rPr>
          <w:rFonts w:ascii="Arial" w:cs="Arial" w:eastAsia="Arial" w:hAnsi="Arial"/>
          <w:sz w:val="14"/>
          <w:szCs w:val="14"/>
          <w:color w:val="auto"/>
        </w:rPr>
      </w:pPr>
    </w:p>
    <w:p>
      <w:pPr>
        <w:ind w:left="1000" w:right="180" w:hanging="776"/>
        <w:spacing w:after="0" w:line="253" w:lineRule="auto"/>
        <w:tabs>
          <w:tab w:leader="none" w:pos="10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Interest Expense on Debt is excluded from Net Revenues and presented below Operating Income in the Adjusted results and is included in Interest Expense on a U.S. GAAP Basis.</w:t>
      </w:r>
    </w:p>
    <w:p>
      <w:pPr>
        <w:spacing w:after="0" w:line="79" w:lineRule="exact"/>
        <w:rPr>
          <w:rFonts w:ascii="Arial" w:cs="Arial" w:eastAsia="Arial" w:hAnsi="Arial"/>
          <w:sz w:val="14"/>
          <w:szCs w:val="14"/>
          <w:color w:val="auto"/>
        </w:rPr>
      </w:pPr>
    </w:p>
    <w:p>
      <w:pPr>
        <w:ind w:left="1000" w:hanging="776"/>
        <w:spacing w:after="0"/>
        <w:tabs>
          <w:tab w:leader="none" w:pos="10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gain resulting from the sale of the Institutional Trust and Independent Fiduciary business of ETC in the fourth quarter of 2017 is excluded from the Adjusted presentation.</w:t>
      </w:r>
    </w:p>
    <w:p>
      <w:pPr>
        <w:spacing w:after="0" w:line="120" w:lineRule="exact"/>
        <w:rPr>
          <w:rFonts w:ascii="Arial" w:cs="Arial" w:eastAsia="Arial" w:hAnsi="Arial"/>
          <w:sz w:val="13"/>
          <w:szCs w:val="13"/>
          <w:color w:val="auto"/>
        </w:rPr>
      </w:pPr>
    </w:p>
    <w:p>
      <w:pPr>
        <w:ind w:left="1000" w:right="160" w:hanging="776"/>
        <w:spacing w:after="0" w:line="253" w:lineRule="auto"/>
        <w:tabs>
          <w:tab w:leader="none" w:pos="10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Release of cumulative foreign exchange losses resulting from the restructuring of our former equity method investment in G5 in the fourth quarter of 2017 are excluded from the Adjusted presentation.</w:t>
      </w:r>
    </w:p>
    <w:p>
      <w:pPr>
        <w:spacing w:after="0" w:line="79" w:lineRule="exact"/>
        <w:rPr>
          <w:rFonts w:ascii="Arial" w:cs="Arial" w:eastAsia="Arial" w:hAnsi="Arial"/>
          <w:sz w:val="14"/>
          <w:szCs w:val="14"/>
          <w:color w:val="auto"/>
        </w:rPr>
      </w:pPr>
    </w:p>
    <w:p>
      <w:pPr>
        <w:ind w:left="1000" w:hanging="776"/>
        <w:spacing w:after="0"/>
        <w:tabs>
          <w:tab w:leader="none" w:pos="10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gain resulting from the transfer of ownership of the Mexican Private Equity business in the third quarter of 2016 is excluded from the Adjusted presentation.</w:t>
      </w:r>
    </w:p>
    <w:p>
      <w:pPr>
        <w:spacing w:after="0" w:line="109" w:lineRule="exact"/>
        <w:rPr>
          <w:rFonts w:ascii="Arial" w:cs="Arial" w:eastAsia="Arial" w:hAnsi="Arial"/>
          <w:sz w:val="14"/>
          <w:szCs w:val="14"/>
          <w:color w:val="auto"/>
        </w:rPr>
      </w:pPr>
    </w:p>
    <w:p>
      <w:pPr>
        <w:ind w:left="1000" w:right="460" w:hanging="776"/>
        <w:spacing w:after="0" w:line="253" w:lineRule="auto"/>
        <w:tabs>
          <w:tab w:leader="none" w:pos="10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exclusion from the Adjusted presentation of expenses associated with amortization of intangible assets and other purchase accounting-related amortization from the acquisitions of ISI, SFS, Lexicon, Protego, Braveheart and certain other acquisitions.</w:t>
      </w:r>
    </w:p>
    <w:p>
      <w:pPr>
        <w:spacing w:after="0" w:line="79" w:lineRule="exact"/>
        <w:rPr>
          <w:rFonts w:ascii="Arial" w:cs="Arial" w:eastAsia="Arial" w:hAnsi="Arial"/>
          <w:sz w:val="14"/>
          <w:szCs w:val="14"/>
          <w:color w:val="auto"/>
        </w:rPr>
      </w:pPr>
    </w:p>
    <w:p>
      <w:pPr>
        <w:ind w:left="1000" w:right="220" w:hanging="776"/>
        <w:spacing w:after="0" w:line="233" w:lineRule="auto"/>
        <w:tabs>
          <w:tab w:leader="none" w:pos="10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Evercore is organized as a series of Limited Liability Companies, Partnerships, C-Corporations and a Public Corporation and, therefore, not all of the Company’s income is subject to corporate-level taxes. As a result, adjustments have been made to the Adjusted earnings to assume that the Company is subject to the statutory tax rates of a C-Corporation under a conventional corporate tax structure in the U.S. at the prevailing corporate rates and that all deferred tax assets relating to foreign operations are fully realizable within the structure on a</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100"/>
        <w:spacing w:after="0" w:line="245" w:lineRule="auto"/>
        <w:rPr>
          <w:sz w:val="20"/>
          <w:szCs w:val="20"/>
          <w:color w:val="auto"/>
        </w:rPr>
      </w:pPr>
      <w:r>
        <w:rPr>
          <w:rFonts w:ascii="Arial" w:cs="Arial" w:eastAsia="Arial" w:hAnsi="Arial"/>
          <w:sz w:val="13"/>
          <w:szCs w:val="13"/>
          <w:color w:val="auto"/>
        </w:rPr>
        <w:t>consolidated basis. This assumption is consistent with the assumption that certain Evercore LP Units and Interests are vested and exchanged into Class A shares, as the assumed exchange would change the tax structure of the Company. Excluded from the Company’s Adjusted results are adjustments related to the impact of the enactment of the Tax Cuts and Jobs Act that was signed into law on December 22, 2017, which resulted in a reduction in income tax rates in the U.S. in 2018 and future years. The enactment of this tax reform resulted in a charge to the Provision for Income Taxes for the fourth quarter of 2017 of $143.3 million primarily resulting from the estimated re-measurement of net deferred tax assets, which relates principally to temporary differences from the step-up in basis associated with the exchange of partnership units, deferred compensation, accumulated other comprehensive income and depreciation of fixed assets and leasehold improvements. The tax reform also resulted in an estimated adjustment to Other Revenue of $77.5 million related to the re-measurement of amounts due pursuant to our tax receivable agreement, which was reduced due to the lower enacted income tax rates in the United States in 2018 and future years.</w:t>
      </w:r>
    </w:p>
    <w:p>
      <w:pPr>
        <w:spacing w:after="0" w:line="89" w:lineRule="exact"/>
        <w:rPr>
          <w:sz w:val="20"/>
          <w:szCs w:val="20"/>
          <w:color w:val="auto"/>
        </w:rPr>
      </w:pPr>
    </w:p>
    <w:p>
      <w:pPr>
        <w:ind w:left="1000" w:right="220" w:hanging="776"/>
        <w:spacing w:after="0" w:line="238" w:lineRule="auto"/>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Expenses, or reversal of expenses, incurred from the modification of Evercore Class A LP Units and related awards, which primarily vested over a five-year period ending December 31, 2013, and the assumed vesting of Class E LP Units, Class G and H LP Interests and Class J LP Units issued in conjunction with the acquisition of ISI are excluded from the Adjusted presentation.</w:t>
      </w:r>
    </w:p>
    <w:p>
      <w:pPr>
        <w:spacing w:after="0" w:line="88" w:lineRule="exact"/>
        <w:rPr>
          <w:rFonts w:ascii="Arial" w:cs="Arial" w:eastAsia="Arial" w:hAnsi="Arial"/>
          <w:sz w:val="14"/>
          <w:szCs w:val="14"/>
          <w:color w:val="auto"/>
        </w:rPr>
      </w:pPr>
    </w:p>
    <w:p>
      <w:pPr>
        <w:ind w:left="1000" w:hanging="776"/>
        <w:spacing w:after="0"/>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Expenses incurred from the vesting of IPO related restricted stock unit awards relating to the June 2011 offering are excluded from the Adjusted presentation.</w:t>
      </w:r>
    </w:p>
    <w:p>
      <w:pPr>
        <w:spacing w:after="0" w:line="109" w:lineRule="exact"/>
        <w:rPr>
          <w:rFonts w:ascii="Arial" w:cs="Arial" w:eastAsia="Arial" w:hAnsi="Arial"/>
          <w:sz w:val="14"/>
          <w:szCs w:val="14"/>
          <w:color w:val="auto"/>
        </w:rPr>
      </w:pPr>
    </w:p>
    <w:p>
      <w:pPr>
        <w:ind w:left="1000" w:hanging="776"/>
        <w:spacing w:after="0"/>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Expenses for deferred consideration issued to the sellers of certain of the Company’s acquisitions are excluded from the Adjusted presentation.</w:t>
      </w:r>
    </w:p>
    <w:p>
      <w:pPr>
        <w:spacing w:after="0" w:line="109" w:lineRule="exact"/>
        <w:rPr>
          <w:rFonts w:ascii="Arial" w:cs="Arial" w:eastAsia="Arial" w:hAnsi="Arial"/>
          <w:sz w:val="14"/>
          <w:szCs w:val="14"/>
          <w:color w:val="auto"/>
        </w:rPr>
      </w:pPr>
    </w:p>
    <w:p>
      <w:pPr>
        <w:ind w:left="1000" w:hanging="776"/>
        <w:spacing w:after="0" w:line="241" w:lineRule="auto"/>
        <w:tabs>
          <w:tab w:leader="none" w:pos="10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Expenses during 2019 that are excluded from the Adjusted presentation relate to the acceleration of depreciation expense for leasehold improvements in conjunction with the previously announced expansion of our headquarters in New York, the impairment of goodwill in the Institutional Asset Management reporting unit and separation and transition benefits for certain employees terminated as a result of the Company’s review of its operations. Expenses during 2018 related to separation benefits and costs of terminating certain contracts associated with closing the agency trading platform in the United Kingdom and separation benefits and related charges associated with the Company’s businesses in Mexico, as well as the acceleration of depreciation expense for leasehold improvements in conjunction with the previously announced expansion of our headquarters in New York. Expenses during 2017 related to a charge for the impairment of goodwill in the Institutional Asset Management reporting unit and a charge for the impairment of our investment in G5 in the second quarter and the sale of the Institutional Trust and Independent Fiduciary business of ETC during the fourth quarter. Expenses during 2016 related to a charge for the impairment of our investment in Atalanta Sosnoff during the fourth quarter. Expenses during 2015 primarily related to a charge for the impairment of goodwill in the Institutional Asset Management reporting unit and charges related to the restructuring of our investment in Atalanta Sosnoff during the fourth quarter, primarily related to the conversion of certain of Atalanta Sosnoff’s profits interests held by management to equity interests. Expenses during 2015 also include charges related to separation benefits and costs associated with the termination of certain contracts within the Company’s Evercore ISI business, as well as the finalization of a matter associated with the wind-down of the Company’s U.S. Private Equity business. Expenses during 2014 primarily related to separation benefits and certain exit costs related to combining the equities business upon the ISI acquisition and a provision recorded in 2014 against contingent consideration due on the 2013 disposition of Pan. Expenses during 2013 primarily related to the write-off of intangible assets from the Company’s acquisition of Morse, Williams and Company, Inc. Expenses during 2012 primarily related to charges incurred in connection with existing facilities in the United Kingdom Expenses during 2011 related to the charge associated with lease commitments for exited office space in conjunction with the acquisition of Lexicon as well as for an introducing fee in connection with the Lexicon acquisition.</w:t>
      </w:r>
    </w:p>
    <w:p>
      <w:pPr>
        <w:spacing w:after="0" w:line="95" w:lineRule="exact"/>
        <w:rPr>
          <w:rFonts w:ascii="Arial" w:cs="Arial" w:eastAsia="Arial" w:hAnsi="Arial"/>
          <w:sz w:val="13"/>
          <w:szCs w:val="13"/>
          <w:color w:val="auto"/>
        </w:rPr>
      </w:pPr>
    </w:p>
    <w:p>
      <w:pPr>
        <w:ind w:left="1000" w:right="460" w:hanging="776"/>
        <w:spacing w:after="0" w:line="253" w:lineRule="auto"/>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expense associated with share-based awards resulting from increases in the share price, which is required upon change in employment status, is excluded from the Adjusted results.</w:t>
      </w:r>
    </w:p>
    <w:p>
      <w:pPr>
        <w:spacing w:after="0" w:line="79" w:lineRule="exact"/>
        <w:rPr>
          <w:rFonts w:ascii="Arial" w:cs="Arial" w:eastAsia="Arial" w:hAnsi="Arial"/>
          <w:sz w:val="14"/>
          <w:szCs w:val="14"/>
          <w:color w:val="auto"/>
        </w:rPr>
      </w:pPr>
    </w:p>
    <w:p>
      <w:pPr>
        <w:ind w:left="1000" w:hanging="776"/>
        <w:spacing w:after="0"/>
        <w:tabs>
          <w:tab w:leader="none" w:pos="10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Primarily professional fees incurred, as well as the reversal of a provision for certain settlements in 2016 and costs related to transitioning acquisitions or divestitures.</w:t>
      </w:r>
    </w:p>
    <w:p>
      <w:pPr>
        <w:spacing w:after="0" w:line="120" w:lineRule="exact"/>
        <w:rPr>
          <w:rFonts w:ascii="Arial" w:cs="Arial" w:eastAsia="Arial" w:hAnsi="Arial"/>
          <w:sz w:val="13"/>
          <w:szCs w:val="13"/>
          <w:color w:val="auto"/>
        </w:rPr>
      </w:pPr>
    </w:p>
    <w:p>
      <w:pPr>
        <w:ind w:left="1000" w:right="120" w:hanging="776"/>
        <w:spacing w:after="0" w:line="253" w:lineRule="auto"/>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expense, or the reversal of expense, associated with changes in the fair value of contingent consideration issued to the sellers of certain of the Company’s acquisitions is excluded from the Adjusted results.</w:t>
      </w:r>
    </w:p>
    <w:p>
      <w:pPr>
        <w:spacing w:after="0" w:line="79" w:lineRule="exact"/>
        <w:rPr>
          <w:rFonts w:ascii="Arial" w:cs="Arial" w:eastAsia="Arial" w:hAnsi="Arial"/>
          <w:sz w:val="14"/>
          <w:szCs w:val="14"/>
          <w:color w:val="auto"/>
        </w:rPr>
      </w:pPr>
    </w:p>
    <w:p>
      <w:pPr>
        <w:ind w:left="1000" w:hanging="776"/>
        <w:spacing w:after="0"/>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Adjusted results from continuing operations exclude the Income (Loss) from our equity method investment in Pan.</w:t>
      </w:r>
    </w:p>
    <w:p>
      <w:pPr>
        <w:spacing w:after="0" w:line="109" w:lineRule="exact"/>
        <w:rPr>
          <w:rFonts w:ascii="Arial" w:cs="Arial" w:eastAsia="Arial" w:hAnsi="Arial"/>
          <w:sz w:val="14"/>
          <w:szCs w:val="14"/>
          <w:color w:val="auto"/>
        </w:rPr>
      </w:pPr>
    </w:p>
    <w:p>
      <w:pPr>
        <w:ind w:left="1000" w:hanging="776"/>
        <w:spacing w:after="0"/>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write-off of General Partnership investment balances during the fourth quarter of 2013 associated with the acquisition of Protego.</w:t>
      </w:r>
    </w:p>
    <w:p>
      <w:pPr>
        <w:spacing w:after="0" w:line="109" w:lineRule="exact"/>
        <w:rPr>
          <w:rFonts w:ascii="Arial" w:cs="Arial" w:eastAsia="Arial" w:hAnsi="Arial"/>
          <w:sz w:val="14"/>
          <w:szCs w:val="14"/>
          <w:color w:val="auto"/>
        </w:rPr>
      </w:pPr>
    </w:p>
    <w:p>
      <w:pPr>
        <w:ind w:left="1000" w:right="240" w:hanging="776"/>
        <w:spacing w:after="0" w:line="253" w:lineRule="auto"/>
        <w:tabs>
          <w:tab w:leader="none" w:pos="10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Reflects an adjustment to eliminate noncontrolling interest related to all Evercore LP partnership units which are assumed to be converted to Class A common stock in the Adjusted presentation.</w:t>
      </w:r>
    </w:p>
    <w:p>
      <w:pPr>
        <w:spacing w:after="0" w:line="79" w:lineRule="exact"/>
        <w:rPr>
          <w:rFonts w:ascii="Arial" w:cs="Arial" w:eastAsia="Arial" w:hAnsi="Arial"/>
          <w:sz w:val="14"/>
          <w:szCs w:val="14"/>
          <w:color w:val="auto"/>
        </w:rPr>
      </w:pPr>
    </w:p>
    <w:p>
      <w:pPr>
        <w:ind w:left="1000" w:right="60" w:hanging="776"/>
        <w:spacing w:after="0" w:line="233" w:lineRule="auto"/>
        <w:tabs>
          <w:tab w:leader="none" w:pos="44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(a)Assumes the vesting, and exchange into Class A shares, of certain Evercore LP partnership units and interests and IPO related restricted stock unit awards and reflects on a weighted average basis, the dilution of unvested service-based awards in the Adjusted presentation. In the computation of outstanding common stock equivalents for U.S. GAAP net income per share, the Evercore LP partnership units are anti-dilutive and the IPO related restricted stock unit awards are excluded from the calculation prior to the June 2011 offering.</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40"/>
          </w:cols>
          <w:pgMar w:left="320" w:top="459" w:right="5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380" w:hanging="776"/>
        <w:spacing w:after="0" w:line="290" w:lineRule="auto"/>
        <w:tabs>
          <w:tab w:leader="none" w:pos="44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Assumes the vesting of all Acquisition Related Share Issuances and Unvested Restricted Stock Units granted to Lexicon employees in the Adjusted presentation. In the computation of outstanding common stock equivalents for U.S. GAAP, these Shares and Restricted Stock Units are reflected using the Treasury Stock Method.</w:t>
      </w:r>
    </w:p>
    <w:p>
      <w:pPr>
        <w:spacing w:after="0" w:line="129" w:lineRule="exact"/>
        <w:rPr>
          <w:sz w:val="20"/>
          <w:szCs w:val="20"/>
          <w:color w:val="auto"/>
        </w:rPr>
      </w:pPr>
    </w:p>
    <w:p>
      <w:pPr>
        <w:ind w:left="220"/>
        <w:spacing w:after="0" w:line="279" w:lineRule="auto"/>
        <w:rPr>
          <w:sz w:val="20"/>
          <w:szCs w:val="20"/>
          <w:color w:val="auto"/>
        </w:rPr>
      </w:pPr>
      <w:r>
        <w:rPr>
          <w:rFonts w:ascii="Arial" w:cs="Arial" w:eastAsia="Arial" w:hAnsi="Arial"/>
          <w:sz w:val="17"/>
          <w:szCs w:val="17"/>
          <w:color w:val="auto"/>
        </w:rPr>
        <w:t>During 2018, the Company’s Adjusted presentation for current and prior periods was revised to eliminate the netting of client related expenses, expenses associated with revenue sharing engagements with third parties and provisions for uncollected receivables with their related revenue. The revised presentation reflects the expense and related revenue gross. The Company revised its presentation for these expenses in order to align with the treatment under U.S. GAAP. There was no impact on Adjusted Operating Income, Net Income or Earnings Per Share.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320" w:top="459" w:right="5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0016FF"/>
        </w:rPr>
        <w:t>ANNEX B: AMENDED AND RESTATED 2016 EVERCORE INC. STOCK INCENTIVE PLAN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2016 EVERCORE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INCENTIVE PLAN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Amended and Restated Effective June 16, 2020)</w:t>
      </w:r>
    </w:p>
    <w:p>
      <w:pPr>
        <w:spacing w:after="0" w:line="207" w:lineRule="exact"/>
        <w:rPr>
          <w:sz w:val="20"/>
          <w:szCs w:val="20"/>
          <w:color w:val="auto"/>
        </w:rPr>
      </w:pPr>
    </w:p>
    <w:p>
      <w:pPr>
        <w:ind w:left="660" w:hanging="544"/>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 Effect on Prior Plan</w:t>
      </w:r>
    </w:p>
    <w:p>
      <w:pPr>
        <w:spacing w:after="0" w:line="229" w:lineRule="exact"/>
        <w:rPr>
          <w:rFonts w:ascii="Arial" w:cs="Arial" w:eastAsia="Arial" w:hAnsi="Arial"/>
          <w:sz w:val="18"/>
          <w:szCs w:val="18"/>
          <w:b w:val="1"/>
          <w:bCs w:val="1"/>
          <w:color w:val="auto"/>
        </w:rPr>
      </w:pPr>
    </w:p>
    <w:p>
      <w:pPr>
        <w:ind w:left="1300" w:hanging="644"/>
        <w:spacing w:after="0" w:line="25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aid the Company and its Affiliates in recruiting and retaining key employees, directors or other persons of outstanding ability to provide services to the Company or its Affiliates and to motivate such persons to exert their best efforts on behalf of the Company and its Affiliates by providing incentives through the granting of Awards. The Company expects that it will benefit from the added interest which such persons will have in the welfare of the Company as a result of their proprietary interest in the Company’s success.</w:t>
      </w:r>
    </w:p>
    <w:p>
      <w:pPr>
        <w:spacing w:after="0" w:line="187" w:lineRule="exact"/>
        <w:rPr>
          <w:rFonts w:ascii="Arial" w:cs="Arial" w:eastAsia="Arial" w:hAnsi="Arial"/>
          <w:sz w:val="18"/>
          <w:szCs w:val="18"/>
          <w:color w:val="auto"/>
        </w:rPr>
      </w:pPr>
    </w:p>
    <w:p>
      <w:pPr>
        <w:ind w:left="1300" w:hanging="644"/>
        <w:spacing w:after="0" w:line="263"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Effect on Prior Plan</w:t>
      </w:r>
      <w:r>
        <w:rPr>
          <w:rFonts w:ascii="Arial" w:cs="Arial" w:eastAsia="Arial" w:hAnsi="Arial"/>
          <w:sz w:val="18"/>
          <w:szCs w:val="18"/>
          <w:color w:val="auto"/>
        </w:rPr>
        <w:t>. The Plan amends and restates the Prior Plan, which was adopted and approved by the shareholders of the Company on June 15, 2016. The Plan replaces the Prior Plan for Awards granted on or after the Effective Date, but does not affect the terms or conditions of any outstanding awards granted under the Prior Plan prior to the Effective Date.</w:t>
      </w:r>
    </w:p>
    <w:p>
      <w:pPr>
        <w:spacing w:after="0" w:line="179" w:lineRule="exact"/>
        <w:rPr>
          <w:rFonts w:ascii="Arial" w:cs="Arial" w:eastAsia="Arial" w:hAnsi="Arial"/>
          <w:sz w:val="18"/>
          <w:szCs w:val="18"/>
          <w:color w:val="auto"/>
        </w:rPr>
      </w:pPr>
    </w:p>
    <w:p>
      <w:pPr>
        <w:ind w:left="660" w:hanging="544"/>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following capitalized terms used in the Plan have the respective meanings set forth in this Section:</w:t>
      </w:r>
    </w:p>
    <w:p>
      <w:pPr>
        <w:spacing w:after="0" w:line="225"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The Securities Exchange Act of 1934, as amended, or any successor thereto.</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 specified Person, any other Person that directly, or indirectly through one or more intermediaries, Controls, is Controlled by, or is under common Control with, such specified Person.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An Option, Stock Appreciation Right or Other Stock-Based Award granted pursuant to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A “beneficial owner”, as such term is defined in Rule 13d-3 under the Act (or any successor rule thereto).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25" w:lineRule="exact"/>
        <w:rPr>
          <w:rFonts w:ascii="Arial" w:cs="Arial" w:eastAsia="Arial" w:hAnsi="Arial"/>
          <w:sz w:val="18"/>
          <w:szCs w:val="18"/>
          <w:color w:val="auto"/>
        </w:rPr>
      </w:pPr>
    </w:p>
    <w:p>
      <w:pPr>
        <w:ind w:left="1300" w:right="20" w:hanging="644"/>
        <w:spacing w:after="0" w:line="288" w:lineRule="auto"/>
        <w:tabs>
          <w:tab w:leader="none" w:pos="130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The occurrence of any of the following: (1) the sale, lease, transfer, conveyance or other disposition in one or a series of related transactions, of all or substantially all of the assets of the General Partner or the Partnership to any Person if any Person or affiliated group of Persons (other than the General Partner, a Founding Limited Partner or any of their respective Affiliates) will be, immediately following the consummation of such transaction or transactions, the beneficial owner, directly or indirectly, of more than 50% of the then outstanding securities or voting securities of such Person; (2) the dissolution of the General Partner or the Partnership (other than by way of merger, consolidation or a reorganization transaction); (3) the consummation of any transaction (including, without limitation, any merger, consolidation or a reorganization transaction) the result of which is that any Person or affiliated group of Persons (other than the General Partner, a Founding Limited Partner or any of their respective Affiliates) becomes the beneficial owner, directly or indirectly, of more than 50% of the then outstanding Partnership Units and/or more than 50% of the voting power of the General Partner’s voting securities; or (4) the consummation of any transaction subject to Rule 13e-3 under the Exchange Act.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or any successor thereto.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Compensation Committee of the Board.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Evercore Inc., a Delaware corporation.</w:t>
      </w:r>
    </w:p>
    <w:p>
      <w:pPr>
        <w:spacing w:after="0" w:line="225" w:lineRule="exact"/>
        <w:rPr>
          <w:rFonts w:ascii="Arial" w:cs="Arial" w:eastAsia="Arial" w:hAnsi="Arial"/>
          <w:sz w:val="18"/>
          <w:szCs w:val="18"/>
          <w:color w:val="auto"/>
        </w:rPr>
      </w:pPr>
    </w:p>
    <w:p>
      <w:pPr>
        <w:ind w:left="1300" w:right="20" w:hanging="644"/>
        <w:spacing w:after="0" w:line="279" w:lineRule="auto"/>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xml:space="preserve"> (including the terms “Controlled by” and “under common Control with”):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A member of the Board or a member of the board of directors of a consolidated subsidiary of the Company.</w:t>
      </w:r>
    </w:p>
    <w:p>
      <w:pPr>
        <w:spacing w:after="0" w:line="225" w:lineRule="exact"/>
        <w:rPr>
          <w:rFonts w:ascii="Arial" w:cs="Arial" w:eastAsia="Arial" w:hAnsi="Arial"/>
          <w:sz w:val="18"/>
          <w:szCs w:val="18"/>
          <w:color w:val="auto"/>
        </w:rPr>
      </w:pPr>
    </w:p>
    <w:p>
      <w:pPr>
        <w:ind w:left="1300" w:hanging="644"/>
        <w:spacing w:after="0" w:line="296" w:lineRule="auto"/>
        <w:tabs>
          <w:tab w:leader="none" w:pos="130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Inability of a Participant to perform in all material respects his duties and responsibilities to the Company, or any Subsidiary of the Company, by reason of a physical or mental disability or infirmity which inability is reasonably expected to be permanent and has continued (i) for a period of six consecutive months or (ii) such shorter period as the Committee may reasonably determine in good faith. The Disability determination shall be in the sole discretion of the Committee and a Participant (or his representative) shall furnish the Committee with medical evidence documenting the Participant’s disability or infirmity which is satisfactory to the Committee.</w:t>
      </w:r>
    </w:p>
    <w:p>
      <w:pPr>
        <w:spacing w:after="0" w:line="161" w:lineRule="exact"/>
        <w:rPr>
          <w:rFonts w:ascii="Arial" w:cs="Arial" w:eastAsia="Arial" w:hAnsi="Arial"/>
          <w:sz w:val="16"/>
          <w:szCs w:val="16"/>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June 16, 2020 or such later date this Plan is duly approved by the stockholders of the Company.</w:t>
      </w:r>
    </w:p>
    <w:p>
      <w:pPr>
        <w:spacing w:after="0" w:line="225" w:lineRule="exact"/>
        <w:rPr>
          <w:rFonts w:ascii="Arial" w:cs="Arial" w:eastAsia="Arial" w:hAnsi="Arial"/>
          <w:sz w:val="18"/>
          <w:szCs w:val="18"/>
          <w:color w:val="auto"/>
        </w:rPr>
      </w:pPr>
    </w:p>
    <w:p>
      <w:pPr>
        <w:ind w:left="1300" w:right="180" w:hanging="644"/>
        <w:spacing w:after="0" w:line="263"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(i) A Participant’s employment, if the Participant is an employee of the Company or any of its Affiliates, or (ii) a Participant’s services, if the Participant is engaged in the performance of services for the Company or its Affiliates as a non-employee member of the Board or in any other bona fide capacity.</w:t>
      </w:r>
    </w:p>
    <w:p>
      <w:pPr>
        <w:spacing w:after="0" w:line="183" w:lineRule="exact"/>
        <w:rPr>
          <w:rFonts w:ascii="Arial" w:cs="Arial" w:eastAsia="Arial" w:hAnsi="Arial"/>
          <w:sz w:val="18"/>
          <w:szCs w:val="18"/>
          <w:color w:val="auto"/>
        </w:rPr>
      </w:pPr>
    </w:p>
    <w:p>
      <w:pPr>
        <w:ind w:left="1300" w:hanging="644"/>
        <w:spacing w:after="0" w:line="270" w:lineRule="auto"/>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On a given date, (i) if there should be a public market for the Shares on such date, the arithmetic mean of the high and low prices of the Shares as reported on such date on the Composite Tape of the principal national securities exchange on which such Shares are listed or admitted to trading, or, if the Shares are not listed or admitted on any national securities exchange, the arithmetic mean of the per Share closing bid price and per Share closing asked price on such date as quoted on the National Association of Securities Dealers Automated Quotation System (or such market in which such prices are regularly quoted) (the “NASDAQ”), or, if no sale of Shares shall have been reported on the Composite Tape of any national securities exchange or quoted on the NASDAQ on such date, then the immediately preceding date on which sales of the Shares have been so reported or quoted shall be used, and (ii) if there should not be a public market for the Shares on such date, the Fair Market Value shall be the value established by the Committee in good faith.</w:t>
      </w:r>
    </w:p>
    <w:p>
      <w:pPr>
        <w:spacing w:after="0" w:line="180" w:lineRule="exact"/>
        <w:rPr>
          <w:rFonts w:ascii="Arial" w:cs="Arial" w:eastAsia="Arial" w:hAnsi="Arial"/>
          <w:sz w:val="17"/>
          <w:szCs w:val="17"/>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Founding Limited Partner</w:t>
      </w:r>
      <w:r>
        <w:rPr>
          <w:rFonts w:ascii="Arial" w:cs="Arial" w:eastAsia="Arial" w:hAnsi="Arial"/>
          <w:sz w:val="18"/>
          <w:szCs w:val="18"/>
          <w:color w:val="auto"/>
        </w:rPr>
        <w:t>: Each of Mr. Roger C. Altman, Mr. Austin M. Beutner and Mr. Pedro Aspe.</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General Partner</w:t>
      </w:r>
      <w:r>
        <w:rPr>
          <w:rFonts w:ascii="Arial" w:cs="Arial" w:eastAsia="Arial" w:hAnsi="Arial"/>
          <w:sz w:val="18"/>
          <w:szCs w:val="18"/>
          <w:color w:val="auto"/>
        </w:rPr>
        <w:t>: The Company or any successor general partner admitted to the Partnership in accordance with the terms of the Partnership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An Option that is also an incentive stock option granted pursuant to Section 6(d)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LSAR</w:t>
      </w:r>
      <w:r>
        <w:rPr>
          <w:rFonts w:ascii="Arial" w:cs="Arial" w:eastAsia="Arial" w:hAnsi="Arial"/>
          <w:sz w:val="18"/>
          <w:szCs w:val="18"/>
          <w:color w:val="auto"/>
        </w:rPr>
        <w:t>: A limited stock appreciation right granted pursuant to Section 7(d)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 Awards granted pursuant to Section 8 of the Plan.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A stock option granted pursuant to Section 6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purchase price per Share of an Option, as determined pursuant to Section 6(a) of the Plan.</w:t>
      </w:r>
    </w:p>
    <w:p>
      <w:pPr>
        <w:spacing w:after="0" w:line="225" w:lineRule="exact"/>
        <w:rPr>
          <w:rFonts w:ascii="Arial" w:cs="Arial" w:eastAsia="Arial" w:hAnsi="Arial"/>
          <w:sz w:val="18"/>
          <w:szCs w:val="18"/>
          <w:color w:val="auto"/>
        </w:rPr>
      </w:pPr>
    </w:p>
    <w:p>
      <w:pPr>
        <w:ind w:left="1300" w:right="80" w:hanging="644"/>
        <w:spacing w:after="0" w:line="301" w:lineRule="auto"/>
        <w:tabs>
          <w:tab w:leader="none" w:pos="130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Employees of the Company, its Subsidiaries and its Parent Corporation (as defined in Section 424(e) of the Code (or any successor section thereto)), including Directors, will be eligible to receive Awards hereunder. For this purpose, “employee” will have the same meaning as defined in the General Instructions to Form S-8 under the Securities Act of 1933, as amended (or any successor to such instructions or such form). Any such person selected by the Committee to participate in this Plan will be known as a Participant.</w:t>
      </w:r>
    </w:p>
    <w:p>
      <w:pPr>
        <w:spacing w:after="0" w:line="157" w:lineRule="exact"/>
        <w:rPr>
          <w:rFonts w:ascii="Arial" w:cs="Arial" w:eastAsia="Arial" w:hAnsi="Arial"/>
          <w:sz w:val="16"/>
          <w:szCs w:val="16"/>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Partnership</w:t>
      </w:r>
      <w:r>
        <w:rPr>
          <w:rFonts w:ascii="Arial" w:cs="Arial" w:eastAsia="Arial" w:hAnsi="Arial"/>
          <w:sz w:val="18"/>
          <w:szCs w:val="18"/>
          <w:color w:val="auto"/>
        </w:rPr>
        <w:t>: Evercore LP, a Delaware limited partnership.</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Partnership Agreement</w:t>
      </w:r>
      <w:r>
        <w:rPr>
          <w:rFonts w:ascii="Arial" w:cs="Arial" w:eastAsia="Arial" w:hAnsi="Arial"/>
          <w:sz w:val="18"/>
          <w:szCs w:val="18"/>
          <w:color w:val="auto"/>
        </w:rPr>
        <w:t>: The Seventh Amended and Restated Limited Partnership Agreement of Evercore LP, dated as of November 1, 2017 and as amended from time to time.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Certain Other Stock-Based Awards granted pursuant to Section 8(b) of the Plan.</w:t>
      </w:r>
    </w:p>
    <w:p>
      <w:pPr>
        <w:spacing w:after="0" w:line="225" w:lineRule="exact"/>
        <w:rPr>
          <w:sz w:val="20"/>
          <w:szCs w:val="20"/>
          <w:color w:val="auto"/>
        </w:rPr>
      </w:pPr>
    </w:p>
    <w:p>
      <w:pPr>
        <w:ind w:left="1300" w:right="220" w:hanging="644"/>
        <w:spacing w:after="0" w:line="27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limited partnership, limited liability company, limited company, joint venture, trust, unincorporated or governmental organization or any agency or political subdivision thereof).</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This Amended and Restated 2016 Evercore Partners Inc. Stock Incentive Plan, effective as of the Effective Date, as may be further amended from time to time.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Prior Plan</w:t>
      </w:r>
      <w:r>
        <w:rPr>
          <w:rFonts w:ascii="Arial" w:cs="Arial" w:eastAsia="Arial" w:hAnsi="Arial"/>
          <w:sz w:val="18"/>
          <w:szCs w:val="18"/>
          <w:color w:val="auto"/>
        </w:rPr>
        <w:t>: The Amended and Restated 2016 Evercore Partners Inc. Stock Incentive Plan, effective June 15, 2016.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An award of Shares which are subject to certain restrictions and to a risk of forfeiture.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Shares of Class A common stock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A stock appreciation right granted pursuant to Section 7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 subsidiary corporation, as defined in Section 424(f) of the Code (or any successor section thereto).</w:t>
      </w:r>
    </w:p>
    <w:p>
      <w:pPr>
        <w:spacing w:after="0" w:line="221" w:lineRule="exact"/>
        <w:rPr>
          <w:rFonts w:ascii="Arial" w:cs="Arial" w:eastAsia="Arial" w:hAnsi="Arial"/>
          <w:sz w:val="18"/>
          <w:szCs w:val="18"/>
          <w:color w:val="auto"/>
        </w:rPr>
      </w:pPr>
    </w:p>
    <w:p>
      <w:pPr>
        <w:ind w:left="660" w:hanging="544"/>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29" w:lineRule="exact"/>
        <w:rPr>
          <w:rFonts w:ascii="Arial" w:cs="Arial" w:eastAsia="Arial" w:hAnsi="Arial"/>
          <w:sz w:val="18"/>
          <w:szCs w:val="18"/>
          <w:b w:val="1"/>
          <w:bCs w:val="1"/>
          <w:color w:val="auto"/>
        </w:rPr>
      </w:pPr>
    </w:p>
    <w:p>
      <w:pPr>
        <w:ind w:left="1300" w:right="20" w:hanging="644"/>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Shares Available for Issuance</w:t>
      </w:r>
      <w:r>
        <w:rPr>
          <w:rFonts w:ascii="Arial" w:cs="Arial" w:eastAsia="Arial" w:hAnsi="Arial"/>
          <w:sz w:val="18"/>
          <w:szCs w:val="18"/>
          <w:color w:val="auto"/>
        </w:rPr>
        <w:t>. The total number of Shares which may be issued under the Plan is 6,000,000, plus any Shares remaining available for grant under the Prior Plan as of the Effective Date (including pursuant to the operation of Section 3(b) thereof). The Shares may consist, in whole or in part, of unissued Shares or treasury Shares.</w:t>
      </w:r>
    </w:p>
    <w:p>
      <w:pPr>
        <w:spacing w:after="0" w:line="183" w:lineRule="exact"/>
        <w:rPr>
          <w:rFonts w:ascii="Arial" w:cs="Arial" w:eastAsia="Arial" w:hAnsi="Arial"/>
          <w:sz w:val="18"/>
          <w:szCs w:val="18"/>
          <w:color w:val="auto"/>
        </w:rPr>
      </w:pPr>
    </w:p>
    <w:p>
      <w:pPr>
        <w:ind w:left="1300" w:hanging="644"/>
        <w:spacing w:after="0" w:line="279" w:lineRule="auto"/>
        <w:tabs>
          <w:tab w:leader="none" w:pos="1300"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Shares Added Back to Reserve</w:t>
      </w:r>
      <w:r>
        <w:rPr>
          <w:rFonts w:ascii="Arial" w:cs="Arial" w:eastAsia="Arial" w:hAnsi="Arial"/>
          <w:sz w:val="17"/>
          <w:szCs w:val="17"/>
          <w:color w:val="auto"/>
        </w:rPr>
        <w:t>. If and to the extent an Option or Stock Appreciation Right expires, terminates or is canceled or forfeited for any reason without having been exercised in full, the Shares subject to that Award will again become available for grant under the Plan. Similarly, if and to the extent any Other Stock-Based Award is canceled, forfeited or terminated for any reason, the Shares subject to that Award will again become available for grant under the Plan.</w:t>
      </w:r>
    </w:p>
    <w:p>
      <w:pPr>
        <w:spacing w:after="0" w:line="171" w:lineRule="exact"/>
        <w:rPr>
          <w:rFonts w:ascii="Arial" w:cs="Arial" w:eastAsia="Arial" w:hAnsi="Arial"/>
          <w:sz w:val="17"/>
          <w:szCs w:val="17"/>
          <w:color w:val="auto"/>
        </w:rPr>
      </w:pPr>
    </w:p>
    <w:p>
      <w:pPr>
        <w:jc w:val="both"/>
        <w:ind w:left="1300" w:right="40" w:hanging="644"/>
        <w:spacing w:after="0" w:line="311" w:lineRule="auto"/>
        <w:tabs>
          <w:tab w:leader="none" w:pos="130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Shares Not Added Back to Reserve</w:t>
      </w:r>
      <w:r>
        <w:rPr>
          <w:rFonts w:ascii="Arial" w:cs="Arial" w:eastAsia="Arial" w:hAnsi="Arial"/>
          <w:sz w:val="16"/>
          <w:szCs w:val="16"/>
          <w:color w:val="auto"/>
        </w:rPr>
        <w:t>. Notwithstanding anything to the contrary contained in this Section 3, including Section 3(b) above, the following Shares shall not be added to the Shares available for grant under the Plan: (i) Shares tendered by a Participant or withheld by the Company in payment of the exercise price of an Option under the Plan, or, after the Effective Date, in payment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right="20"/>
        <w:spacing w:after="0" w:line="273" w:lineRule="auto"/>
        <w:rPr>
          <w:sz w:val="20"/>
          <w:szCs w:val="20"/>
          <w:color w:val="auto"/>
        </w:rPr>
      </w:pPr>
      <w:r>
        <w:rPr>
          <w:rFonts w:ascii="Arial" w:cs="Arial" w:eastAsia="Arial" w:hAnsi="Arial"/>
          <w:sz w:val="17"/>
          <w:szCs w:val="17"/>
          <w:color w:val="auto"/>
        </w:rPr>
        <w:t>of the exercise price of an option under the Prior Plan; (ii) Shares tendered by the Participant or withheld by the Company to satisfy any tax withholding obligation with respect to an Award under the Plan, or, after the Effective Date, to satisfy any tax withholding obligation with respect to an award under the Prior Plan; (iii) Shares subject to a SAR under the Plan, or, after the Effective Date, a stock appreciation right under the Prior Plan, that are not issued in connection with the settlement of such stock appreciation rights on exercise thereof; or (iv) Shares purchased on the open market or otherwise with the cash proceeds from the exercise of Options under the Plan, or, after the Effective Date, from the exercise of options under the Prior Plan.</w:t>
      </w:r>
    </w:p>
    <w:p>
      <w:pPr>
        <w:spacing w:after="0" w:line="174" w:lineRule="exact"/>
        <w:rPr>
          <w:sz w:val="20"/>
          <w:szCs w:val="20"/>
          <w:color w:val="auto"/>
        </w:rPr>
      </w:pPr>
    </w:p>
    <w:p>
      <w:pPr>
        <w:ind w:left="660" w:hanging="544"/>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Interpretation</w:t>
      </w:r>
    </w:p>
    <w:p>
      <w:pPr>
        <w:spacing w:after="0" w:line="229" w:lineRule="exact"/>
        <w:rPr>
          <w:rFonts w:ascii="Arial" w:cs="Arial" w:eastAsia="Arial" w:hAnsi="Arial"/>
          <w:sz w:val="18"/>
          <w:szCs w:val="18"/>
          <w:b w:val="1"/>
          <w:bCs w:val="1"/>
          <w:color w:val="auto"/>
        </w:rPr>
      </w:pPr>
    </w:p>
    <w:p>
      <w:pPr>
        <w:ind w:left="1300" w:right="20" w:hanging="644"/>
        <w:spacing w:after="0" w:line="268" w:lineRule="auto"/>
        <w:tabs>
          <w:tab w:leader="none" w:pos="1300"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shall be administered by the Committee, which shall consist of at least two individuals who are intended to qualify as “Non-Employee Directors” within the meaning of Rule 16b-3 under the Act (or any successor rule thereto) and “outside directors” within the meaning of Section 162(m) of the Code (or any successor section thereto). However, the Board may also delegate to any committee of the Board, which committee may include one or more members of the Board who are also officers of the Corporation, the authority to grant Awards under the Plan to Participants who are neither Non-Employee Directors nor “officers” of the Company within the meaning of Section 16 of the Act. Similarly, the Board may also delegate the authority to grant Awards under the Plan to a committee of one or more officers of the Company, who need not be members of the Board, to the extent and in the manner permitted by Section 157(c) of the Delaware General Corporation Law (or any successor statute or rule). With respect to Awards granted by the above-described delegates, references herein to the “Committee” will also be deemed to include the delegate. Subject to Section 16, Awards may, in the discretion of the Committee, be made under the Plan in assumption of, or in substitution for, outstanding awards previously granted by the Company or its Affiliates or a company acquired by the Company or with which the Company combines. Subject to Section 3(b), the number of Shares underlying such substitute awards shall be counted against the aggregate number of Shares available for Awards under the Plan.</w:t>
      </w:r>
    </w:p>
    <w:p>
      <w:pPr>
        <w:spacing w:after="0" w:line="186" w:lineRule="exact"/>
        <w:rPr>
          <w:rFonts w:ascii="Arial" w:cs="Arial" w:eastAsia="Arial" w:hAnsi="Arial"/>
          <w:sz w:val="17"/>
          <w:szCs w:val="17"/>
          <w:color w:val="auto"/>
        </w:rPr>
      </w:pPr>
    </w:p>
    <w:p>
      <w:pPr>
        <w:ind w:left="1300" w:right="20" w:hanging="644"/>
        <w:spacing w:after="0" w:line="273" w:lineRule="auto"/>
        <w:tabs>
          <w:tab w:leader="none" w:pos="1300"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The Committee is authorized to interpret the Plan, to establish, amend and rescind any rules and regulations relating to the Plan, and to make any other determinations that it deems necessary or desirable for the administration of the Plan. The Committee may correct any defect or supply any omission or reconcile any inconsistency in the Plan in the manner and to the extent the Committee deems necessary or desirable. Any decision of the Committee in the interpretation and administration of the Plan, as described herein, shall lie within its sole and absolute discretion and shall be final, conclusive and binding on all parties concerned (including, but not limited to, Participants and their beneficiaries or successors).</w:t>
      </w:r>
    </w:p>
    <w:p>
      <w:pPr>
        <w:spacing w:after="0" w:line="177" w:lineRule="exact"/>
        <w:rPr>
          <w:rFonts w:ascii="Arial" w:cs="Arial" w:eastAsia="Arial" w:hAnsi="Arial"/>
          <w:sz w:val="17"/>
          <w:szCs w:val="17"/>
          <w:color w:val="auto"/>
        </w:rPr>
      </w:pPr>
    </w:p>
    <w:p>
      <w:pPr>
        <w:ind w:left="1300" w:right="100" w:hanging="644"/>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Committee shall have the full power and authority to establish the terms and conditions of any Award consistent with the provisions of the Plan and to waive any such terms and conditions at any time (including, without limitation, accelerating or waiving any vesting conditions).</w:t>
      </w:r>
    </w:p>
    <w:p>
      <w:pPr>
        <w:spacing w:after="0" w:line="183" w:lineRule="exact"/>
        <w:rPr>
          <w:rFonts w:ascii="Arial" w:cs="Arial" w:eastAsia="Arial" w:hAnsi="Arial"/>
          <w:sz w:val="18"/>
          <w:szCs w:val="18"/>
          <w:color w:val="auto"/>
        </w:rPr>
      </w:pPr>
    </w:p>
    <w:p>
      <w:pPr>
        <w:ind w:left="1300" w:hanging="644"/>
        <w:spacing w:after="0" w:line="257"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Committee shall require payment of any amount it may determine to be necessary to withhold for federal, state, local or other taxes as a result of the exercise, grant or vesting of an Award. Unless the Committee specifies otherwise, the Participant may elect to pay a portion or all of such withholding taxes by (a) delivery in Shares or (b) having Shares with a Fair Market Value equal to the minimum amount of such withholding taxes withheld by the Company from any Shares that would have otherwise been received by the Participant.</w:t>
      </w:r>
    </w:p>
    <w:p>
      <w:pPr>
        <w:spacing w:after="0" w:line="183" w:lineRule="exact"/>
        <w:rPr>
          <w:rFonts w:ascii="Arial" w:cs="Arial" w:eastAsia="Arial" w:hAnsi="Arial"/>
          <w:sz w:val="18"/>
          <w:szCs w:val="18"/>
          <w:color w:val="auto"/>
        </w:rPr>
      </w:pPr>
    </w:p>
    <w:p>
      <w:pPr>
        <w:ind w:left="660" w:hanging="544"/>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w:t>
      </w:r>
    </w:p>
    <w:p>
      <w:pPr>
        <w:spacing w:after="0" w:line="229" w:lineRule="exact"/>
        <w:rPr>
          <w:rFonts w:ascii="Arial" w:cs="Arial" w:eastAsia="Arial" w:hAnsi="Arial"/>
          <w:sz w:val="18"/>
          <w:szCs w:val="18"/>
          <w:b w:val="1"/>
          <w:bCs w:val="1"/>
          <w:color w:val="auto"/>
        </w:rPr>
      </w:pPr>
    </w:p>
    <w:p>
      <w:pPr>
        <w:ind w:left="1300" w:right="160" w:hanging="644"/>
        <w:spacing w:after="0" w:line="277"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 Award may be granted under the Plan after the tenth anniversary of the Effective Date, but Awards theretofore granted may extend beyond that date.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right="160" w:hanging="644"/>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maximum number of Shares for which Performance-Based Awards denominated in Shares, Options or Stock Appreciation Rights may be granted during a calendar year to any Participant shall be 900,000.</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maximum dollar value payable with respect to Performance-Based Awards that are valued in cash or with reference to property other than Shares and granted to any Participant in any one calendar year is $15,000,000.</w:t>
      </w:r>
    </w:p>
    <w:p>
      <w:pPr>
        <w:spacing w:after="0" w:line="170" w:lineRule="exact"/>
        <w:rPr>
          <w:rFonts w:ascii="Arial" w:cs="Arial" w:eastAsia="Arial" w:hAnsi="Arial"/>
          <w:sz w:val="18"/>
          <w:szCs w:val="18"/>
          <w:color w:val="auto"/>
        </w:rPr>
      </w:pPr>
    </w:p>
    <w:p>
      <w:pPr>
        <w:ind w:left="1300" w:right="100" w:hanging="644"/>
        <w:spacing w:after="0" w:line="259"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Notwithstanding anything to the contrary, the aggregate value of (i) any cash compensation received from the Company or an Affiliate by any Director who is not also an employee of the Company or an Affiliate for services to the Company, plus (ii) any Awards, determined based on the grant date Fair Market Value of such Award(s) granted to any such Director, may not exceed $500,000 in any calendar year.</w:t>
      </w:r>
    </w:p>
    <w:p>
      <w:pPr>
        <w:spacing w:after="0" w:line="182" w:lineRule="exact"/>
        <w:rPr>
          <w:rFonts w:ascii="Arial" w:cs="Arial" w:eastAsia="Arial" w:hAnsi="Arial"/>
          <w:sz w:val="18"/>
          <w:szCs w:val="18"/>
          <w:color w:val="auto"/>
        </w:rPr>
      </w:pPr>
    </w:p>
    <w:p>
      <w:pPr>
        <w:ind w:left="660" w:hanging="544"/>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02" w:lineRule="exact"/>
        <w:rPr>
          <w:sz w:val="20"/>
          <w:szCs w:val="20"/>
          <w:color w:val="auto"/>
        </w:rPr>
      </w:pPr>
    </w:p>
    <w:p>
      <w:pPr>
        <w:jc w:val="both"/>
        <w:ind w:left="220" w:right="100" w:firstLine="1745"/>
        <w:spacing w:after="0" w:line="263" w:lineRule="auto"/>
        <w:rPr>
          <w:sz w:val="20"/>
          <w:szCs w:val="20"/>
          <w:color w:val="auto"/>
        </w:rPr>
      </w:pPr>
      <w:r>
        <w:rPr>
          <w:rFonts w:ascii="Arial" w:cs="Arial" w:eastAsia="Arial" w:hAnsi="Arial"/>
          <w:sz w:val="18"/>
          <w:szCs w:val="18"/>
          <w:color w:val="auto"/>
        </w:rPr>
        <w:t>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184" w:lineRule="exact"/>
        <w:rPr>
          <w:sz w:val="20"/>
          <w:szCs w:val="20"/>
          <w:color w:val="auto"/>
        </w:rPr>
      </w:pPr>
    </w:p>
    <w:p>
      <w:pPr>
        <w:ind w:left="1300" w:right="340" w:hanging="644"/>
        <w:spacing w:after="0" w:line="277"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Option Price per Share shall be determined by the Committee, but shall not be less than 100% of the Fair Market Value of the Shares on the date an Option is granted.</w:t>
      </w:r>
    </w:p>
    <w:p>
      <w:pPr>
        <w:spacing w:after="0" w:line="170" w:lineRule="exact"/>
        <w:rPr>
          <w:rFonts w:ascii="Arial" w:cs="Arial" w:eastAsia="Arial" w:hAnsi="Arial"/>
          <w:sz w:val="18"/>
          <w:szCs w:val="18"/>
          <w:color w:val="auto"/>
        </w:rPr>
      </w:pPr>
    </w:p>
    <w:p>
      <w:pPr>
        <w:ind w:left="1300" w:right="700" w:hanging="644"/>
        <w:spacing w:after="0" w:line="342"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Options granted under the Plan shall be exercisable at such time and upon such terms and conditions as may be determined by the Committee, but in no event shall an Option be exercisable more than ten years after the date it is granted.</w:t>
      </w:r>
    </w:p>
    <w:p>
      <w:pPr>
        <w:spacing w:after="0" w:line="123"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Exercise of Options</w:t>
      </w:r>
      <w:r>
        <w:rPr>
          <w:rFonts w:ascii="Arial" w:cs="Arial" w:eastAsia="Arial" w:hAnsi="Arial"/>
          <w:sz w:val="17"/>
          <w:szCs w:val="17"/>
          <w:color w:val="auto"/>
        </w:rPr>
        <w:t>. Except as otherwise provided in the Plan or in an Award agreement, an Option may be exercised for all, or from time to time any part, of the Shares for which it is then exercisable. For purposes of Section 6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in full at the time of exercise at the election of the Participant (i) in cash or its equivalent (e.g., by check), (ii) to the extent permitted by the Committee, 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to the extent permitted by the Committee, partly in such Shares, or (iv)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No Participant shall have any rights to dividends or other rights of a stockholder with respect to Shares subject to an Option until the Participant has given written notice of exercise of the Option, paid in full for such Shares and, if applicable, has satisfied any other conditions imposed by the Committee pursuant to the Plan.</w:t>
      </w:r>
    </w:p>
    <w:p>
      <w:pPr>
        <w:spacing w:after="0" w:line="181" w:lineRule="exact"/>
        <w:rPr>
          <w:rFonts w:ascii="Arial" w:cs="Arial" w:eastAsia="Arial" w:hAnsi="Arial"/>
          <w:sz w:val="17"/>
          <w:szCs w:val="17"/>
          <w:color w:val="auto"/>
        </w:rPr>
      </w:pPr>
    </w:p>
    <w:p>
      <w:pPr>
        <w:ind w:left="1300" w:right="20" w:hanging="644"/>
        <w:spacing w:after="0" w:line="279" w:lineRule="auto"/>
        <w:tabs>
          <w:tab w:leader="none" w:pos="130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The Committee may grant Options under the Plan that are intended to be ISOs. ISOs may be granted with respect to all the shares reserved for issuance under this Plan. Such ISOs shall comply with the requirements of Section 422 of the Code (or any successor section thereto). No ISO may be granted to any Participant who at the time of such grant, owns more than ten percent of the total combined voting power of all classes of stock of the Company or of any Subsidiary, unless (i)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spacing w:after="0" w:line="287" w:lineRule="auto"/>
        <w:rPr>
          <w:sz w:val="20"/>
          <w:szCs w:val="20"/>
          <w:color w:val="auto"/>
        </w:rPr>
      </w:pPr>
      <w:r>
        <w:rPr>
          <w:rFonts w:ascii="Arial" w:cs="Arial" w:eastAsia="Arial" w:hAnsi="Arial"/>
          <w:sz w:val="16"/>
          <w:szCs w:val="16"/>
          <w:color w:val="auto"/>
        </w:rPr>
        <w:t>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provided that such Option (or potion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172" w:lineRule="exact"/>
        <w:rPr>
          <w:sz w:val="20"/>
          <w:szCs w:val="20"/>
          <w:color w:val="auto"/>
        </w:rPr>
      </w:pPr>
    </w:p>
    <w:p>
      <w:pPr>
        <w:ind w:left="1300" w:right="120" w:hanging="644"/>
        <w:spacing w:after="0" w:line="257"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Attestation</w:t>
      </w:r>
      <w:r>
        <w:rPr>
          <w:rFonts w:ascii="Arial" w:cs="Arial" w:eastAsia="Arial" w:hAnsi="Arial"/>
          <w:sz w:val="18"/>
          <w:szCs w:val="18"/>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 shall withhold such number of Shares from the Shares otherwise issuable upon the exercise of the Option.</w:t>
      </w:r>
    </w:p>
    <w:p>
      <w:pPr>
        <w:spacing w:after="0" w:line="183" w:lineRule="exact"/>
        <w:rPr>
          <w:rFonts w:ascii="Arial" w:cs="Arial" w:eastAsia="Arial" w:hAnsi="Arial"/>
          <w:sz w:val="18"/>
          <w:szCs w:val="18"/>
          <w:color w:val="auto"/>
        </w:rPr>
      </w:pPr>
    </w:p>
    <w:p>
      <w:pPr>
        <w:ind w:left="660" w:hanging="544"/>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w:t>
      </w:r>
    </w:p>
    <w:p>
      <w:pPr>
        <w:spacing w:after="0" w:line="229" w:lineRule="exact"/>
        <w:rPr>
          <w:rFonts w:ascii="Arial" w:cs="Arial" w:eastAsia="Arial" w:hAnsi="Arial"/>
          <w:sz w:val="18"/>
          <w:szCs w:val="18"/>
          <w:b w:val="1"/>
          <w:bCs w:val="1"/>
          <w:color w:val="auto"/>
        </w:rPr>
      </w:pPr>
    </w:p>
    <w:p>
      <w:pPr>
        <w:jc w:val="both"/>
        <w:ind w:left="1300" w:right="240" w:hanging="644"/>
        <w:spacing w:after="0" w:line="291"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The Committee also may grant (i) a Stock Appreciation Right independent of an Option or (ii) a Stock Appreciation Right in connection with an Option, or a portion thereof. A Stock Appreciation Right granted pursuant to clause (ii) of the preceding sentence</w:t>
      </w:r>
    </w:p>
    <w:p>
      <w:pPr>
        <w:ind w:left="1600" w:hanging="296"/>
        <w:spacing w:after="0"/>
        <w:tabs>
          <w:tab w:leader="none" w:pos="160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may be granted at the time the related Option is granted or at any time prior to the exercise or cancellation of the related Option,</w:t>
      </w:r>
    </w:p>
    <w:p>
      <w:pPr>
        <w:spacing w:after="0" w:line="32" w:lineRule="exact"/>
        <w:rPr>
          <w:rFonts w:ascii="Arial" w:cs="Arial" w:eastAsia="Arial" w:hAnsi="Arial"/>
          <w:sz w:val="16"/>
          <w:szCs w:val="16"/>
          <w:color w:val="auto"/>
        </w:rPr>
      </w:pPr>
    </w:p>
    <w:p>
      <w:pPr>
        <w:ind w:left="1300" w:right="180" w:firstLine="4"/>
        <w:spacing w:after="0" w:line="277" w:lineRule="auto"/>
        <w:tabs>
          <w:tab w:leader="none" w:pos="1585" w:val="left"/>
        </w:tabs>
        <w:numPr>
          <w:ilvl w:val="2"/>
          <w:numId w:val="114"/>
        </w:numPr>
        <w:rPr>
          <w:rFonts w:ascii="Arial" w:cs="Arial" w:eastAsia="Arial" w:hAnsi="Arial"/>
          <w:sz w:val="17"/>
          <w:szCs w:val="17"/>
          <w:color w:val="auto"/>
        </w:rPr>
      </w:pPr>
      <w:r>
        <w:rPr>
          <w:rFonts w:ascii="Arial" w:cs="Arial" w:eastAsia="Arial" w:hAnsi="Arial"/>
          <w:sz w:val="17"/>
          <w:szCs w:val="17"/>
          <w:color w:val="auto"/>
        </w:rPr>
        <w:t>shall cover the same number of Shares covered by an Option (or such lesser number of Shares as the Committee may determine) and (C) shall be subject to the same terms and conditions as such Option except for such additional limitations as are contemplated by this Section 7 (or such additional limitations as may be included in an Award agreement).</w:t>
      </w:r>
    </w:p>
    <w:p>
      <w:pPr>
        <w:spacing w:after="0" w:line="172" w:lineRule="exact"/>
        <w:rPr>
          <w:rFonts w:ascii="Arial" w:cs="Arial" w:eastAsia="Arial" w:hAnsi="Arial"/>
          <w:sz w:val="17"/>
          <w:szCs w:val="17"/>
          <w:color w:val="auto"/>
        </w:rPr>
      </w:pPr>
    </w:p>
    <w:p>
      <w:pPr>
        <w:ind w:left="1300" w:right="20" w:hanging="644"/>
        <w:spacing w:after="0" w:line="268" w:lineRule="auto"/>
        <w:tabs>
          <w:tab w:leader="none" w:pos="130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Terms</w:t>
      </w:r>
      <w:r>
        <w:rPr>
          <w:rFonts w:ascii="Arial" w:cs="Arial" w:eastAsia="Arial" w:hAnsi="Arial"/>
          <w:sz w:val="17"/>
          <w:szCs w:val="17"/>
          <w:color w:val="auto"/>
        </w:rPr>
        <w:t>. The exercise price per Share of a Stock Appreciation Right shall be an amount determined by the Committee but in no event shall such amount be less than the greater of (i) the Fair Market Value of a Share on the date the Stock Appreciation Right is granted or, in the case of a Stock Appreciation Right granted in conjunction with an Option, or a portion thereof, the Option Price of the related Option and (ii) the minimum amount permitted by applicable laws, rules, by-laws or policies of regulatory authorities or stock exchanges. Each Stock Appreciation Right granted independent of an Option shall entitle a Participant upon exercise to an amount equal to (i) the excess of (A) the Fair Market Value on the exercise date of one Share over (B) the exercise price per Share of the Stock Appreciation Right, times (ii) the number of Shares covered by the Stock Appreciation Right. Each Stock Appreciation Right granted in conjunction with an Option, or a portion thereof, shall entitle a Participant to surrender to the Company the unexercised Option, or any portion thereof, and to receive from the Company in exchange therefore an amount equal to (i) the excess of (A) the Fair Market Value on the exercise date over (B) the Option Price per Share, times (ii) the number of Shares covered by the Option, or portion thereof, which is surrendered. The date a notice of exercise is received by the Company shall be the exercise date. Payment shall be made in Shares or in cash, or partly in Shares and partly in cash (any such Shares valued at such Fair Market Value), all as shall be determined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right="380"/>
        <w:spacing w:after="0" w:line="277" w:lineRule="auto"/>
        <w:rPr>
          <w:sz w:val="20"/>
          <w:szCs w:val="20"/>
          <w:color w:val="auto"/>
        </w:rPr>
      </w:pPr>
      <w:r>
        <w:rPr>
          <w:rFonts w:ascii="Arial" w:cs="Arial" w:eastAsia="Arial" w:hAnsi="Arial"/>
          <w:sz w:val="18"/>
          <w:szCs w:val="18"/>
          <w:color w:val="auto"/>
        </w:rPr>
        <w:t>in payment for Stock Appreciation Rights, but instead cash will be paid for a fraction or, if the Committee should so determine, the number of Shares will be rounded downward to the next whole Share.</w:t>
      </w:r>
    </w:p>
    <w:p>
      <w:pPr>
        <w:spacing w:after="0" w:line="170" w:lineRule="exact"/>
        <w:rPr>
          <w:sz w:val="20"/>
          <w:szCs w:val="20"/>
          <w:color w:val="auto"/>
        </w:rPr>
      </w:pPr>
    </w:p>
    <w:p>
      <w:pPr>
        <w:ind w:left="1300" w:right="860" w:hanging="644"/>
        <w:spacing w:after="0" w:line="277"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The Committee may impose, in its discretion, such conditions upon the exercisability or transferability of Stock Appreciation Rights as it may deem fit.</w:t>
      </w:r>
    </w:p>
    <w:p>
      <w:pPr>
        <w:spacing w:after="0" w:line="170" w:lineRule="exact"/>
        <w:rPr>
          <w:rFonts w:ascii="Arial" w:cs="Arial" w:eastAsia="Arial" w:hAnsi="Arial"/>
          <w:sz w:val="18"/>
          <w:szCs w:val="18"/>
          <w:color w:val="auto"/>
        </w:rPr>
      </w:pPr>
    </w:p>
    <w:p>
      <w:pPr>
        <w:ind w:left="1300" w:right="100" w:hanging="644"/>
        <w:spacing w:after="0" w:line="279" w:lineRule="auto"/>
        <w:tabs>
          <w:tab w:leader="none" w:pos="1300"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Limited Stock Appreciation Rights</w:t>
      </w:r>
      <w:r>
        <w:rPr>
          <w:rFonts w:ascii="Arial" w:cs="Arial" w:eastAsia="Arial" w:hAnsi="Arial"/>
          <w:sz w:val="17"/>
          <w:szCs w:val="17"/>
          <w:color w:val="auto"/>
        </w:rPr>
        <w:t>. The Committee may grant LSARs that are exercisable upon the occurrence of specified contingent events. Such LSARs may provide for a different method of determining appreciation, may specify that payment will be made only in cash and may provide that any related Awards are not exercisable while such LSARs are exercisable. Unless the context otherwise requires, whenever the term “Stock Appreciation Right” is used in the Plan, such term shall include LSARs.</w:t>
      </w:r>
    </w:p>
    <w:p>
      <w:pPr>
        <w:spacing w:after="0" w:line="167" w:lineRule="exact"/>
        <w:rPr>
          <w:rFonts w:ascii="Arial" w:cs="Arial" w:eastAsia="Arial" w:hAnsi="Arial"/>
          <w:sz w:val="17"/>
          <w:szCs w:val="17"/>
          <w:color w:val="auto"/>
        </w:rPr>
      </w:pPr>
    </w:p>
    <w:p>
      <w:pPr>
        <w:ind w:left="660" w:hanging="544"/>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p>
    <w:p>
      <w:pPr>
        <w:spacing w:after="0" w:line="229" w:lineRule="exact"/>
        <w:rPr>
          <w:rFonts w:ascii="Arial" w:cs="Arial" w:eastAsia="Arial" w:hAnsi="Arial"/>
          <w:sz w:val="18"/>
          <w:szCs w:val="18"/>
          <w:b w:val="1"/>
          <w:bCs w:val="1"/>
          <w:color w:val="auto"/>
        </w:rPr>
      </w:pPr>
    </w:p>
    <w:p>
      <w:pPr>
        <w:ind w:left="1300" w:right="60" w:hanging="644"/>
        <w:spacing w:after="0" w:line="288" w:lineRule="auto"/>
        <w:tabs>
          <w:tab w:leader="none" w:pos="130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The Committee, in its sole discretion, may grant or sell Awards of Shares, Awards of Restricted Stock and Awards that are valued in whole or in part by reference to, or are otherwise based on the Fair Market Value of, Shares (“Other Stock-Based Awards”). Such Other Stock-Based Awards shall be in such form, and dependent on such conditions, as the Committee shall determine, including, without limitation, the right to receive, or vest with respect to,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168" w:lineRule="exact"/>
        <w:rPr>
          <w:rFonts w:ascii="Arial" w:cs="Arial" w:eastAsia="Arial" w:hAnsi="Arial"/>
          <w:sz w:val="16"/>
          <w:szCs w:val="16"/>
          <w:color w:val="auto"/>
        </w:rPr>
      </w:pPr>
    </w:p>
    <w:p>
      <w:pPr>
        <w:ind w:left="1300" w:hanging="644"/>
        <w:spacing w:after="0" w:line="267" w:lineRule="auto"/>
        <w:tabs>
          <w:tab w:leader="none" w:pos="1300"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Performance-Based Awards</w:t>
      </w:r>
      <w:r>
        <w:rPr>
          <w:rFonts w:ascii="Arial" w:cs="Arial" w:eastAsia="Arial" w:hAnsi="Arial"/>
          <w:sz w:val="17"/>
          <w:szCs w:val="17"/>
          <w:color w:val="auto"/>
        </w:rPr>
        <w:t>. Notwithstanding anything to the contrary herein, certain Other Stock-Based Awards granted under this Section 8 may be granted in a manner intended to satisfy the requirements for treatment as “qualified performance-based compensation” under Section 162(m) of the Code (or any successor section thereto) (“Performance-Based Awards”). A Participant’s Performance-Based Award shall be determined based on the attainment of written performance goals approved by the Committee for a performance period established by the Committee (i) while the outcome for that performance period is substantially uncertain and (ii) no more than 90 days after the commencement of the performance period to which the performance goal relates or, if less, the number of days which is equal to 25 percent of the relevant performance period. The performance goals, which must be objective, shall be based upon one or more of the following criteria: (i) consolidated earnings before or after taxes (including earnings before interest, taxes, depreciation and amortization); (ii) net income; (iii) operating income; (iv) earnings per Share; (v) book value per Share; (vi) return on stockholders’ equity; (vii) expense management; (viii) return on investment; (ix) improvements in capital structure; (x) profitability of an identifiable business unit or product; (xi) maintenance or improvement of profit margins; (xii) stock price; (xiii) market share; (xiv) revenues or sales; (xv) costs; (xvi) cash flow; (xvii) working capital and (xviii) return on assets. The foregoing criteria may relate to the Company, one or more of its Subsidiaries or one or more of its divisions or units, or any combination of the foregoing, and may be applied on an absolute basis and/or be relative to one or more peer group companies or indices, or any combination thereof, all as the Committee shall determine. In addition, to the degree consistent with Section 162(m) of the Code (or any successor section thereto), the performance goals may be calculated without regard to extraordinary items. The Committee shall determine whether, with respect to a performance period,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right="60"/>
        <w:spacing w:after="0" w:line="271" w:lineRule="auto"/>
        <w:rPr>
          <w:sz w:val="20"/>
          <w:szCs w:val="20"/>
          <w:color w:val="auto"/>
        </w:rPr>
      </w:pPr>
      <w:r>
        <w:rPr>
          <w:rFonts w:ascii="Arial" w:cs="Arial" w:eastAsia="Arial" w:hAnsi="Arial"/>
          <w:sz w:val="17"/>
          <w:szCs w:val="17"/>
          <w:color w:val="auto"/>
        </w:rPr>
        <w:t>the applicable performance goals have been met with respect to a given Participant and, if they have, to so certify and ascertain the amount of the applicable Performance-Based Award. No Performance-Based Awards will be paid for such performance period until such certification is made by the Committee. The amount of the Performance-Based Award actually paid to a given Participant may be less than the amount determined by the applicable performance goal formula, at the discretion of the Committee. The amount of the Performance-Based Award determined by the Committee for a performance period shall be paid to the Participant at such time as determined by the Committee in its sole discretion after the end of such performance period; provided, however, that a Participant may, if and to the extent permitted by the Committee and consistent with the provisions of Section 162(m) of the Code, elect to defer payment of a Performance-Based Award.</w:t>
      </w:r>
    </w:p>
    <w:p>
      <w:pPr>
        <w:spacing w:after="0" w:line="174" w:lineRule="exact"/>
        <w:rPr>
          <w:sz w:val="20"/>
          <w:szCs w:val="20"/>
          <w:color w:val="auto"/>
        </w:rPr>
      </w:pPr>
    </w:p>
    <w:p>
      <w:pPr>
        <w:ind w:left="660" w:hanging="544"/>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Certain Events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Notwithstanding any other provisions in the Plan to the contrary, the following provisions shall apply to all Awards granted</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under the Plan:</w:t>
      </w:r>
    </w:p>
    <w:p>
      <w:pPr>
        <w:spacing w:after="0" w:line="211" w:lineRule="exact"/>
        <w:rPr>
          <w:sz w:val="20"/>
          <w:szCs w:val="20"/>
          <w:color w:val="auto"/>
        </w:rPr>
      </w:pPr>
    </w:p>
    <w:p>
      <w:pPr>
        <w:ind w:left="1300" w:right="20" w:hanging="644"/>
        <w:spacing w:after="0" w:line="290" w:lineRule="auto"/>
        <w:tabs>
          <w:tab w:leader="none" w:pos="130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In the event of any change in the outstanding Shares after the Effective Date by reason of any Share dividend or split, reorganization, recapitalization, merger, consolidation, spin-off, combination, combination or transaction or exchange of Shares or other corporate exchange, or any distribution to stockholders of Shares or cash other than regular cash dividends or any transaction similar to the foregoing, the Committee in its sole discretion and without liability to any person shall make such substitution or adjustment, if any, as it deems to be equitable, as to (i) the number or kind of Shares or other securities issued or reserved for issuance pursuant to the Plan or pursuant to outstanding Awards, (ii) the maximum number of Shares for which Performance-Based Awards denominated in Shares, Options or Stock Appreciation Rights may be granted during a calendar year to any Participant, (iii) the Option Price of any Option or exercise price of any Stock Appreciation Right and/or (iv) any other affected terms of such Awards.</w:t>
      </w:r>
    </w:p>
    <w:p>
      <w:pPr>
        <w:spacing w:after="0" w:line="165" w:lineRule="exact"/>
        <w:rPr>
          <w:rFonts w:ascii="Arial" w:cs="Arial" w:eastAsia="Arial" w:hAnsi="Arial"/>
          <w:sz w:val="16"/>
          <w:szCs w:val="16"/>
          <w:color w:val="auto"/>
        </w:rPr>
      </w:pPr>
    </w:p>
    <w:p>
      <w:pPr>
        <w:ind w:left="1300" w:right="20" w:hanging="644"/>
        <w:spacing w:after="0" w:line="286" w:lineRule="auto"/>
        <w:tabs>
          <w:tab w:leader="none" w:pos="130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after the Effective Date, (i) if determined by the Committee in the applicable Award agreement or otherwise, some or all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Committee may, but shall not be obligated to,</w:t>
      </w:r>
    </w:p>
    <w:p>
      <w:pPr>
        <w:spacing w:after="0" w:line="1" w:lineRule="exact"/>
        <w:rPr>
          <w:rFonts w:ascii="Arial" w:cs="Arial" w:eastAsia="Arial" w:hAnsi="Arial"/>
          <w:sz w:val="16"/>
          <w:szCs w:val="16"/>
          <w:color w:val="auto"/>
        </w:rPr>
      </w:pPr>
    </w:p>
    <w:p>
      <w:pPr>
        <w:ind w:left="1300"/>
        <w:spacing w:after="0" w:line="286" w:lineRule="auto"/>
        <w:rPr>
          <w:rFonts w:ascii="Arial" w:cs="Arial" w:eastAsia="Arial" w:hAnsi="Arial"/>
          <w:sz w:val="16"/>
          <w:szCs w:val="16"/>
          <w:color w:val="auto"/>
        </w:rPr>
      </w:pPr>
      <w:r>
        <w:rPr>
          <w:rFonts w:ascii="Arial" w:cs="Arial" w:eastAsia="Arial" w:hAnsi="Arial"/>
          <w:sz w:val="16"/>
          <w:szCs w:val="16"/>
          <w:color w:val="auto"/>
        </w:rPr>
        <w:t>(A) cancel some or all Awards for fair value (as determined in the sole discretion of the Committee) which, in the case of Options and Stock Appreciation Rights, may equal the excess, if any, of value of the consideration to be paid in the Change in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 (B) provide for the issuance of substitute Awards that will substantially preserve the otherwise applicable terms of some or all affected Awards previously granted hereunder, as determined by the Committee in its sole discretion and/or (C) provide that, for a period of at least 15 days prior to the Change in Control, some or all Options and/or Stock Appreciation Rights shall be exercisable as to all the Shares subject thereto and that, upon the occurrence of the Change in Control, such Options and/or Stock Appreciation Rights shall terminate and be of no further force and effect.</w:t>
      </w:r>
    </w:p>
    <w:p>
      <w:pPr>
        <w:spacing w:after="0" w:line="168" w:lineRule="exact"/>
        <w:rPr>
          <w:rFonts w:ascii="Arial" w:cs="Arial" w:eastAsia="Arial" w:hAnsi="Arial"/>
          <w:sz w:val="16"/>
          <w:szCs w:val="16"/>
          <w:color w:val="auto"/>
        </w:rPr>
      </w:pPr>
    </w:p>
    <w:p>
      <w:pPr>
        <w:ind w:left="660" w:hanging="544"/>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 or Awards</w:t>
      </w:r>
    </w:p>
    <w:p>
      <w:pPr>
        <w:spacing w:after="0" w:line="189" w:lineRule="exact"/>
        <w:rPr>
          <w:sz w:val="20"/>
          <w:szCs w:val="20"/>
          <w:color w:val="auto"/>
        </w:rPr>
      </w:pPr>
    </w:p>
    <w:p>
      <w:pPr>
        <w:ind w:left="220" w:right="220" w:firstLine="1745"/>
        <w:spacing w:after="0" w:line="311" w:lineRule="auto"/>
        <w:rPr>
          <w:sz w:val="20"/>
          <w:szCs w:val="20"/>
          <w:color w:val="auto"/>
        </w:rPr>
      </w:pPr>
      <w:r>
        <w:rPr>
          <w:rFonts w:ascii="Arial" w:cs="Arial" w:eastAsia="Arial" w:hAnsi="Arial"/>
          <w:sz w:val="16"/>
          <w:szCs w:val="16"/>
          <w:color w:val="auto"/>
        </w:rPr>
        <w:t>The granting of an Award under the Plan shall impose no obligation on the Company or any Subsidiary to continue the Employment of a Participant and shall not lessen or affect the Company’s or Subsidiary’s right to terminate the Employment of such Participant. No Participant or other Person shall have any claim to be granted any Award, and there is no obligation for uniformity of treatment of Participants,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20"/>
        <w:spacing w:after="0" w:line="277" w:lineRule="auto"/>
        <w:rPr>
          <w:sz w:val="20"/>
          <w:szCs w:val="20"/>
          <w:color w:val="auto"/>
        </w:rPr>
      </w:pPr>
      <w:r>
        <w:rPr>
          <w:rFonts w:ascii="Arial" w:cs="Arial" w:eastAsia="Arial" w:hAnsi="Arial"/>
          <w:sz w:val="18"/>
          <w:szCs w:val="18"/>
          <w:color w:val="auto"/>
        </w:rPr>
        <w:t>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66" w:lineRule="exact"/>
        <w:rPr>
          <w:sz w:val="20"/>
          <w:szCs w:val="20"/>
          <w:color w:val="auto"/>
        </w:rPr>
      </w:pPr>
    </w:p>
    <w:p>
      <w:pPr>
        <w:ind w:left="660" w:hanging="544"/>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02" w:lineRule="exact"/>
        <w:rPr>
          <w:sz w:val="20"/>
          <w:szCs w:val="20"/>
          <w:color w:val="auto"/>
        </w:rPr>
      </w:pPr>
    </w:p>
    <w:p>
      <w:pPr>
        <w:ind w:left="220" w:right="60" w:firstLine="1745"/>
        <w:spacing w:after="0" w:line="263" w:lineRule="auto"/>
        <w:rPr>
          <w:sz w:val="20"/>
          <w:szCs w:val="20"/>
          <w:color w:val="auto"/>
        </w:rPr>
      </w:pPr>
      <w:r>
        <w:rPr>
          <w:rFonts w:ascii="Arial" w:cs="Arial" w:eastAsia="Arial" w:hAnsi="Arial"/>
          <w:sz w:val="18"/>
          <w:szCs w:val="18"/>
          <w:color w:val="auto"/>
        </w:rPr>
        <w:t>The Plan shall be binding on all successors and assigns of the Company and each Participant, including without limitation, the estate of such Participant and the executor, administrator or trustee of such estate, or any receiver or trustee in bankruptcy or representative of the Participant’s creditors.</w:t>
      </w:r>
    </w:p>
    <w:p>
      <w:pPr>
        <w:spacing w:after="0" w:line="180" w:lineRule="exact"/>
        <w:rPr>
          <w:sz w:val="20"/>
          <w:szCs w:val="20"/>
          <w:color w:val="auto"/>
        </w:rPr>
      </w:pPr>
    </w:p>
    <w:p>
      <w:pPr>
        <w:ind w:left="660" w:hanging="544"/>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Awards</w:t>
      </w:r>
    </w:p>
    <w:p>
      <w:pPr>
        <w:spacing w:after="0" w:line="189" w:lineRule="exact"/>
        <w:rPr>
          <w:sz w:val="20"/>
          <w:szCs w:val="20"/>
          <w:color w:val="auto"/>
        </w:rPr>
      </w:pPr>
    </w:p>
    <w:p>
      <w:pPr>
        <w:ind w:left="220" w:firstLine="1745"/>
        <w:spacing w:after="0" w:line="263" w:lineRule="auto"/>
        <w:rPr>
          <w:sz w:val="20"/>
          <w:szCs w:val="20"/>
          <w:color w:val="auto"/>
        </w:rPr>
      </w:pPr>
      <w:r>
        <w:rPr>
          <w:rFonts w:ascii="Arial" w:cs="Arial" w:eastAsia="Arial" w:hAnsi="Arial"/>
          <w:sz w:val="18"/>
          <w:szCs w:val="18"/>
          <w:color w:val="auto"/>
        </w:rPr>
        <w:t>Unless otherwise determined by the Committee, an Award shall not be transferable or assignable by the Participant otherwise than by will or by the laws of descent and distribution. An Award exercisable after the death of a Participant may be exercised by the legatees, personal representatives or distributees of the Participant.</w:t>
      </w:r>
    </w:p>
    <w:p>
      <w:pPr>
        <w:spacing w:after="0" w:line="180" w:lineRule="exact"/>
        <w:rPr>
          <w:sz w:val="20"/>
          <w:szCs w:val="20"/>
          <w:color w:val="auto"/>
        </w:rPr>
      </w:pPr>
    </w:p>
    <w:p>
      <w:pPr>
        <w:ind w:left="660" w:hanging="54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or Termination</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Board may amend, alter or discontinue the Plan, but no amendment, alteration or discontinuation shall be made,</w:t>
      </w:r>
    </w:p>
    <w:p>
      <w:pPr>
        <w:spacing w:after="0" w:line="35" w:lineRule="exact"/>
        <w:rPr>
          <w:sz w:val="20"/>
          <w:szCs w:val="20"/>
          <w:color w:val="auto"/>
        </w:rPr>
      </w:pPr>
    </w:p>
    <w:p>
      <w:pPr>
        <w:ind w:left="480" w:hanging="254"/>
        <w:spacing w:after="0"/>
        <w:tabs>
          <w:tab w:leader="none" w:pos="4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without the approval of the stockholders of the Company, if such action would (except as is provided in Section 9 of the Plan), increase the total</w:t>
      </w:r>
    </w:p>
    <w:p>
      <w:pPr>
        <w:spacing w:after="0" w:line="32" w:lineRule="exact"/>
        <w:rPr>
          <w:rFonts w:ascii="Arial" w:cs="Arial" w:eastAsia="Arial" w:hAnsi="Arial"/>
          <w:sz w:val="16"/>
          <w:szCs w:val="16"/>
          <w:color w:val="auto"/>
        </w:rPr>
      </w:pPr>
    </w:p>
    <w:p>
      <w:pPr>
        <w:ind w:left="220" w:right="40"/>
        <w:spacing w:after="0" w:line="253" w:lineRule="auto"/>
        <w:rPr>
          <w:rFonts w:ascii="Arial" w:cs="Arial" w:eastAsia="Arial" w:hAnsi="Arial"/>
          <w:sz w:val="16"/>
          <w:szCs w:val="16"/>
          <w:color w:val="auto"/>
        </w:rPr>
      </w:pPr>
      <w:r>
        <w:rPr>
          <w:rFonts w:ascii="Arial" w:cs="Arial" w:eastAsia="Arial" w:hAnsi="Arial"/>
          <w:sz w:val="18"/>
          <w:szCs w:val="18"/>
          <w:color w:val="auto"/>
        </w:rPr>
        <w:t>number of Shares reserved for the purposes of the Plan or change the maximum number of Shares for which Awards may be granted to any Participant or (b) without the consent of a Participant, if such action would diminish any of the rights of the Participant under any Award theretofore granted to such Participant under the Plan; provided, however, that the Committee may amend the Plan in such manner as it deems necessary to permit the granting of Awards meeting the requirements of the Code or other applicable laws.</w:t>
      </w:r>
    </w:p>
    <w:p>
      <w:pPr>
        <w:spacing w:after="0" w:line="188" w:lineRule="exact"/>
        <w:rPr>
          <w:rFonts w:ascii="Arial" w:cs="Arial" w:eastAsia="Arial" w:hAnsi="Arial"/>
          <w:sz w:val="16"/>
          <w:szCs w:val="16"/>
          <w:color w:val="auto"/>
        </w:rPr>
      </w:pPr>
    </w:p>
    <w:p>
      <w:pPr>
        <w:ind w:left="660" w:hanging="544"/>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Participants</w:t>
      </w:r>
    </w:p>
    <w:p>
      <w:pPr>
        <w:spacing w:after="0" w:line="202" w:lineRule="exact"/>
        <w:rPr>
          <w:sz w:val="20"/>
          <w:szCs w:val="20"/>
          <w:color w:val="auto"/>
        </w:rPr>
      </w:pPr>
    </w:p>
    <w:p>
      <w:pPr>
        <w:ind w:left="220" w:right="20" w:firstLine="1745"/>
        <w:spacing w:after="0" w:line="286" w:lineRule="auto"/>
        <w:rPr>
          <w:sz w:val="20"/>
          <w:szCs w:val="20"/>
          <w:color w:val="auto"/>
        </w:rPr>
      </w:pPr>
      <w:r>
        <w:rPr>
          <w:rFonts w:ascii="Arial" w:cs="Arial" w:eastAsia="Arial" w:hAnsi="Arial"/>
          <w:sz w:val="17"/>
          <w:szCs w:val="17"/>
          <w:color w:val="auto"/>
        </w:rPr>
        <w:t>With respect to Participants who reside or work outside the United States of America and who are not (and who are not expected to be) “covered employees” within the meaning of Section 162(m) of the Code, the Committee may, in its sole discretion, amend the terms of the Plan or Awards with respect to such Participants in order to conform such terms with the requirements of local law.</w:t>
      </w:r>
    </w:p>
    <w:p>
      <w:pPr>
        <w:spacing w:after="0" w:line="161" w:lineRule="exact"/>
        <w:rPr>
          <w:sz w:val="20"/>
          <w:szCs w:val="20"/>
          <w:color w:val="auto"/>
        </w:rPr>
      </w:pPr>
    </w:p>
    <w:p>
      <w:pPr>
        <w:ind w:left="660" w:hanging="544"/>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The Plan shall be governed by and construed in accordance with the laws of the State of New York, without regard to conflicts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 laws.</w:t>
      </w:r>
    </w:p>
    <w:p>
      <w:pPr>
        <w:spacing w:after="0" w:line="207" w:lineRule="exact"/>
        <w:rPr>
          <w:sz w:val="20"/>
          <w:szCs w:val="20"/>
          <w:color w:val="auto"/>
        </w:rPr>
      </w:pPr>
    </w:p>
    <w:p>
      <w:pPr>
        <w:ind w:left="660" w:hanging="544"/>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No Repricing</w:t>
      </w:r>
    </w:p>
    <w:p>
      <w:pPr>
        <w:spacing w:after="0" w:line="189" w:lineRule="exact"/>
        <w:rPr>
          <w:sz w:val="20"/>
          <w:szCs w:val="20"/>
          <w:color w:val="auto"/>
        </w:rPr>
      </w:pPr>
    </w:p>
    <w:p>
      <w:pPr>
        <w:ind w:left="220" w:right="160" w:firstLine="1745"/>
        <w:spacing w:after="0" w:line="275" w:lineRule="auto"/>
        <w:rPr>
          <w:sz w:val="20"/>
          <w:szCs w:val="20"/>
          <w:color w:val="auto"/>
        </w:rPr>
      </w:pPr>
      <w:r>
        <w:rPr>
          <w:rFonts w:ascii="Arial" w:cs="Arial" w:eastAsia="Arial" w:hAnsi="Arial"/>
          <w:sz w:val="17"/>
          <w:szCs w:val="17"/>
          <w:color w:val="auto"/>
        </w:rPr>
        <w:t>The repricing of Options or Stock Appreciation Rights shall not be permitted without the approval of the stockholders of the Company. For this purpose, a “repricing” means changing the terms of an Option or a Stock Appreciation Right to lower its exercise price, any other action that is treated as a “repricing” under generally accepted accounting principles or any other action that has the same effect as the foregoing, and includes, for the avoidance of doubt, any cancellation in conjunction with the grant of a new Option, SAR or other Award or repurchase for cash or other consideration in a manner that has the effect of reducing the exercise price.</w:t>
      </w:r>
    </w:p>
    <w:p>
      <w:pPr>
        <w:spacing w:after="0" w:line="172" w:lineRule="exact"/>
        <w:rPr>
          <w:sz w:val="20"/>
          <w:szCs w:val="20"/>
          <w:color w:val="auto"/>
        </w:rPr>
      </w:pPr>
    </w:p>
    <w:p>
      <w:pPr>
        <w:ind w:left="660" w:hanging="544"/>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Plan shall be effective as of the Effective Date.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220345</wp:posOffset>
            </wp:positionV>
            <wp:extent cx="5537835" cy="7029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37835" cy="70294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220345</wp:posOffset>
            </wp:positionV>
            <wp:extent cx="6086475" cy="7029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86475" cy="702945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lvl w:ilvl="1">
      <w:lvlJc w:val="left"/>
      <w:lvlText w:val="(%2)"/>
      <w:numFmt w:val="decimal"/>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lvl w:ilvl="1">
      <w:lvlJc w:val="left"/>
      <w:lvlText w:val="•"/>
      <w:numFmt w:val="bullet"/>
      <w:start w:val="1"/>
    </w:lvl>
  </w:abstractNum>
  <w:abstractNum w:abstractNumId="16">
    <w:nsid w:val="42C296BD"/>
    <w:multiLevelType w:val="hybridMultilevel"/>
    <w:lvl w:ilvl="0">
      <w:lvlJc w:val="left"/>
      <w:lvlText w:val="✓"/>
      <w:numFmt w:val="bullet"/>
      <w:start w:val="1"/>
    </w:lvl>
    <w:lvl w:ilvl="1">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1"/>
      <w:numFmt w:val="upperLetter"/>
      <w:start w:val="35"/>
    </w:lvl>
  </w:abstractNum>
  <w:abstractNum w:abstractNumId="28">
    <w:nsid w:val="A0382C5"/>
    <w:multiLevelType w:val="hybridMultilevel"/>
    <w:lvl w:ilvl="0">
      <w:lvlJc w:val="left"/>
      <w:lvlText w:val="%1"/>
      <w:numFmt w:val="upperLetter"/>
      <w:start w:val="35"/>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1)"/>
      <w:numFmt w:val="decimal"/>
      <w:start w:val="2"/>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1)"/>
      <w:numFmt w:val="decimal"/>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1)"/>
      <w:numFmt w:val="decimal"/>
      <w:start w:val="4"/>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5"/>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1)"/>
      <w:numFmt w:val="decimal"/>
      <w:start w:val="6"/>
    </w:lvl>
  </w:abstractNum>
  <w:abstractNum w:abstractNumId="59">
    <w:nsid w:val="43F18422"/>
    <w:multiLevelType w:val="hybridMultilevel"/>
    <w:lvl w:ilvl="0">
      <w:lvlJc w:val="left"/>
      <w:lvlText w:val="(%1)"/>
      <w:numFmt w:val="decimal"/>
      <w:start w:val="1"/>
    </w:lvl>
  </w:abstractNum>
  <w:abstractNum w:abstractNumId="60">
    <w:nsid w:val="60EF0119"/>
    <w:multiLevelType w:val="hybridMultilevel"/>
    <w:lvl w:ilvl="0">
      <w:lvlJc w:val="left"/>
      <w:lvlText w:val="(%1)"/>
      <w:numFmt w:val="decimal"/>
      <w:start w:val="1"/>
    </w:lvl>
  </w:abstractNum>
  <w:abstractNum w:abstractNumId="61">
    <w:nsid w:val="26F324BA"/>
    <w:multiLevelType w:val="hybridMultilevel"/>
    <w:lvl w:ilvl="0">
      <w:lvlJc w:val="left"/>
      <w:lvlText w:val="(%1)"/>
      <w:numFmt w:val="lowerLetter"/>
      <w:start w:val="2"/>
    </w:lvl>
  </w:abstractNum>
  <w:abstractNum w:abstractNumId="62">
    <w:nsid w:val="7F01579B"/>
    <w:multiLevelType w:val="hybridMultilevel"/>
    <w:lvl w:ilvl="0">
      <w:lvlJc w:val="left"/>
      <w:lvlText w:val="(%1)"/>
      <w:numFmt w:val="decimal"/>
      <w:start w:val="2"/>
    </w:lvl>
  </w:abstractNum>
  <w:abstractNum w:abstractNumId="63">
    <w:nsid w:val="49DA307D"/>
    <w:multiLevelType w:val="hybridMultilevel"/>
    <w:lvl w:ilvl="0">
      <w:lvlJc w:val="left"/>
      <w:lvlText w:val="(%1)"/>
      <w:numFmt w:val="lowerRoman"/>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1)"/>
      <w:numFmt w:val="decimal"/>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lvl w:ilvl="1">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decimal"/>
      <w:start w:val="1"/>
    </w:lvl>
    <w:lvl w:ilvl="1">
      <w:lvlJc w:val="left"/>
      <w:lvlText w:val="•"/>
      <w:numFmt w:val="bullet"/>
      <w:start w:val="1"/>
    </w:lvl>
  </w:abstractNum>
  <w:abstractNum w:abstractNumId="81">
    <w:nsid w:val="71C91298"/>
    <w:multiLevelType w:val="hybridMultilevel"/>
    <w:lvl w:ilvl="0">
      <w:lvlJc w:val="left"/>
      <w:lvlText w:val="✓"/>
      <w:numFmt w:val="bullet"/>
      <w:start w:val="1"/>
    </w:lvl>
    <w:lvl w:ilvl="1">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1)"/>
      <w:numFmt w:val="decimal"/>
      <w:start w:val="1"/>
    </w:lvl>
    <w:lvl w:ilvl="1">
      <w:lvlJc w:val="left"/>
      <w:lvlText w:val="•"/>
      <w:numFmt w:val="bullet"/>
      <w:start w:val="1"/>
    </w:lvl>
  </w:abstractNum>
  <w:abstractNum w:abstractNumId="84">
    <w:nsid w:val="1FBFE8E0"/>
    <w:multiLevelType w:val="hybridMultilevel"/>
    <w:lvl w:ilvl="0">
      <w:lvlJc w:val="left"/>
      <w:lvlText w:val="(%1)"/>
      <w:numFmt w:val="decimal"/>
      <w:start w:val="1"/>
    </w:lvl>
  </w:abstractNum>
  <w:abstractNum w:abstractNumId="85">
    <w:nsid w:val="5092CA79"/>
    <w:multiLevelType w:val="hybridMultilevel"/>
    <w:lvl w:ilvl="0">
      <w:lvlJc w:val="left"/>
      <w:lvlText w:val="✓"/>
      <w:numFmt w:val="bullet"/>
      <w:start w:val="1"/>
    </w:lvl>
    <w:lvl w:ilvl="1">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1)"/>
      <w:numFmt w:val="lowerRoman"/>
      <w:start w:val="8"/>
    </w:lvl>
  </w:abstractNum>
  <w:abstractNum w:abstractNumId="91">
    <w:nsid w:val="97E1B4E"/>
    <w:multiLevelType w:val="hybridMultilevel"/>
    <w:lvl w:ilvl="0">
      <w:lvlJc w:val="left"/>
      <w:lvlText w:val="(%1)"/>
      <w:numFmt w:val="lowerRoman"/>
      <w:start w:val="17"/>
    </w:lvl>
  </w:abstractNum>
  <w:abstractNum w:abstractNumId="92">
    <w:nsid w:val="51088277"/>
    <w:multiLevelType w:val="hybridMultilevel"/>
    <w:lvl w:ilvl="0">
      <w:lvlJc w:val="left"/>
      <w:lvlText w:val="(%1)"/>
      <w:numFmt w:val="lowerRoman"/>
      <w:start w:val="1"/>
    </w:lvl>
  </w:abstractNum>
  <w:abstractNum w:abstractNumId="93">
    <w:nsid w:val="1CA0C5FA"/>
    <w:multiLevelType w:val="hybridMultilevel"/>
    <w:lvl w:ilvl="0">
      <w:lvlJc w:val="left"/>
      <w:lvlText w:val="(%1)"/>
      <w:numFmt w:val="lowerRoman"/>
      <w:start w:val="4"/>
    </w:lvl>
  </w:abstractNum>
  <w:abstractNum w:abstractNumId="94">
    <w:nsid w:val="53584BCB"/>
    <w:multiLevelType w:val="hybridMultilevel"/>
    <w:lvl w:ilvl="0">
      <w:lvlJc w:val="left"/>
      <w:lvlText w:val="(%1)"/>
      <w:numFmt w:val="decimal"/>
      <w:start w:val="1"/>
    </w:lvl>
  </w:abstractNum>
  <w:abstractNum w:abstractNumId="95">
    <w:nsid w:val="415E286C"/>
    <w:multiLevelType w:val="hybridMultilevel"/>
    <w:lvl w:ilvl="0">
      <w:lvlJc w:val="left"/>
      <w:lvlText w:val="(%1)"/>
      <w:numFmt w:val="decimal"/>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1)"/>
      <w:numFmt w:val="lowerLetter"/>
      <w:start w:val="1"/>
    </w:lvl>
  </w:abstractNum>
  <w:abstractNum w:abstractNumId="99">
    <w:nsid w:val="5C10FE21"/>
    <w:multiLevelType w:val="hybridMultilevel"/>
    <w:lvl w:ilvl="0">
      <w:lvlJc w:val="left"/>
      <w:lvlText w:val="%1."/>
      <w:numFmt w:val="decimal"/>
      <w:start w:val="1"/>
    </w:lvl>
  </w:abstractNum>
  <w:abstractNum w:abstractNumId="100">
    <w:nsid w:val="E7FFA2B"/>
    <w:multiLevelType w:val="hybridMultilevel"/>
    <w:lvl w:ilvl="0">
      <w:lvlJc w:val="left"/>
      <w:lvlText w:val="%1."/>
      <w:numFmt w:val="decimal"/>
      <w:start w:val="8"/>
    </w:lvl>
  </w:abstractNum>
  <w:abstractNum w:abstractNumId="101">
    <w:nsid w:val="3C5991AA"/>
    <w:multiLevelType w:val="hybridMultilevel"/>
    <w:lvl w:ilvl="0">
      <w:lvlJc w:val="left"/>
      <w:lvlText w:val="%1."/>
      <w:numFmt w:val="decimal"/>
      <w:start w:val="18"/>
    </w:lvl>
  </w:abstractNum>
  <w:abstractNum w:abstractNumId="102">
    <w:nsid w:val="4BD8591A"/>
    <w:multiLevelType w:val="hybridMultilevel"/>
    <w:lvl w:ilvl="0">
      <w:lvlJc w:val="left"/>
      <w:lvlText w:val="%1."/>
      <w:numFmt w:val="decimal"/>
      <w:start w:val="1"/>
    </w:lvl>
    <w:lvl w:ilvl="1">
      <w:lvlJc w:val="left"/>
      <w:lvlText w:val="(%2)"/>
      <w:numFmt w:val="lowerLetter"/>
      <w:start w:val="1"/>
    </w:lvl>
  </w:abstractNum>
  <w:abstractNum w:abstractNumId="103">
    <w:nsid w:val="78DF6A55"/>
    <w:multiLevelType w:val="hybridMultilevel"/>
    <w:lvl w:ilvl="0">
      <w:lvlJc w:val="left"/>
      <w:lvlText w:val="(%1)"/>
      <w:numFmt w:val="lowerLetter"/>
      <w:start w:val="1"/>
    </w:lvl>
  </w:abstractNum>
  <w:abstractNum w:abstractNumId="104">
    <w:nsid w:val="39B7AAA2"/>
    <w:multiLevelType w:val="hybridMultilevel"/>
    <w:lvl w:ilvl="0">
      <w:lvlJc w:val="left"/>
      <w:lvlText w:val="(%1)"/>
      <w:numFmt w:val="lowerLetter"/>
      <w:start w:val="7"/>
    </w:lvl>
  </w:abstractNum>
  <w:abstractNum w:abstractNumId="105">
    <w:nsid w:val="2B0D8DBE"/>
    <w:multiLevelType w:val="hybridMultilevel"/>
    <w:lvl w:ilvl="0">
      <w:lvlJc w:val="left"/>
      <w:lvlText w:val="(%1)"/>
      <w:numFmt w:val="lowerLetter"/>
      <w:start w:val="21"/>
    </w:lvl>
  </w:abstractNum>
  <w:abstractNum w:abstractNumId="106">
    <w:nsid w:val="6C80EC70"/>
    <w:multiLevelType w:val="hybridMultilevel"/>
    <w:lvl w:ilvl="0">
      <w:lvlJc w:val="left"/>
      <w:lvlText w:val="%1"/>
      <w:numFmt w:val="decimal"/>
      <w:start w:val="1"/>
    </w:lvl>
    <w:lvl w:ilvl="1">
      <w:lvlJc w:val="left"/>
      <w:lvlText w:val="(%2)"/>
      <w:numFmt w:val="lowerLetter"/>
      <w:start w:val="27"/>
    </w:lvl>
  </w:abstractNum>
  <w:abstractNum w:abstractNumId="107">
    <w:nsid w:val="379E21B5"/>
    <w:multiLevelType w:val="hybridMultilevel"/>
    <w:lvl w:ilvl="0">
      <w:lvlJc w:val="left"/>
      <w:lvlText w:val="%1."/>
      <w:numFmt w:val="decimal"/>
      <w:start w:val="3"/>
    </w:lvl>
    <w:lvl w:ilvl="1">
      <w:lvlJc w:val="left"/>
      <w:lvlText w:val="(%2)"/>
      <w:numFmt w:val="lowerLetter"/>
      <w:start w:val="1"/>
    </w:lvl>
  </w:abstractNum>
  <w:abstractNum w:abstractNumId="108">
    <w:nsid w:val="69E373"/>
    <w:multiLevelType w:val="hybridMultilevel"/>
    <w:lvl w:ilvl="0">
      <w:lvlJc w:val="left"/>
      <w:lvlText w:val="%1."/>
      <w:numFmt w:val="decimal"/>
      <w:start w:val="4"/>
    </w:lvl>
    <w:lvl w:ilvl="1">
      <w:lvlJc w:val="left"/>
      <w:lvlText w:val="(%2)"/>
      <w:numFmt w:val="lowerLetter"/>
      <w:start w:val="1"/>
    </w:lvl>
  </w:abstractNum>
  <w:abstractNum w:abstractNumId="109">
    <w:nsid w:val="2C27173B"/>
    <w:multiLevelType w:val="hybridMultilevel"/>
    <w:lvl w:ilvl="0">
      <w:lvlJc w:val="left"/>
      <w:lvlText w:val="%1"/>
      <w:numFmt w:val="decimal"/>
      <w:start w:val="1"/>
    </w:lvl>
    <w:lvl w:ilvl="1">
      <w:lvlJc w:val="left"/>
      <w:lvlText w:val="(%2)"/>
      <w:numFmt w:val="lowerLetter"/>
      <w:start w:val="2"/>
    </w:lvl>
  </w:abstractNum>
  <w:abstractNum w:abstractNumId="110">
    <w:nsid w:val="4C9B0904"/>
    <w:multiLevelType w:val="hybridMultilevel"/>
    <w:lvl w:ilvl="0">
      <w:lvlJc w:val="left"/>
      <w:lvlText w:val="%1."/>
      <w:numFmt w:val="decimal"/>
      <w:start w:val="6"/>
    </w:lvl>
    <w:lvl w:ilvl="1">
      <w:lvlJc w:val="left"/>
      <w:lvlText w:val="%2"/>
      <w:numFmt w:val="lowerLetter"/>
      <w:start w:val="1"/>
    </w:lvl>
  </w:abstractNum>
  <w:abstractNum w:abstractNumId="111">
    <w:nsid w:val="6AA7B75C"/>
    <w:multiLevelType w:val="hybridMultilevel"/>
    <w:lvl w:ilvl="0">
      <w:lvlJc w:val="left"/>
      <w:lvlText w:val="(%1)"/>
      <w:numFmt w:val="lowerLetter"/>
      <w:start w:val="1"/>
    </w:lvl>
  </w:abstractNum>
  <w:abstractNum w:abstractNumId="112">
    <w:nsid w:val="1DF029D3"/>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113">
    <w:nsid w:val="5675FF36"/>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114">
    <w:nsid w:val="3DD15094"/>
    <w:multiLevelType w:val="hybridMultilevel"/>
    <w:lvl w:ilvl="0">
      <w:lvlJc w:val="left"/>
      <w:lvlText w:val="%1"/>
      <w:numFmt w:val="decimal"/>
      <w:start w:val="1"/>
    </w:lvl>
    <w:lvl w:ilvl="1">
      <w:lvlJc w:val="left"/>
      <w:lvlText w:val="(%2)"/>
      <w:numFmt w:val="lowerLetter"/>
      <w:start w:val="3"/>
    </w:lvl>
  </w:abstractNum>
  <w:abstractNum w:abstractNumId="115">
    <w:nsid w:val="3DB012B3"/>
    <w:multiLevelType w:val="hybridMultilevel"/>
    <w:lvl w:ilvl="0">
      <w:lvlJc w:val="left"/>
      <w:lvlText w:val="%1."/>
      <w:numFmt w:val="decimal"/>
      <w:start w:val="8"/>
    </w:lvl>
    <w:lvl w:ilvl="1">
      <w:lvlJc w:val="left"/>
      <w:lvlText w:val="(%2)"/>
      <w:numFmt w:val="lowerLetter"/>
      <w:start w:val="1"/>
    </w:lvl>
  </w:abstractNum>
  <w:abstractNum w:abstractNumId="116">
    <w:nsid w:val="2708C9AF"/>
    <w:multiLevelType w:val="hybridMultilevel"/>
    <w:lvl w:ilvl="0">
      <w:lvlJc w:val="left"/>
      <w:lvlText w:val="%1."/>
      <w:numFmt w:val="decimal"/>
      <w:start w:val="9"/>
    </w:lvl>
  </w:abstractNum>
  <w:abstractNum w:abstractNumId="117">
    <w:nsid w:val="5B25ACE2"/>
    <w:multiLevelType w:val="hybridMultilevel"/>
    <w:lvl w:ilvl="0">
      <w:lvlJc w:val="left"/>
      <w:lvlText w:val="%1"/>
      <w:numFmt w:val="decimal"/>
      <w:start w:val="1"/>
    </w:lvl>
    <w:lvl w:ilvl="1">
      <w:lvlJc w:val="left"/>
      <w:lvlText w:val="(%2)"/>
      <w:numFmt w:val="lowerLetter"/>
      <w:start w:val="1"/>
    </w:lvl>
  </w:abstractNum>
  <w:abstractNum w:abstractNumId="118">
    <w:nsid w:val="175DFCF0"/>
    <w:multiLevelType w:val="hybridMultilevel"/>
    <w:lvl w:ilvl="0">
      <w:lvlJc w:val="left"/>
      <w:lvlText w:val="%1."/>
      <w:numFmt w:val="decimal"/>
      <w:start w:val="10"/>
    </w:lvl>
    <w:lvl w:ilvl="1">
      <w:lvlJc w:val="left"/>
      <w:lvlText w:val="%2"/>
      <w:numFmt w:val="lowerLetter"/>
      <w:start w:val="1"/>
    </w:lvl>
  </w:abstractNum>
  <w:abstractNum w:abstractNumId="119">
    <w:nsid w:val="4F97E3E4"/>
    <w:multiLevelType w:val="hybridMultilevel"/>
    <w:lvl w:ilvl="0">
      <w:lvlJc w:val="left"/>
      <w:lvlText w:val="%1."/>
      <w:numFmt w:val="decimal"/>
      <w:start w:val="11"/>
    </w:lvl>
  </w:abstractNum>
  <w:abstractNum w:abstractNumId="120">
    <w:nsid w:val="53B0A9E"/>
    <w:multiLevelType w:val="hybridMultilevel"/>
    <w:lvl w:ilvl="0">
      <w:lvlJc w:val="left"/>
      <w:lvlText w:val="%1."/>
      <w:numFmt w:val="decimal"/>
      <w:start w:val="12"/>
    </w:lvl>
  </w:abstractNum>
  <w:abstractNum w:abstractNumId="121">
    <w:nsid w:val="34FD6B4F"/>
    <w:multiLevelType w:val="hybridMultilevel"/>
    <w:lvl w:ilvl="0">
      <w:lvlJc w:val="left"/>
      <w:lvlText w:val="%1."/>
      <w:numFmt w:val="decimal"/>
      <w:start w:val="13"/>
    </w:lvl>
  </w:abstractNum>
  <w:abstractNum w:abstractNumId="122">
    <w:nsid w:val="5915FF32"/>
    <w:multiLevelType w:val="hybridMultilevel"/>
    <w:lvl w:ilvl="0">
      <w:lvlJc w:val="left"/>
      <w:lvlText w:val="%1"/>
      <w:numFmt w:val="decimal"/>
      <w:start w:val="1"/>
    </w:lvl>
    <w:lvl w:ilvl="1">
      <w:lvlJc w:val="left"/>
      <w:lvlText w:val="(%2)"/>
      <w:numFmt w:val="lowerLetter"/>
      <w:start w:val="1"/>
    </w:lvl>
  </w:abstractNum>
  <w:abstractNum w:abstractNumId="123">
    <w:nsid w:val="56438D15"/>
    <w:multiLevelType w:val="hybridMultilevel"/>
    <w:lvl w:ilvl="0">
      <w:lvlJc w:val="left"/>
      <w:lvlText w:val="%1."/>
      <w:numFmt w:val="decimal"/>
      <w:start w:val="14"/>
    </w:lvl>
    <w:lvl w:ilvl="1">
      <w:lvlJc w:val="left"/>
      <w:lvlText w:val="%2"/>
      <w:numFmt w:val="lowerLetter"/>
      <w:start w:val="1"/>
    </w:lvl>
  </w:abstractNum>
  <w:abstractNum w:abstractNumId="124">
    <w:nsid w:val="519E3149"/>
    <w:multiLevelType w:val="hybridMultilevel"/>
    <w:lvl w:ilvl="0">
      <w:lvlJc w:val="left"/>
      <w:lvlText w:val="%1."/>
      <w:numFmt w:val="decimal"/>
      <w:start w:val="15"/>
    </w:lvl>
  </w:abstractNum>
  <w:abstractNum w:abstractNumId="125">
    <w:nsid w:val="2C6E4AFD"/>
    <w:multiLevelType w:val="hybridMultilevel"/>
    <w:lvl w:ilvl="0">
      <w:lvlJc w:val="left"/>
      <w:lvlText w:val="%1."/>
      <w:numFmt w:val="decimal"/>
      <w:start w:val="16"/>
    </w:lvl>
  </w:abstractNum>
  <w:abstractNum w:abstractNumId="126">
    <w:nsid w:val="17A1B582"/>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2020-04-24T15:33:12Z</dcterms:created>
  <dcterms:modified xsi:type="dcterms:W3CDTF">2020-04-24T15:33:12Z</dcterms:modified>
</cp:coreProperties>
</file>