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Schedule 13G</w:t>
      </w:r>
    </w:p>
    <w:p>
      <w:pPr>
        <w:spacing w:after="0" w:line="210"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Under the Securities Exchange Act of 1934</w:t>
      </w:r>
    </w:p>
    <w:p>
      <w:pPr>
        <w:spacing w:after="0" w:line="21" w:lineRule="exact"/>
        <w:rPr>
          <w:sz w:val="24"/>
          <w:szCs w:val="24"/>
          <w:color w:val="auto"/>
        </w:rPr>
      </w:pPr>
    </w:p>
    <w:p>
      <w:pPr>
        <w:jc w:val="center"/>
        <w:ind w:right="-159"/>
        <w:spacing w:after="0"/>
        <w:rPr>
          <w:sz w:val="20"/>
          <w:szCs w:val="20"/>
          <w:color w:val="auto"/>
        </w:rPr>
      </w:pPr>
      <w:r>
        <w:rPr>
          <w:rFonts w:ascii="Arial" w:cs="Arial" w:eastAsia="Arial" w:hAnsi="Arial"/>
          <w:sz w:val="17"/>
          <w:szCs w:val="17"/>
          <w:color w:val="auto"/>
        </w:rPr>
        <w:t>(Amendment No.: 4 )*</w:t>
      </w:r>
    </w:p>
    <w:p>
      <w:pPr>
        <w:spacing w:after="0" w:line="200" w:lineRule="exact"/>
        <w:rPr>
          <w:sz w:val="24"/>
          <w:szCs w:val="24"/>
          <w:color w:val="auto"/>
        </w:rPr>
      </w:pPr>
    </w:p>
    <w:p>
      <w:pPr>
        <w:spacing w:after="0" w:line="200" w:lineRule="exact"/>
        <w:rPr>
          <w:sz w:val="24"/>
          <w:szCs w:val="24"/>
          <w:color w:val="auto"/>
        </w:rPr>
      </w:pPr>
    </w:p>
    <w:p>
      <w:pPr>
        <w:spacing w:after="0" w:line="201" w:lineRule="exact"/>
        <w:rPr>
          <w:sz w:val="24"/>
          <w:szCs w:val="24"/>
          <w:color w:val="auto"/>
        </w:rPr>
      </w:pPr>
    </w:p>
    <w:p>
      <w:pPr>
        <w:spacing w:after="0"/>
        <w:rPr>
          <w:sz w:val="20"/>
          <w:szCs w:val="20"/>
          <w:color w:val="auto"/>
        </w:rPr>
      </w:pPr>
      <w:r>
        <w:rPr>
          <w:rFonts w:ascii="Arial" w:cs="Arial" w:eastAsia="Arial" w:hAnsi="Arial"/>
          <w:sz w:val="17"/>
          <w:szCs w:val="17"/>
          <w:color w:val="auto"/>
        </w:rPr>
        <w:t>Name of issuer: Evercore Inc</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Title of Class of Securities: Common Stock</w:t>
      </w:r>
    </w:p>
    <w:p>
      <w:pPr>
        <w:spacing w:after="0" w:line="200" w:lineRule="exact"/>
        <w:rPr>
          <w:sz w:val="24"/>
          <w:szCs w:val="24"/>
          <w:color w:val="auto"/>
        </w:rPr>
      </w:pPr>
    </w:p>
    <w:p>
      <w:pPr>
        <w:spacing w:after="0" w:line="212" w:lineRule="exact"/>
        <w:rPr>
          <w:sz w:val="24"/>
          <w:szCs w:val="24"/>
          <w:color w:val="auto"/>
        </w:rPr>
      </w:pPr>
    </w:p>
    <w:p>
      <w:pPr>
        <w:spacing w:after="0"/>
        <w:rPr>
          <w:sz w:val="20"/>
          <w:szCs w:val="20"/>
          <w:color w:val="auto"/>
        </w:rPr>
      </w:pPr>
      <w:r>
        <w:rPr>
          <w:rFonts w:ascii="Arial" w:cs="Arial" w:eastAsia="Arial" w:hAnsi="Arial"/>
          <w:sz w:val="17"/>
          <w:szCs w:val="17"/>
          <w:color w:val="auto"/>
        </w:rPr>
        <w:t>CUSIP Number: 29977A105</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7"/>
          <w:szCs w:val="17"/>
          <w:color w:val="auto"/>
        </w:rPr>
        <w:t xml:space="preserve">Date of Event Which Requires Filing of this Statement: </w:t>
      </w:r>
      <w:r>
        <w:rPr>
          <w:rFonts w:ascii="Arial" w:cs="Arial" w:eastAsia="Arial" w:hAnsi="Arial"/>
          <w:sz w:val="17"/>
          <w:szCs w:val="17"/>
          <w:b w:val="1"/>
          <w:bCs w:val="1"/>
          <w:color w:val="auto"/>
        </w:rPr>
        <w:t>December 31, 2017</w:t>
      </w:r>
    </w:p>
    <w:p>
      <w:pPr>
        <w:spacing w:after="0" w:line="216"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 to designate the rule pursuant to which this Schedule is filed:</w:t>
      </w:r>
    </w:p>
    <w:p>
      <w:pPr>
        <w:spacing w:after="0" w:line="21" w:lineRule="exact"/>
        <w:rPr>
          <w:sz w:val="24"/>
          <w:szCs w:val="24"/>
          <w:color w:val="auto"/>
        </w:rPr>
      </w:pPr>
    </w:p>
    <w:p>
      <w:pPr>
        <w:jc w:val="both"/>
        <w:ind w:left="100" w:right="9940" w:hanging="6"/>
        <w:spacing w:after="0" w:line="302" w:lineRule="auto"/>
        <w:tabs>
          <w:tab w:leader="none" w:pos="380" w:val="left"/>
        </w:tabs>
        <w:numPr>
          <w:ilvl w:val="0"/>
          <w:numId w:val="1"/>
        </w:numPr>
        <w:rPr>
          <w:rFonts w:ascii="Arial" w:cs="Arial" w:eastAsia="Arial" w:hAnsi="Arial"/>
          <w:sz w:val="15"/>
          <w:szCs w:val="15"/>
          <w:color w:val="auto"/>
        </w:rPr>
      </w:pPr>
      <w:r>
        <w:rPr>
          <w:rFonts w:ascii="Arial" w:cs="Arial" w:eastAsia="Arial" w:hAnsi="Arial"/>
          <w:sz w:val="15"/>
          <w:szCs w:val="15"/>
          <w:color w:val="auto"/>
        </w:rPr>
        <w:t>Rule 13d-1(b) ( ) Rule 13d-1(c) ( ) Rule 13d-1(d)</w:t>
      </w:r>
    </w:p>
    <w:p>
      <w:pPr>
        <w:spacing w:after="0" w:line="145" w:lineRule="exact"/>
        <w:rPr>
          <w:sz w:val="24"/>
          <w:szCs w:val="24"/>
          <w:color w:val="auto"/>
        </w:rPr>
      </w:pPr>
    </w:p>
    <w:p>
      <w:pPr>
        <w:ind w:right="300" w:firstLine="86"/>
        <w:spacing w:after="0" w:line="274" w:lineRule="auto"/>
        <w:rPr>
          <w:sz w:val="20"/>
          <w:szCs w:val="20"/>
          <w:color w:val="auto"/>
        </w:rPr>
      </w:pPr>
      <w:r>
        <w:rPr>
          <w:rFonts w:ascii="Arial" w:cs="Arial" w:eastAsia="Arial" w:hAnsi="Arial"/>
          <w:sz w:val="17"/>
          <w:szCs w:val="17"/>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1" w:lineRule="exact"/>
        <w:rPr>
          <w:sz w:val="24"/>
          <w:szCs w:val="24"/>
          <w:color w:val="auto"/>
        </w:rPr>
      </w:pPr>
    </w:p>
    <w:p>
      <w:pPr>
        <w:ind w:firstLine="82"/>
        <w:spacing w:after="0" w:line="306"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341" w:lineRule="exact"/>
        <w:rPr>
          <w:sz w:val="24"/>
          <w:szCs w:val="24"/>
          <w:color w:val="auto"/>
        </w:rPr>
      </w:pPr>
    </w:p>
    <w:p>
      <w:pPr>
        <w:spacing w:after="0"/>
        <w:rPr>
          <w:sz w:val="20"/>
          <w:szCs w:val="20"/>
          <w:color w:val="auto"/>
        </w:rPr>
      </w:pPr>
      <w:r>
        <w:rPr>
          <w:rFonts w:ascii="Arial" w:cs="Arial" w:eastAsia="Arial" w:hAnsi="Arial"/>
          <w:sz w:val="17"/>
          <w:szCs w:val="17"/>
          <w:color w:val="auto"/>
        </w:rPr>
        <w:t>(Continued on the following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210820</wp:posOffset>
            </wp:positionV>
            <wp:extent cx="7267575"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ind w:left="5560"/>
        <w:spacing w:after="0"/>
        <w:rPr>
          <w:sz w:val="20"/>
          <w:szCs w:val="20"/>
          <w:color w:val="auto"/>
        </w:rPr>
      </w:pPr>
      <w:r>
        <w:rPr>
          <w:rFonts w:ascii="Arial" w:cs="Arial" w:eastAsia="Arial" w:hAnsi="Arial"/>
          <w:sz w:val="17"/>
          <w:szCs w:val="17"/>
          <w:color w:val="auto"/>
        </w:rPr>
        <w:t>13G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CUSIP No.: 29977A105</w:t>
      </w:r>
    </w:p>
    <w:p>
      <w:pPr>
        <w:spacing w:after="0" w:line="398" w:lineRule="exact"/>
        <w:rPr>
          <w:sz w:val="20"/>
          <w:szCs w:val="20"/>
          <w:color w:val="auto"/>
        </w:rPr>
      </w:pPr>
    </w:p>
    <w:p>
      <w:pPr>
        <w:ind w:left="220" w:hanging="212"/>
        <w:spacing w:after="0"/>
        <w:tabs>
          <w:tab w:leader="none" w:pos="220" w:val="left"/>
        </w:tabs>
        <w:numPr>
          <w:ilvl w:val="0"/>
          <w:numId w:val="2"/>
        </w:numPr>
        <w:rPr>
          <w:rFonts w:ascii="Arial" w:cs="Arial" w:eastAsia="Arial" w:hAnsi="Arial"/>
          <w:sz w:val="17"/>
          <w:szCs w:val="17"/>
          <w:color w:val="auto"/>
        </w:rPr>
      </w:pPr>
      <w:r>
        <w:rPr>
          <w:rFonts w:ascii="Arial" w:cs="Arial" w:eastAsia="Arial" w:hAnsi="Arial"/>
          <w:sz w:val="17"/>
          <w:szCs w:val="17"/>
          <w:color w:val="auto"/>
        </w:rPr>
        <w:t>NAME OF REPORTING PERSON</w:t>
      </w:r>
    </w:p>
    <w:p>
      <w:pPr>
        <w:spacing w:after="0" w:line="20"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S.S. OR I.R.S. IDENTIFICATION NO. OF ABOVE PERSON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color w:val="auto"/>
        </w:rPr>
        <w:t>2. CHECK THE APPROPRIATE [LINE] IF A MEMBER OF A GROUP</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7"/>
          <w:szCs w:val="17"/>
          <w:color w:val="auto"/>
        </w:rPr>
      </w:pPr>
      <w:r>
        <w:rPr>
          <w:rFonts w:ascii="Arial" w:cs="Arial" w:eastAsia="Arial" w:hAnsi="Arial"/>
          <w:sz w:val="17"/>
          <w:szCs w:val="17"/>
          <w:color w:val="auto"/>
        </w:rPr>
        <w:t>SEC USE ONLY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4" w:lineRule="exact"/>
        <w:rPr>
          <w:rFonts w:ascii="Arial" w:cs="Arial" w:eastAsia="Arial" w:hAnsi="Arial"/>
          <w:sz w:val="17"/>
          <w:szCs w:val="17"/>
          <w:color w:val="auto"/>
        </w:rPr>
      </w:pPr>
    </w:p>
    <w:p>
      <w:pPr>
        <w:ind w:left="100" w:right="6539" w:hanging="92"/>
        <w:spacing w:after="0" w:line="497" w:lineRule="auto"/>
        <w:tabs>
          <w:tab w:leader="none" w:pos="228" w:val="left"/>
        </w:tabs>
        <w:numPr>
          <w:ilvl w:val="0"/>
          <w:numId w:val="3"/>
        </w:numPr>
        <w:rPr>
          <w:rFonts w:ascii="Arial" w:cs="Arial" w:eastAsia="Arial" w:hAnsi="Arial"/>
          <w:sz w:val="17"/>
          <w:szCs w:val="17"/>
          <w:color w:val="auto"/>
        </w:rPr>
      </w:pPr>
      <w:r>
        <w:rPr>
          <w:rFonts w:ascii="Arial" w:cs="Arial" w:eastAsia="Arial" w:hAnsi="Arial"/>
          <w:sz w:val="17"/>
          <w:szCs w:val="17"/>
          <w:color w:val="auto"/>
        </w:rPr>
        <w:t>CITIZENSHIP OF PLACE OF ORGANIZATION Pennsylvania</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(For questions 5-8, report the number of shares beneficially owned by each reporting person with:)</w:t>
      </w:r>
    </w:p>
    <w:p>
      <w:pPr>
        <w:spacing w:after="0" w:line="221" w:lineRule="exact"/>
        <w:rPr>
          <w:sz w:val="20"/>
          <w:szCs w:val="20"/>
          <w:color w:val="auto"/>
        </w:rPr>
      </w:pPr>
    </w:p>
    <w:p>
      <w:pPr>
        <w:ind w:left="100" w:right="823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VOTING POWER 74,580</w:t>
      </w:r>
    </w:p>
    <w:p>
      <w:pPr>
        <w:ind w:left="100" w:right="797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VOTING POWER 4,762</w:t>
      </w:r>
    </w:p>
    <w:p>
      <w:pPr>
        <w:ind w:left="100" w:right="7859" w:hanging="92"/>
        <w:spacing w:after="0" w:line="497" w:lineRule="auto"/>
        <w:tabs>
          <w:tab w:leader="none" w:pos="228" w:val="left"/>
        </w:tabs>
        <w:numPr>
          <w:ilvl w:val="0"/>
          <w:numId w:val="4"/>
        </w:numPr>
        <w:rPr>
          <w:rFonts w:ascii="Arial" w:cs="Arial" w:eastAsia="Arial" w:hAnsi="Arial"/>
          <w:sz w:val="17"/>
          <w:szCs w:val="17"/>
          <w:color w:val="auto"/>
        </w:rPr>
      </w:pPr>
      <w:r>
        <w:rPr>
          <w:rFonts w:ascii="Arial" w:cs="Arial" w:eastAsia="Arial" w:hAnsi="Arial"/>
          <w:sz w:val="17"/>
          <w:szCs w:val="17"/>
          <w:color w:val="auto"/>
        </w:rPr>
        <w:t>SOLE DISPOSITIVE POWER 3,271,101</w:t>
      </w:r>
    </w:p>
    <w:p>
      <w:pPr>
        <w:ind w:left="140" w:right="7599" w:hanging="132"/>
        <w:spacing w:after="0" w:line="497" w:lineRule="auto"/>
        <w:tabs>
          <w:tab w:leader="none" w:pos="225" w:val="left"/>
        </w:tabs>
        <w:numPr>
          <w:ilvl w:val="0"/>
          <w:numId w:val="4"/>
        </w:numPr>
        <w:rPr>
          <w:rFonts w:ascii="Arial" w:cs="Arial" w:eastAsia="Arial" w:hAnsi="Arial"/>
          <w:sz w:val="17"/>
          <w:szCs w:val="17"/>
          <w:color w:val="auto"/>
        </w:rPr>
      </w:pPr>
      <w:r>
        <w:rPr>
          <w:rFonts w:ascii="Arial" w:cs="Arial" w:eastAsia="Arial" w:hAnsi="Arial"/>
          <w:sz w:val="17"/>
          <w:szCs w:val="17"/>
          <w:color w:val="auto"/>
        </w:rPr>
        <w:t>SHARED DISPOSITIVE POWER 76,442</w:t>
      </w:r>
    </w:p>
    <w:p>
      <w:pPr>
        <w:ind w:left="100" w:right="3799" w:hanging="92"/>
        <w:spacing w:after="0" w:line="497" w:lineRule="auto"/>
        <w:tabs>
          <w:tab w:leader="none" w:pos="219" w:val="left"/>
        </w:tabs>
        <w:numPr>
          <w:ilvl w:val="0"/>
          <w:numId w:val="4"/>
        </w:numPr>
        <w:rPr>
          <w:rFonts w:ascii="Arial" w:cs="Arial" w:eastAsia="Arial" w:hAnsi="Arial"/>
          <w:sz w:val="17"/>
          <w:szCs w:val="17"/>
          <w:color w:val="auto"/>
        </w:rPr>
      </w:pPr>
      <w:r>
        <w:rPr>
          <w:rFonts w:ascii="Arial" w:cs="Arial" w:eastAsia="Arial" w:hAnsi="Arial"/>
          <w:sz w:val="17"/>
          <w:szCs w:val="17"/>
          <w:color w:val="auto"/>
        </w:rPr>
        <w:t>AGGREGATE AMOUNT BENEFICIALLY OWNED BY EACH REPORTING PERSON 3,347,543</w:t>
      </w:r>
    </w:p>
    <w:p>
      <w:pPr>
        <w:ind w:left="100" w:right="3199" w:hanging="92"/>
        <w:spacing w:after="0" w:line="497" w:lineRule="auto"/>
        <w:tabs>
          <w:tab w:leader="none" w:pos="314" w:val="left"/>
        </w:tabs>
        <w:numPr>
          <w:ilvl w:val="0"/>
          <w:numId w:val="4"/>
        </w:numPr>
        <w:rPr>
          <w:rFonts w:ascii="Arial" w:cs="Arial" w:eastAsia="Arial" w:hAnsi="Arial"/>
          <w:sz w:val="17"/>
          <w:szCs w:val="17"/>
          <w:color w:val="auto"/>
        </w:rPr>
      </w:pPr>
      <w:r>
        <w:rPr>
          <w:rFonts w:ascii="Arial" w:cs="Arial" w:eastAsia="Arial" w:hAnsi="Arial"/>
          <w:sz w:val="17"/>
          <w:szCs w:val="17"/>
          <w:color w:val="auto"/>
        </w:rPr>
        <w:t>CHECK BOX IF THE AGGREGATE AMOUNT IN ROW (9) EXCLUDES CERTAIN SHARES N/A</w:t>
      </w:r>
    </w:p>
    <w:p>
      <w:pPr>
        <w:ind w:left="300" w:hanging="292"/>
        <w:spacing w:after="0"/>
        <w:tabs>
          <w:tab w:leader="none" w:pos="300" w:val="left"/>
        </w:tabs>
        <w:numPr>
          <w:ilvl w:val="0"/>
          <w:numId w:val="4"/>
        </w:numPr>
        <w:rPr>
          <w:rFonts w:ascii="Arial" w:cs="Arial" w:eastAsia="Arial" w:hAnsi="Arial"/>
          <w:sz w:val="17"/>
          <w:szCs w:val="17"/>
          <w:color w:val="auto"/>
        </w:rPr>
      </w:pPr>
      <w:r>
        <w:rPr>
          <w:rFonts w:ascii="Arial" w:cs="Arial" w:eastAsia="Arial" w:hAnsi="Arial"/>
          <w:sz w:val="17"/>
          <w:szCs w:val="17"/>
          <w:color w:val="auto"/>
        </w:rPr>
        <w:t>PERCENT OF CLASS REPRESENTED BY AMOUNT IN ROW 9</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8.66%</w:t>
      </w:r>
    </w:p>
    <w:p>
      <w:pPr>
        <w:spacing w:after="0" w:line="210" w:lineRule="exact"/>
        <w:rPr>
          <w:sz w:val="20"/>
          <w:szCs w:val="20"/>
          <w:color w:val="auto"/>
        </w:rPr>
      </w:pPr>
    </w:p>
    <w:p>
      <w:pPr>
        <w:ind w:left="300" w:hanging="292"/>
        <w:spacing w:after="0"/>
        <w:tabs>
          <w:tab w:leader="none" w:pos="3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TYPE OF REPORTING PERSON</w:t>
      </w:r>
    </w:p>
    <w:p>
      <w:pPr>
        <w:spacing w:after="0" w:line="209" w:lineRule="exact"/>
        <w:rPr>
          <w:rFonts w:ascii="Arial" w:cs="Arial" w:eastAsia="Arial" w:hAnsi="Arial"/>
          <w:sz w:val="17"/>
          <w:szCs w:val="17"/>
          <w:color w:val="auto"/>
        </w:rPr>
      </w:pPr>
    </w:p>
    <w:p>
      <w:pPr>
        <w:ind w:left="100"/>
        <w:spacing w:after="0"/>
        <w:rPr>
          <w:rFonts w:ascii="Arial" w:cs="Arial" w:eastAsia="Arial" w:hAnsi="Arial"/>
          <w:sz w:val="17"/>
          <w:szCs w:val="17"/>
          <w:color w:val="auto"/>
        </w:rPr>
      </w:pPr>
      <w:r>
        <w:rPr>
          <w:rFonts w:ascii="Arial" w:cs="Arial" w:eastAsia="Arial" w:hAnsi="Arial"/>
          <w:sz w:val="17"/>
          <w:szCs w:val="17"/>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2" w:name="page3"/>
    <w:bookmarkEnd w:id="2"/>
    <w:p>
      <w:pPr>
        <w:jc w:val="center"/>
        <w:ind w:right="-1200"/>
        <w:spacing w:after="0"/>
        <w:rPr>
          <w:sz w:val="20"/>
          <w:szCs w:val="20"/>
          <w:color w:val="auto"/>
        </w:rPr>
      </w:pPr>
      <w:r>
        <w:rPr>
          <w:rFonts w:ascii="Arial" w:cs="Arial" w:eastAsia="Arial" w:hAnsi="Arial"/>
          <w:sz w:val="17"/>
          <w:szCs w:val="17"/>
          <w:color w:val="auto"/>
        </w:rPr>
        <w:t>SECURITIES AND EXCHANGE COMMISSION</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Washington, D.C. 20549</w:t>
      </w:r>
    </w:p>
    <w:p>
      <w:pPr>
        <w:spacing w:after="0" w:line="196"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13G</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Under the Securities Act of 1934</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color w:val="auto"/>
        </w:rPr>
        <w:t>Check the following [line] if a fee is being paid with this statement  N/A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1(a) - Name of Issuer: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Evercore Inc</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1(b) - Address of Issuer's Principal Executive Offices: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55 East 52nd Street</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38th Floor</w:t>
      </w:r>
    </w:p>
    <w:p>
      <w:pPr>
        <w:spacing w:after="0" w:line="7"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New York, New York 10055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2(a) - Name of Person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Vanguard Group - 23-1945930</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2(b) – Address of Principal Business Office or, if none, residence: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100 Vanguard Blvd.</w:t>
      </w:r>
    </w:p>
    <w:p>
      <w:pPr>
        <w:spacing w:after="0" w:line="21" w:lineRule="exact"/>
        <w:rPr>
          <w:sz w:val="20"/>
          <w:szCs w:val="20"/>
          <w:color w:val="auto"/>
        </w:rPr>
      </w:pPr>
    </w:p>
    <w:p>
      <w:pPr>
        <w:ind w:left="100"/>
        <w:spacing w:after="0"/>
        <w:rPr>
          <w:sz w:val="20"/>
          <w:szCs w:val="20"/>
          <w:color w:val="auto"/>
        </w:rPr>
      </w:pPr>
      <w:r>
        <w:rPr>
          <w:rFonts w:ascii="Arial" w:cs="Arial" w:eastAsia="Arial" w:hAnsi="Arial"/>
          <w:sz w:val="17"/>
          <w:szCs w:val="17"/>
          <w:color w:val="auto"/>
        </w:rPr>
        <w:t>Malvern, PA 19355</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2(c) – Citizenship: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Pennsylvania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2(d) - Title of Class of Securities: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Common Stock</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2(e) - CUSIP Number</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29977A105</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3 - Type of Filing:</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5"/>
          <w:szCs w:val="15"/>
          <w:color w:val="auto"/>
        </w:rPr>
        <w:t>This statement is being filed pursuant to Rule 13d-1. An investment adviser in accordance with §240.13d-1(b)(1)(ii)(E).</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4 - Ownership:</w:t>
      </w:r>
    </w:p>
    <w:p>
      <w:pPr>
        <w:spacing w:after="0" w:line="210" w:lineRule="exact"/>
        <w:rPr>
          <w:sz w:val="20"/>
          <w:szCs w:val="20"/>
          <w:color w:val="auto"/>
        </w:rPr>
      </w:pPr>
    </w:p>
    <w:p>
      <w:pPr>
        <w:ind w:left="100" w:right="7879" w:hanging="6"/>
        <w:spacing w:after="0" w:line="497" w:lineRule="auto"/>
        <w:tabs>
          <w:tab w:leader="none" w:pos="332" w:val="left"/>
        </w:tabs>
        <w:numPr>
          <w:ilvl w:val="0"/>
          <w:numId w:val="6"/>
        </w:numPr>
        <w:rPr>
          <w:rFonts w:ascii="Arial" w:cs="Arial" w:eastAsia="Arial" w:hAnsi="Arial"/>
          <w:sz w:val="17"/>
          <w:szCs w:val="17"/>
          <w:color w:val="auto"/>
        </w:rPr>
      </w:pPr>
      <w:r>
        <w:rPr>
          <w:rFonts w:ascii="Arial" w:cs="Arial" w:eastAsia="Arial" w:hAnsi="Arial"/>
          <w:sz w:val="17"/>
          <w:szCs w:val="17"/>
          <w:color w:val="auto"/>
        </w:rPr>
        <w:t>Amount Beneficially Owned: 3,347,543</w:t>
      </w:r>
    </w:p>
    <w:p>
      <w:pPr>
        <w:ind w:left="340" w:hanging="246"/>
        <w:spacing w:after="0"/>
        <w:tabs>
          <w:tab w:leader="none" w:pos="340" w:val="left"/>
        </w:tabs>
        <w:numPr>
          <w:ilvl w:val="0"/>
          <w:numId w:val="6"/>
        </w:numPr>
        <w:rPr>
          <w:rFonts w:ascii="Arial" w:cs="Arial" w:eastAsia="Arial" w:hAnsi="Arial"/>
          <w:sz w:val="17"/>
          <w:szCs w:val="17"/>
          <w:color w:val="auto"/>
        </w:rPr>
      </w:pPr>
      <w:r>
        <w:rPr>
          <w:rFonts w:ascii="Arial" w:cs="Arial" w:eastAsia="Arial" w:hAnsi="Arial"/>
          <w:sz w:val="17"/>
          <w:szCs w:val="17"/>
          <w:color w:val="auto"/>
        </w:rPr>
        <w:t>Percent of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8.66%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0219"/>
          </w:cols>
          <w:pgMar w:left="240" w:top="365" w:right="1440" w:bottom="1440" w:gutter="0" w:footer="0" w:header="0"/>
        </w:sectPr>
      </w:pPr>
    </w:p>
    <w:bookmarkStart w:id="3" w:name="page4"/>
    <w:bookmarkEnd w:id="3"/>
    <w:p>
      <w:pPr>
        <w:ind w:left="360" w:hanging="266"/>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Number of shares as to which such person has:</w:t>
      </w:r>
    </w:p>
    <w:p>
      <w:pPr>
        <w:spacing w:after="0" w:line="209" w:lineRule="exact"/>
        <w:rPr>
          <w:rFonts w:ascii="Arial" w:cs="Arial" w:eastAsia="Arial" w:hAnsi="Arial"/>
          <w:sz w:val="17"/>
          <w:szCs w:val="17"/>
          <w:color w:val="auto"/>
        </w:rPr>
      </w:pPr>
    </w:p>
    <w:p>
      <w:pPr>
        <w:ind w:left="340" w:hanging="246"/>
        <w:spacing w:after="0"/>
        <w:tabs>
          <w:tab w:leader="none" w:pos="340" w:val="left"/>
        </w:tabs>
        <w:numPr>
          <w:ilvl w:val="0"/>
          <w:numId w:val="8"/>
        </w:numPr>
        <w:rPr>
          <w:rFonts w:ascii="Arial" w:cs="Arial" w:eastAsia="Arial" w:hAnsi="Arial"/>
          <w:sz w:val="17"/>
          <w:szCs w:val="17"/>
          <w:color w:val="auto"/>
        </w:rPr>
      </w:pPr>
      <w:r>
        <w:rPr>
          <w:rFonts w:ascii="Arial" w:cs="Arial" w:eastAsia="Arial" w:hAnsi="Arial"/>
          <w:sz w:val="17"/>
          <w:szCs w:val="17"/>
          <w:color w:val="auto"/>
        </w:rPr>
        <w:t>sole power to vote or direct to vote: 74,580</w:t>
      </w:r>
    </w:p>
    <w:p>
      <w:pPr>
        <w:spacing w:after="0" w:line="209" w:lineRule="exact"/>
        <w:rPr>
          <w:rFonts w:ascii="Arial" w:cs="Arial" w:eastAsia="Arial" w:hAnsi="Arial"/>
          <w:sz w:val="17"/>
          <w:szCs w:val="17"/>
          <w:color w:val="auto"/>
        </w:rPr>
      </w:pPr>
    </w:p>
    <w:p>
      <w:pPr>
        <w:ind w:left="380" w:hanging="286"/>
        <w:spacing w:after="0"/>
        <w:tabs>
          <w:tab w:leader="none" w:pos="380" w:val="left"/>
        </w:tabs>
        <w:numPr>
          <w:ilvl w:val="0"/>
          <w:numId w:val="9"/>
        </w:numPr>
        <w:rPr>
          <w:rFonts w:ascii="Arial" w:cs="Arial" w:eastAsia="Arial" w:hAnsi="Arial"/>
          <w:sz w:val="17"/>
          <w:szCs w:val="17"/>
          <w:color w:val="auto"/>
        </w:rPr>
      </w:pPr>
      <w:r>
        <w:rPr>
          <w:rFonts w:ascii="Arial" w:cs="Arial" w:eastAsia="Arial" w:hAnsi="Arial"/>
          <w:sz w:val="17"/>
          <w:szCs w:val="17"/>
          <w:color w:val="auto"/>
        </w:rPr>
        <w:t>shared power to vote or direct to vote: 4,762</w:t>
      </w:r>
    </w:p>
    <w:p>
      <w:pPr>
        <w:spacing w:after="0" w:line="209" w:lineRule="exact"/>
        <w:rPr>
          <w:rFonts w:ascii="Arial" w:cs="Arial" w:eastAsia="Arial" w:hAnsi="Arial"/>
          <w:sz w:val="17"/>
          <w:szCs w:val="17"/>
          <w:color w:val="auto"/>
        </w:rPr>
      </w:pPr>
    </w:p>
    <w:p>
      <w:pPr>
        <w:ind w:left="100" w:right="6460" w:hanging="6"/>
        <w:spacing w:after="0" w:line="563" w:lineRule="auto"/>
        <w:tabs>
          <w:tab w:leader="none" w:pos="442" w:val="left"/>
        </w:tabs>
        <w:numPr>
          <w:ilvl w:val="0"/>
          <w:numId w:val="10"/>
        </w:numPr>
        <w:rPr>
          <w:rFonts w:ascii="Arial" w:cs="Arial" w:eastAsia="Arial" w:hAnsi="Arial"/>
          <w:sz w:val="15"/>
          <w:szCs w:val="15"/>
          <w:color w:val="auto"/>
        </w:rPr>
      </w:pPr>
      <w:r>
        <w:rPr>
          <w:rFonts w:ascii="Arial" w:cs="Arial" w:eastAsia="Arial" w:hAnsi="Arial"/>
          <w:sz w:val="15"/>
          <w:szCs w:val="15"/>
          <w:color w:val="auto"/>
        </w:rPr>
        <w:t>sole power to dispose of or to direct the disposition of: 3,271,101 (iv) shared power to dispose or to direct the disposition of: 76,442</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Comments: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5 - Ownership of Five Percent or Less of a Class:</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6 - Ownership of More Than Five Percent on Behalf of Another Person:</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7 - Identification and Classification of the Subsidiary Which Acquired The Security Being Reported on by the Parent Holding Company</w:t>
      </w:r>
      <w:r>
        <w:rPr>
          <w:rFonts w:ascii="Arial" w:cs="Arial" w:eastAsia="Arial" w:hAnsi="Arial"/>
          <w:sz w:val="17"/>
          <w:szCs w:val="17"/>
          <w:color w:val="auto"/>
        </w:rPr>
        <w:t>:</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See Attached Appendix A</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8 - Identification and Classification of Members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9 - Notice of Dissolution of Group:</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color w:val="auto"/>
        </w:rPr>
        <w:t>Not applicable</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Item 10 - Certification:</w:t>
      </w:r>
    </w:p>
    <w:p>
      <w:pPr>
        <w:spacing w:after="0" w:line="210" w:lineRule="exact"/>
        <w:rPr>
          <w:sz w:val="20"/>
          <w:szCs w:val="20"/>
          <w:color w:val="auto"/>
        </w:rPr>
      </w:pPr>
    </w:p>
    <w:p>
      <w:pPr>
        <w:ind w:firstLine="86"/>
        <w:spacing w:after="0" w:line="261" w:lineRule="auto"/>
        <w:rPr>
          <w:sz w:val="20"/>
          <w:szCs w:val="20"/>
          <w:color w:val="auto"/>
        </w:rPr>
      </w:pPr>
      <w:r>
        <w:rPr>
          <w:rFonts w:ascii="Arial" w:cs="Arial" w:eastAsia="Arial" w:hAnsi="Arial"/>
          <w:sz w:val="17"/>
          <w:szCs w:val="17"/>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 or effect.</w:t>
      </w:r>
    </w:p>
    <w:p>
      <w:pPr>
        <w:spacing w:after="0" w:line="17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Signature</w:t>
      </w:r>
    </w:p>
    <w:p>
      <w:pPr>
        <w:spacing w:after="0" w:line="210" w:lineRule="exact"/>
        <w:rPr>
          <w:sz w:val="20"/>
          <w:szCs w:val="20"/>
          <w:color w:val="auto"/>
        </w:rPr>
      </w:pPr>
    </w:p>
    <w:p>
      <w:pPr>
        <w:ind w:left="8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Date: 02/07/2018</w:t>
      </w:r>
    </w:p>
    <w:p>
      <w:pPr>
        <w:spacing w:after="0" w:line="21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 /s/ Christine M. Buchanan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2608580</wp:posOffset>
            </wp:positionH>
            <wp:positionV relativeFrom="paragraph">
              <wp:posOffset>-10160</wp:posOffset>
            </wp:positionV>
            <wp:extent cx="122872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28725" cy="8890"/>
                    </a:xfrm>
                    <a:prstGeom prst="rect">
                      <a:avLst/>
                    </a:prstGeom>
                    <a:noFill/>
                  </pic:spPr>
                </pic:pic>
              </a:graphicData>
            </a:graphic>
          </wp:anchor>
        </w:drawing>
      </w:r>
    </w:p>
    <w:p>
      <w:pPr>
        <w:spacing w:after="0" w:line="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 Christine M. Buchanan</w:t>
      </w:r>
    </w:p>
    <w:p>
      <w:pPr>
        <w:spacing w:after="0" w:line="9"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329565</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p>
      <w:pPr>
        <w:sectPr>
          <w:pgSz w:w="11900" w:h="16838" w:orient="portrait"/>
          <w:cols w:equalWidth="0" w:num="1">
            <w:col w:w="11400"/>
          </w:cols>
          <w:pgMar w:left="240" w:top="365" w:right="259" w:bottom="1440" w:gutter="0" w:footer="0" w:header="0"/>
        </w:sectPr>
      </w:pPr>
    </w:p>
    <w:bookmarkStart w:id="4" w:name="page5"/>
    <w:bookmarkEnd w:id="4"/>
    <w:p>
      <w:pPr>
        <w:spacing w:after="0"/>
        <w:rPr>
          <w:sz w:val="20"/>
          <w:szCs w:val="20"/>
          <w:color w:val="auto"/>
        </w:rPr>
      </w:pPr>
      <w:r>
        <w:rPr>
          <w:rFonts w:ascii="Arial" w:cs="Arial" w:eastAsia="Arial" w:hAnsi="Arial"/>
          <w:sz w:val="17"/>
          <w:szCs w:val="17"/>
          <w:color w:val="auto"/>
        </w:rPr>
        <w:t>Appendix A</w:t>
      </w:r>
    </w:p>
    <w:p>
      <w:pPr>
        <w:spacing w:after="0" w:line="210" w:lineRule="exact"/>
        <w:rPr>
          <w:sz w:val="20"/>
          <w:szCs w:val="20"/>
          <w:color w:val="auto"/>
        </w:rPr>
      </w:pPr>
    </w:p>
    <w:p>
      <w:pPr>
        <w:ind w:firstLine="40"/>
        <w:spacing w:after="0" w:line="274" w:lineRule="auto"/>
        <w:rPr>
          <w:sz w:val="20"/>
          <w:szCs w:val="20"/>
          <w:color w:val="auto"/>
        </w:rPr>
      </w:pPr>
      <w:r>
        <w:rPr>
          <w:rFonts w:ascii="Arial" w:cs="Arial" w:eastAsia="Arial" w:hAnsi="Arial"/>
          <w:sz w:val="17"/>
          <w:szCs w:val="17"/>
          <w:color w:val="auto"/>
        </w:rPr>
        <w:t>Vanguard Fiduciary Trust Company ("VFTC"), a wholly-owned subsidiary of The Vanguard Group, Inc., is the beneficial owner of 71,680 shares or .18% of the Common Stock outstanding of the Company as a result of its serving as investment manager of collective trust accounts.</w:t>
      </w:r>
    </w:p>
    <w:p>
      <w:pPr>
        <w:spacing w:after="0" w:line="161"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color w:val="auto"/>
        </w:rPr>
        <w:t>Vanguard Investments Australia, Ltd. ("VIA"), a wholly-owned subsidiary of The Vanguard Group, Inc., is the beneficial owner of 7,662 shares or .01% of the Common Stock outstanding of the Company as a result of its serving as investment manager of Australian investment offerings.</w:t>
      </w:r>
    </w:p>
    <w:sectPr>
      <w:pgSz w:w="11900" w:h="16838" w:orient="portrait"/>
      <w:cols w:equalWidth="0" w:num="1">
        <w:col w:w="11100"/>
      </w:cols>
      <w:pgMar w:left="240" w:top="365"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1"/>
    </w:lvl>
    <w:lvl w:ilvl="1">
      <w:lvlJc w:val="left"/>
      <w:lvlText w:val="%2"/>
      <w:numFmt w:val="upperLetter"/>
      <w:start w:val="1"/>
    </w:lvl>
  </w:abstractNum>
  <w:abstractNum w:abstractNumId="2">
    <w:nsid w:val="2EB141F2"/>
    <w:multiLevelType w:val="hybridMultilevel"/>
    <w:lvl w:ilvl="0">
      <w:lvlJc w:val="left"/>
      <w:lvlText w:val="%1."/>
      <w:numFmt w:val="decimal"/>
      <w:start w:val="3"/>
    </w:lvl>
  </w:abstractNum>
  <w:abstractNum w:abstractNumId="3">
    <w:nsid w:val="41B71EFB"/>
    <w:multiLevelType w:val="hybridMultilevel"/>
    <w:lvl w:ilvl="0">
      <w:lvlJc w:val="left"/>
      <w:lvlText w:val="%1."/>
      <w:numFmt w:val="decimal"/>
      <w:start w:val="5"/>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1)"/>
      <w:numFmt w:val="lowerLetter"/>
      <w:start w:val="1"/>
    </w:lvl>
  </w:abstractNum>
  <w:abstractNum w:abstractNumId="6">
    <w:nsid w:val="515F007C"/>
    <w:multiLevelType w:val="hybridMultilevel"/>
    <w:lvl w:ilvl="0">
      <w:lvlJc w:val="left"/>
      <w:lvlText w:val="(%1)"/>
      <w:numFmt w:val="lowerLetter"/>
      <w:start w:val="3"/>
    </w:lvl>
  </w:abstractNum>
  <w:abstractNum w:abstractNumId="7">
    <w:nsid w:val="5BD062C2"/>
    <w:multiLevelType w:val="hybridMultilevel"/>
    <w:lvl w:ilvl="0">
      <w:lvlJc w:val="left"/>
      <w:lvlText w:val="(%1)"/>
      <w:numFmt w:val="lowerLetter"/>
      <w:start w:val="9"/>
    </w:lvl>
  </w:abstractNum>
  <w:abstractNum w:abstractNumId="8">
    <w:nsid w:val="12200854"/>
    <w:multiLevelType w:val="hybridMultilevel"/>
    <w:lvl w:ilvl="0">
      <w:lvlJc w:val="left"/>
      <w:lvlText w:val="(%1)"/>
      <w:numFmt w:val="lowerLetter"/>
      <w:start w:val="35"/>
    </w:lvl>
  </w:abstractNum>
  <w:abstractNum w:abstractNumId="9">
    <w:nsid w:val="4DB127F8"/>
    <w:multiLevelType w:val="hybridMultilevel"/>
    <w:lvl w:ilvl="0">
      <w:lvlJc w:val="left"/>
      <w:lvlText w:val="(%1)"/>
      <w:numFmt w:val="lowerLetter"/>
      <w:start w:val="6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2019-12-16T10:53:41Z</dcterms:created>
  <dcterms:modified xsi:type="dcterms:W3CDTF">2019-12-16T10:53:41Z</dcterms:modified>
</cp:coreProperties>
</file>